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B8705" w14:textId="77777777" w:rsidR="00D20C62" w:rsidRDefault="00D20C62">
      <w:pPr>
        <w:spacing w:before="80" w:after="80"/>
      </w:pPr>
    </w:p>
    <w:p w14:paraId="2C278CFB" w14:textId="77777777" w:rsidR="00D20C62" w:rsidRDefault="00000000">
      <w:pPr>
        <w:spacing w:after="40"/>
        <w:jc w:val="center"/>
      </w:pPr>
      <w:r>
        <w:rPr>
          <w:b/>
          <w:bCs/>
          <w:color w:val="595959"/>
        </w:rPr>
        <w:t>UNIVERSIDAD TECNOLÓGICA DEL VALLE DE TOLUCA</w:t>
      </w:r>
    </w:p>
    <w:p w14:paraId="04583B93" w14:textId="77777777" w:rsidR="00D20C62" w:rsidRDefault="00000000">
      <w:pPr>
        <w:spacing w:after="80"/>
        <w:jc w:val="center"/>
      </w:pPr>
      <w:r>
        <w:rPr>
          <w:color w:val="595959"/>
          <w:sz w:val="20"/>
          <w:szCs w:val="20"/>
        </w:rPr>
        <w:t>Ingeniería en Tecnologías de la Información</w:t>
      </w:r>
    </w:p>
    <w:p w14:paraId="47F22755" w14:textId="77777777" w:rsidR="00D20C62" w:rsidRDefault="00D20C62">
      <w:pPr>
        <w:pBdr>
          <w:bottom w:val="single" w:sz="4" w:space="0" w:color="2E75B6"/>
        </w:pBdr>
        <w:spacing w:before="40" w:after="40"/>
        <w:jc w:val="center"/>
      </w:pPr>
    </w:p>
    <w:p w14:paraId="2FDBB2CF" w14:textId="77777777" w:rsidR="00D20C62" w:rsidRDefault="00D20C62">
      <w:pPr>
        <w:spacing w:before="80" w:after="80"/>
      </w:pPr>
    </w:p>
    <w:p w14:paraId="1A677B41" w14:textId="77777777" w:rsidR="00D20C62" w:rsidRDefault="00D20C62">
      <w:pPr>
        <w:spacing w:before="80" w:after="80"/>
      </w:pPr>
    </w:p>
    <w:p w14:paraId="0EF02E1B" w14:textId="77777777" w:rsidR="00D20C62" w:rsidRDefault="00000000">
      <w:pPr>
        <w:spacing w:after="30"/>
        <w:jc w:val="center"/>
      </w:pPr>
      <w:r>
        <w:rPr>
          <w:b/>
          <w:bCs/>
          <w:color w:val="1F4E79"/>
          <w:sz w:val="52"/>
          <w:szCs w:val="52"/>
        </w:rPr>
        <w:t>Sistema para Gimnasios</w:t>
      </w:r>
    </w:p>
    <w:p w14:paraId="2F256BD8" w14:textId="77777777" w:rsidR="00D20C62" w:rsidRDefault="00000000">
      <w:pPr>
        <w:spacing w:after="60"/>
        <w:jc w:val="center"/>
      </w:pPr>
      <w:r>
        <w:rPr>
          <w:b/>
          <w:bCs/>
          <w:color w:val="2E75B6"/>
          <w:sz w:val="44"/>
          <w:szCs w:val="44"/>
        </w:rPr>
        <w:t>"GymPro"</w:t>
      </w:r>
    </w:p>
    <w:p w14:paraId="49A7137C" w14:textId="77777777" w:rsidR="00D20C62" w:rsidRDefault="00D20C62">
      <w:pPr>
        <w:spacing w:before="80" w:after="80"/>
      </w:pPr>
    </w:p>
    <w:p w14:paraId="29A369F8" w14:textId="77777777" w:rsidR="00D20C62" w:rsidRDefault="00000000">
      <w:pPr>
        <w:spacing w:after="20"/>
        <w:jc w:val="center"/>
      </w:pPr>
      <w:r>
        <w:rPr>
          <w:b/>
          <w:bCs/>
          <w:color w:val="1A1A2E"/>
          <w:sz w:val="36"/>
          <w:szCs w:val="36"/>
        </w:rPr>
        <w:t>ANÁLISIS DE RIESGO</w:t>
      </w:r>
    </w:p>
    <w:p w14:paraId="7D251479" w14:textId="77777777" w:rsidR="00D20C62" w:rsidRDefault="00000000">
      <w:pPr>
        <w:spacing w:after="20"/>
        <w:jc w:val="center"/>
      </w:pPr>
      <w:r>
        <w:rPr>
          <w:b/>
          <w:bCs/>
          <w:color w:val="2E75B6"/>
          <w:sz w:val="26"/>
          <w:szCs w:val="26"/>
        </w:rPr>
        <w:t>Fundamentado en la Norma ISO 31000:2018</w:t>
      </w:r>
    </w:p>
    <w:p w14:paraId="128F6DCE" w14:textId="77777777" w:rsidR="00D20C62" w:rsidRDefault="00000000">
      <w:pPr>
        <w:spacing w:after="60"/>
        <w:jc w:val="center"/>
      </w:pPr>
      <w:r>
        <w:rPr>
          <w:color w:val="595959"/>
          <w:sz w:val="24"/>
          <w:szCs w:val="24"/>
        </w:rPr>
        <w:t>Gestión de Servicios bajo el Marco de Referencia ITIL v4</w:t>
      </w:r>
    </w:p>
    <w:p w14:paraId="57BE47E5" w14:textId="77777777" w:rsidR="007660DD" w:rsidRDefault="007660DD" w:rsidP="007660DD">
      <w:pPr>
        <w:spacing w:before="80" w:after="80"/>
        <w:jc w:val="center"/>
        <w:rPr>
          <w:color w:val="595959" w:themeColor="text1" w:themeTint="A6"/>
        </w:rPr>
      </w:pPr>
    </w:p>
    <w:p w14:paraId="54F2F09A" w14:textId="77777777" w:rsidR="007660DD" w:rsidRDefault="007660DD" w:rsidP="007660DD">
      <w:pPr>
        <w:spacing w:before="80" w:after="80"/>
        <w:jc w:val="center"/>
        <w:rPr>
          <w:color w:val="595959" w:themeColor="text1" w:themeTint="A6"/>
        </w:rPr>
      </w:pPr>
    </w:p>
    <w:p w14:paraId="683248D9" w14:textId="39D90072" w:rsidR="007660DD" w:rsidRPr="00204509" w:rsidRDefault="007660DD" w:rsidP="007660DD">
      <w:pPr>
        <w:spacing w:before="80" w:after="80"/>
        <w:jc w:val="center"/>
        <w:rPr>
          <w:color w:val="595959" w:themeColor="text1" w:themeTint="A6"/>
        </w:rPr>
      </w:pPr>
      <w:r w:rsidRPr="00204509">
        <w:rPr>
          <w:color w:val="595959" w:themeColor="text1" w:themeTint="A6"/>
        </w:rPr>
        <w:t>Integrantes</w:t>
      </w:r>
    </w:p>
    <w:p w14:paraId="6C218878" w14:textId="77777777" w:rsidR="007660DD" w:rsidRPr="00204509" w:rsidRDefault="007660DD" w:rsidP="007660DD">
      <w:pPr>
        <w:pStyle w:val="Prrafodelista"/>
        <w:spacing w:before="80" w:after="80"/>
        <w:jc w:val="center"/>
        <w:rPr>
          <w:color w:val="595959" w:themeColor="text1" w:themeTint="A6"/>
        </w:rPr>
      </w:pPr>
      <w:r w:rsidRPr="00204509">
        <w:rPr>
          <w:color w:val="595959" w:themeColor="text1" w:themeTint="A6"/>
        </w:rPr>
        <w:t>Maximiliano Arriaga Mora</w:t>
      </w:r>
    </w:p>
    <w:p w14:paraId="5D7D430D" w14:textId="77777777" w:rsidR="007660DD" w:rsidRPr="00204509" w:rsidRDefault="007660DD" w:rsidP="007660DD">
      <w:pPr>
        <w:pStyle w:val="Prrafodelista"/>
        <w:spacing w:before="80" w:after="80"/>
        <w:jc w:val="center"/>
        <w:rPr>
          <w:color w:val="595959" w:themeColor="text1" w:themeTint="A6"/>
        </w:rPr>
      </w:pPr>
      <w:r w:rsidRPr="00204509">
        <w:rPr>
          <w:color w:val="595959" w:themeColor="text1" w:themeTint="A6"/>
        </w:rPr>
        <w:t>Miguel Angel Hernandez Cervantes</w:t>
      </w:r>
    </w:p>
    <w:p w14:paraId="29823373" w14:textId="77777777" w:rsidR="007660DD" w:rsidRPr="00204509" w:rsidRDefault="007660DD" w:rsidP="007660DD">
      <w:pPr>
        <w:pStyle w:val="Prrafodelista"/>
        <w:spacing w:before="80" w:after="80"/>
        <w:jc w:val="center"/>
        <w:rPr>
          <w:color w:val="595959" w:themeColor="text1" w:themeTint="A6"/>
        </w:rPr>
      </w:pPr>
      <w:r w:rsidRPr="00204509">
        <w:rPr>
          <w:color w:val="595959" w:themeColor="text1" w:themeTint="A6"/>
        </w:rPr>
        <w:t>Jesus Francisco Perez Medina</w:t>
      </w:r>
    </w:p>
    <w:p w14:paraId="1714B87E" w14:textId="07051FF6" w:rsidR="007660DD" w:rsidRDefault="007660DD" w:rsidP="007660DD">
      <w:pPr>
        <w:pStyle w:val="Prrafodelista"/>
        <w:spacing w:before="80" w:after="80"/>
        <w:jc w:val="center"/>
        <w:rPr>
          <w:color w:val="595959" w:themeColor="text1" w:themeTint="A6"/>
        </w:rPr>
      </w:pPr>
      <w:r w:rsidRPr="00204509">
        <w:rPr>
          <w:color w:val="595959" w:themeColor="text1" w:themeTint="A6"/>
        </w:rPr>
        <w:t>Juan Carlos Perez Nava</w:t>
      </w:r>
    </w:p>
    <w:p w14:paraId="10F681C8" w14:textId="77777777" w:rsidR="007660DD" w:rsidRDefault="007660DD" w:rsidP="007660DD">
      <w:pPr>
        <w:pStyle w:val="Prrafodelista"/>
        <w:spacing w:before="80" w:after="80"/>
        <w:jc w:val="center"/>
        <w:rPr>
          <w:color w:val="595959" w:themeColor="text1" w:themeTint="A6"/>
        </w:rPr>
      </w:pPr>
    </w:p>
    <w:p w14:paraId="23743774" w14:textId="77777777" w:rsidR="00D20C62" w:rsidRDefault="00D20C62" w:rsidP="007660DD">
      <w:pPr>
        <w:spacing w:before="80" w:after="80"/>
      </w:pPr>
    </w:p>
    <w:p w14:paraId="3C8018C9" w14:textId="77777777" w:rsidR="00D20C62" w:rsidRDefault="00D20C62">
      <w:pPr>
        <w:spacing w:before="80" w:after="80"/>
      </w:pPr>
    </w:p>
    <w:p w14:paraId="1943A0FA" w14:textId="11E2CBA4" w:rsidR="00D20C62" w:rsidRDefault="00000000">
      <w:pPr>
        <w:spacing w:after="20"/>
        <w:jc w:val="center"/>
      </w:pPr>
      <w:r>
        <w:rPr>
          <w:color w:val="595959"/>
        </w:rPr>
        <w:t xml:space="preserve">Incubadora TIC — </w:t>
      </w:r>
      <w:r w:rsidR="00B253CC">
        <w:rPr>
          <w:color w:val="595959"/>
        </w:rPr>
        <w:t>Gym Pro</w:t>
      </w:r>
    </w:p>
    <w:p w14:paraId="52835503" w14:textId="77777777" w:rsidR="00D20C62" w:rsidRDefault="00000000">
      <w:pPr>
        <w:spacing w:after="20"/>
        <w:jc w:val="center"/>
      </w:pPr>
      <w:r>
        <w:rPr>
          <w:color w:val="595959"/>
        </w:rPr>
        <w:t>Lerma, Estado de México</w:t>
      </w:r>
    </w:p>
    <w:p w14:paraId="136124CA" w14:textId="77777777" w:rsidR="00D20C62" w:rsidRDefault="00000000">
      <w:pPr>
        <w:spacing w:after="20"/>
        <w:jc w:val="center"/>
      </w:pPr>
      <w:r>
        <w:rPr>
          <w:color w:val="595959"/>
        </w:rPr>
        <w:t>Junio 2026</w:t>
      </w:r>
    </w:p>
    <w:p w14:paraId="10CD24EA" w14:textId="77777777" w:rsidR="00D20C62" w:rsidRDefault="00000000">
      <w:r>
        <w:br w:type="page"/>
      </w:r>
    </w:p>
    <w:p w14:paraId="290DDC15" w14:textId="77777777" w:rsidR="00D20C62" w:rsidRDefault="00000000">
      <w:pPr>
        <w:pStyle w:val="Ttulo1"/>
      </w:pPr>
      <w:r>
        <w:lastRenderedPageBreak/>
        <w:t>1. Introducción</w:t>
      </w:r>
    </w:p>
    <w:p w14:paraId="13C0D884" w14:textId="77777777" w:rsidR="00D20C62" w:rsidRDefault="00000000">
      <w:pPr>
        <w:spacing w:before="80" w:after="80"/>
        <w:jc w:val="both"/>
      </w:pPr>
      <w:r>
        <w:rPr>
          <w:color w:val="1A1A2E"/>
        </w:rPr>
        <w:t>El presente documento establece el análisis de riesgo del proyecto GymPro, sistema de gestión híbrido para gimnasios, desarrollado como producto tecnológico incubado en la Universidad Tecnológica del Valle de Toluca. El análisis se elabora bajo los principios y directrices de la Norma Internacional ISO 31000:2018 — Gestión del Riesgo, y se integra al marco de referencia ITIL v4 para la gestión de servicios de tecnología.</w:t>
      </w:r>
    </w:p>
    <w:p w14:paraId="683EECFC" w14:textId="77777777" w:rsidR="00D20C62" w:rsidRDefault="00D20C62">
      <w:pPr>
        <w:spacing w:before="80" w:after="80"/>
      </w:pPr>
    </w:p>
    <w:p w14:paraId="51165FC1" w14:textId="77777777" w:rsidR="00D20C62" w:rsidRDefault="00000000">
      <w:pPr>
        <w:pStyle w:val="Ttulo1"/>
      </w:pPr>
      <w:r>
        <w:t>2. Marco Normativo: ISO 31000:2018</w:t>
      </w:r>
    </w:p>
    <w:p w14:paraId="626451A4" w14:textId="77777777" w:rsidR="00D20C62" w:rsidRDefault="00000000">
      <w:pPr>
        <w:spacing w:before="80" w:after="80"/>
        <w:jc w:val="both"/>
      </w:pPr>
      <w:r>
        <w:rPr>
          <w:color w:val="1A1A2E"/>
        </w:rPr>
        <w:t>La Norma ISO 31000:2018 proporciona principios y directrices genéricos para la gestión del riesgo en cualquier organización, independientemente de su tamaño, actividad o sector. Para GymPro, su aplicación se estructura en tres componentes fundamentales:</w:t>
      </w:r>
    </w:p>
    <w:p w14:paraId="3D9CFB50" w14:textId="77777777" w:rsidR="00D20C62" w:rsidRDefault="00D20C62">
      <w:pPr>
        <w:spacing w:before="80" w:after="80"/>
      </w:pPr>
    </w:p>
    <w:p w14:paraId="4A61F3C5" w14:textId="77777777" w:rsidR="00D20C62" w:rsidRDefault="00000000">
      <w:pPr>
        <w:pStyle w:val="Prrafodelista"/>
        <w:numPr>
          <w:ilvl w:val="0"/>
          <w:numId w:val="2"/>
        </w:numPr>
        <w:spacing w:before="60" w:after="60"/>
      </w:pPr>
      <w:r>
        <w:rPr>
          <w:color w:val="1A1A2E"/>
        </w:rPr>
        <w:t>Principios: El proceso de gestión de riesgo agrega valor, es parte integral de los procesos organizacionales, está estructurado y sistemático, y soporta la mejora continua de la organización.</w:t>
      </w:r>
    </w:p>
    <w:p w14:paraId="2AD19FE3" w14:textId="77777777" w:rsidR="00D20C62" w:rsidRDefault="00000000">
      <w:pPr>
        <w:pStyle w:val="Prrafodelista"/>
        <w:numPr>
          <w:ilvl w:val="0"/>
          <w:numId w:val="2"/>
        </w:numPr>
        <w:spacing w:before="60" w:after="60"/>
      </w:pPr>
      <w:r>
        <w:rPr>
          <w:color w:val="1A1A2E"/>
        </w:rPr>
        <w:t>Marco de Referencia: Comprende el liderazgo y compromiso, diseño, implementación, evaluación y mejora del marco para gestionar el riesgo de manera integral.</w:t>
      </w:r>
    </w:p>
    <w:p w14:paraId="46EFA0B4" w14:textId="77777777" w:rsidR="00D20C62" w:rsidRDefault="00000000">
      <w:pPr>
        <w:pStyle w:val="Prrafodelista"/>
        <w:numPr>
          <w:ilvl w:val="0"/>
          <w:numId w:val="2"/>
        </w:numPr>
        <w:spacing w:before="60" w:after="60"/>
      </w:pPr>
      <w:r>
        <w:rPr>
          <w:color w:val="1A1A2E"/>
        </w:rPr>
        <w:t>Proceso: Incluye la comunicación y consulta, el establecimiento del contexto, la evaluación del riesgo (identificación, análisis y valoración), el tratamiento del riesgo, y el seguimiento y revisión.</w:t>
      </w:r>
    </w:p>
    <w:p w14:paraId="71F5000A" w14:textId="77777777" w:rsidR="00D20C62" w:rsidRDefault="00D20C62">
      <w:pPr>
        <w:spacing w:before="80" w:after="80"/>
      </w:pPr>
    </w:p>
    <w:p w14:paraId="5F0F79FD" w14:textId="77777777" w:rsidR="00D20C62" w:rsidRDefault="00000000">
      <w:pPr>
        <w:spacing w:before="80" w:after="80"/>
        <w:jc w:val="both"/>
      </w:pPr>
      <w:r>
        <w:rPr>
          <w:color w:val="1A1A2E"/>
        </w:rPr>
        <w:t>La norma ISO 31000:2018 no es certificable; constituye una guía de buenas prácticas adoptada como referencia normativa vinculante para la gestión de riesgos del presente proyecto.</w:t>
      </w:r>
    </w:p>
    <w:p w14:paraId="6FC7D093" w14:textId="77777777" w:rsidR="00D20C62" w:rsidRDefault="00D20C62">
      <w:pPr>
        <w:spacing w:before="80" w:after="80"/>
      </w:pPr>
    </w:p>
    <w:p w14:paraId="5F99864B" w14:textId="77777777" w:rsidR="00D20C62" w:rsidRDefault="00000000">
      <w:pPr>
        <w:pStyle w:val="Ttulo1"/>
      </w:pPr>
      <w:r>
        <w:t>3. Contexto del Proyecto</w:t>
      </w:r>
    </w:p>
    <w:p w14:paraId="1FC1E4DB" w14:textId="77777777" w:rsidR="00D20C62" w:rsidRDefault="00000000">
      <w:pPr>
        <w:pStyle w:val="Ttulo2"/>
      </w:pPr>
      <w:r>
        <w:t>3.1 Contexto Externo</w:t>
      </w:r>
    </w:p>
    <w:p w14:paraId="6C7577D4" w14:textId="77777777" w:rsidR="00D20C62" w:rsidRDefault="00000000">
      <w:pPr>
        <w:pStyle w:val="Prrafodelista"/>
        <w:numPr>
          <w:ilvl w:val="0"/>
          <w:numId w:val="2"/>
        </w:numPr>
        <w:spacing w:before="60" w:after="60"/>
      </w:pPr>
      <w:r>
        <w:rPr>
          <w:color w:val="1A1A2E"/>
        </w:rPr>
        <w:t>Mercado de aplicaciones SaaS para gimnasios en crecimiento sostenido en México y Latinoamérica.</w:t>
      </w:r>
    </w:p>
    <w:p w14:paraId="7182EAC9" w14:textId="77777777" w:rsidR="00D20C62" w:rsidRDefault="00000000">
      <w:pPr>
        <w:pStyle w:val="Prrafodelista"/>
        <w:numPr>
          <w:ilvl w:val="0"/>
          <w:numId w:val="2"/>
        </w:numPr>
        <w:spacing w:before="60" w:after="60"/>
      </w:pPr>
      <w:r>
        <w:rPr>
          <w:color w:val="1A1A2E"/>
        </w:rPr>
        <w:t>Regulación vigente: Ley Federal de Protección de Datos Personales en Posesión de los Particulares (LFPDPPP).</w:t>
      </w:r>
    </w:p>
    <w:p w14:paraId="46761B14" w14:textId="77777777" w:rsidR="00D20C62" w:rsidRDefault="00000000">
      <w:pPr>
        <w:pStyle w:val="Prrafodelista"/>
        <w:numPr>
          <w:ilvl w:val="0"/>
          <w:numId w:val="2"/>
        </w:numPr>
        <w:spacing w:before="60" w:after="60"/>
      </w:pPr>
      <w:r>
        <w:rPr>
          <w:color w:val="1A1A2E"/>
        </w:rPr>
        <w:t xml:space="preserve">Dependencia de servicios de terceros: AWS </w:t>
      </w:r>
      <w:proofErr w:type="spellStart"/>
      <w:r>
        <w:rPr>
          <w:color w:val="1A1A2E"/>
        </w:rPr>
        <w:t>Amplify</w:t>
      </w:r>
      <w:proofErr w:type="spellEnd"/>
      <w:r>
        <w:rPr>
          <w:color w:val="1A1A2E"/>
        </w:rPr>
        <w:t>, Hostinger, Google Play Store, Stripe.</w:t>
      </w:r>
    </w:p>
    <w:p w14:paraId="3BF9A40F" w14:textId="77777777" w:rsidR="00D20C62" w:rsidRDefault="00000000">
      <w:pPr>
        <w:pStyle w:val="Prrafodelista"/>
        <w:numPr>
          <w:ilvl w:val="0"/>
          <w:numId w:val="2"/>
        </w:numPr>
        <w:spacing w:before="60" w:after="60"/>
      </w:pPr>
      <w:r>
        <w:rPr>
          <w:color w:val="1A1A2E"/>
        </w:rPr>
        <w:t>Entorno académico con restricciones de tiempo y recursos del equipo de desarrollo.</w:t>
      </w:r>
    </w:p>
    <w:p w14:paraId="7317AC76" w14:textId="77777777" w:rsidR="00D20C62" w:rsidRDefault="00D20C62">
      <w:pPr>
        <w:spacing w:before="80" w:after="80"/>
      </w:pPr>
    </w:p>
    <w:p w14:paraId="6E4022FA" w14:textId="77777777" w:rsidR="00D20C62" w:rsidRDefault="00000000">
      <w:pPr>
        <w:pStyle w:val="Ttulo2"/>
      </w:pPr>
      <w:r>
        <w:t>3.2 Contexto Interno</w:t>
      </w:r>
    </w:p>
    <w:p w14:paraId="2D8AB141" w14:textId="77777777" w:rsidR="00D20C62" w:rsidRDefault="00000000">
      <w:pPr>
        <w:pStyle w:val="Prrafodelista"/>
        <w:numPr>
          <w:ilvl w:val="0"/>
          <w:numId w:val="2"/>
        </w:numPr>
        <w:spacing w:before="60" w:after="60"/>
      </w:pPr>
      <w:r>
        <w:rPr>
          <w:color w:val="1A1A2E"/>
        </w:rPr>
        <w:t>Equipo de desarrollo conformado por estudiantes de ingeniería con experiencia técnica variable.</w:t>
      </w:r>
    </w:p>
    <w:p w14:paraId="3CBEDBC3" w14:textId="77777777" w:rsidR="00D20C62" w:rsidRDefault="00000000">
      <w:pPr>
        <w:pStyle w:val="Prrafodelista"/>
        <w:numPr>
          <w:ilvl w:val="0"/>
          <w:numId w:val="2"/>
        </w:numPr>
        <w:spacing w:before="60" w:after="60"/>
      </w:pPr>
      <w:r>
        <w:rPr>
          <w:color w:val="1A1A2E"/>
        </w:rPr>
        <w:t xml:space="preserve">Arquitectura </w:t>
      </w:r>
      <w:proofErr w:type="spellStart"/>
      <w:r>
        <w:rPr>
          <w:color w:val="1A1A2E"/>
        </w:rPr>
        <w:t>multi-plataforma</w:t>
      </w:r>
      <w:proofErr w:type="spellEnd"/>
      <w:r>
        <w:rPr>
          <w:color w:val="1A1A2E"/>
        </w:rPr>
        <w:t>: API REST, frontend web, aplicación móvil y bases de datos dual.</w:t>
      </w:r>
    </w:p>
    <w:p w14:paraId="010196D2" w14:textId="77777777" w:rsidR="00D20C62" w:rsidRDefault="00000000">
      <w:pPr>
        <w:pStyle w:val="Prrafodelista"/>
        <w:numPr>
          <w:ilvl w:val="0"/>
          <w:numId w:val="2"/>
        </w:numPr>
        <w:spacing w:before="60" w:after="60"/>
      </w:pPr>
      <w:r>
        <w:rPr>
          <w:color w:val="1A1A2E"/>
        </w:rPr>
        <w:t>Presupuesto limitado para infraestructura; maximización del uso de servicios gratuitos o de bajo costo.</w:t>
      </w:r>
    </w:p>
    <w:p w14:paraId="350394A3" w14:textId="739D9004" w:rsidR="00D20C62" w:rsidRDefault="00000000">
      <w:pPr>
        <w:pStyle w:val="Prrafodelista"/>
        <w:numPr>
          <w:ilvl w:val="0"/>
          <w:numId w:val="2"/>
        </w:numPr>
        <w:spacing w:before="60" w:after="60"/>
      </w:pPr>
      <w:r>
        <w:rPr>
          <w:color w:val="1A1A2E"/>
        </w:rPr>
        <w:t xml:space="preserve">Cliente piloto: gimnasio </w:t>
      </w:r>
      <w:r w:rsidR="00B253CC">
        <w:rPr>
          <w:color w:val="1A1A2E"/>
        </w:rPr>
        <w:t>Gym Pro</w:t>
      </w:r>
      <w:r>
        <w:rPr>
          <w:color w:val="1A1A2E"/>
        </w:rPr>
        <w:t>, Lerma, Estado de México.</w:t>
      </w:r>
    </w:p>
    <w:p w14:paraId="6569FA58" w14:textId="77777777" w:rsidR="00D20C62" w:rsidRDefault="00D20C62">
      <w:pPr>
        <w:spacing w:before="80" w:after="80"/>
      </w:pPr>
    </w:p>
    <w:p w14:paraId="2DB5F21A" w14:textId="77777777" w:rsidR="00D20C62" w:rsidRDefault="00000000">
      <w:pPr>
        <w:pStyle w:val="Ttulo1"/>
      </w:pPr>
      <w:r>
        <w:t>4. Criterios de Riesgo</w:t>
      </w:r>
    </w:p>
    <w:p w14:paraId="38158F6F" w14:textId="77777777" w:rsidR="00D20C62" w:rsidRDefault="00000000">
      <w:pPr>
        <w:spacing w:before="80" w:after="80"/>
        <w:jc w:val="both"/>
      </w:pPr>
      <w:r>
        <w:rPr>
          <w:color w:val="1A1A2E"/>
        </w:rPr>
        <w:lastRenderedPageBreak/>
        <w:t>Para la clasificación de los riesgos identificados se utilizan las siguientes escalas:</w:t>
      </w:r>
    </w:p>
    <w:p w14:paraId="2E2C73CF" w14:textId="77777777" w:rsidR="00D20C62" w:rsidRDefault="00D20C6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2500"/>
        <w:gridCol w:w="2860"/>
      </w:tblGrid>
      <w:tr w:rsidR="00D20C62" w14:paraId="6DB854FA" w14:textId="77777777">
        <w:tblPrEx>
          <w:tblCellMar>
            <w:top w:w="0" w:type="dxa"/>
            <w:bottom w:w="0" w:type="dxa"/>
          </w:tblCellMar>
        </w:tblPrEx>
        <w:trPr>
          <w:tblHeader/>
        </w:trPr>
        <w:tc>
          <w:tcPr>
            <w:tcW w:w="15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vAlign w:val="center"/>
          </w:tcPr>
          <w:p w14:paraId="7A63A7E9" w14:textId="77777777" w:rsidR="00D20C62" w:rsidRDefault="00000000">
            <w:pPr>
              <w:jc w:val="center"/>
            </w:pPr>
            <w:r>
              <w:rPr>
                <w:b/>
                <w:bCs/>
                <w:color w:val="FFFFFF"/>
                <w:sz w:val="18"/>
                <w:szCs w:val="18"/>
              </w:rPr>
              <w:t>Nivel</w:t>
            </w:r>
          </w:p>
        </w:tc>
        <w:tc>
          <w:tcPr>
            <w:tcW w:w="25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vAlign w:val="center"/>
          </w:tcPr>
          <w:p w14:paraId="5C2D7C12" w14:textId="77777777" w:rsidR="00D20C62" w:rsidRDefault="00000000">
            <w:pPr>
              <w:jc w:val="center"/>
            </w:pPr>
            <w:r>
              <w:rPr>
                <w:b/>
                <w:bCs/>
                <w:color w:val="FFFFFF"/>
                <w:sz w:val="18"/>
                <w:szCs w:val="18"/>
              </w:rPr>
              <w:t>Probabilidad</w:t>
            </w:r>
          </w:p>
        </w:tc>
        <w:tc>
          <w:tcPr>
            <w:tcW w:w="25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vAlign w:val="center"/>
          </w:tcPr>
          <w:p w14:paraId="57FDA411" w14:textId="77777777" w:rsidR="00D20C62" w:rsidRDefault="00000000">
            <w:pPr>
              <w:jc w:val="center"/>
            </w:pPr>
            <w:r>
              <w:rPr>
                <w:b/>
                <w:bCs/>
                <w:color w:val="FFFFFF"/>
                <w:sz w:val="18"/>
                <w:szCs w:val="18"/>
              </w:rPr>
              <w:t>Impacto</w:t>
            </w:r>
          </w:p>
        </w:tc>
        <w:tc>
          <w:tcPr>
            <w:tcW w:w="286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vAlign w:val="center"/>
          </w:tcPr>
          <w:p w14:paraId="388BFEBC" w14:textId="77777777" w:rsidR="00D20C62" w:rsidRDefault="00000000">
            <w:pPr>
              <w:jc w:val="center"/>
            </w:pPr>
            <w:r>
              <w:rPr>
                <w:b/>
                <w:bCs/>
                <w:color w:val="FFFFFF"/>
                <w:sz w:val="18"/>
                <w:szCs w:val="18"/>
              </w:rPr>
              <w:t>Escala de Riesgo</w:t>
            </w:r>
          </w:p>
        </w:tc>
      </w:tr>
      <w:tr w:rsidR="00D20C62" w14:paraId="4AD0FC5E" w14:textId="77777777">
        <w:tblPrEx>
          <w:tblCellMar>
            <w:top w:w="0" w:type="dxa"/>
            <w:bottom w:w="0" w:type="dxa"/>
          </w:tblCellMar>
        </w:tblPrEx>
        <w:tc>
          <w:tcPr>
            <w:tcW w:w="15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53A0DD20" w14:textId="77777777" w:rsidR="00D20C62" w:rsidRDefault="00000000">
            <w:r>
              <w:rPr>
                <w:color w:val="1A1A2E"/>
                <w:sz w:val="18"/>
                <w:szCs w:val="18"/>
              </w:rPr>
              <w:t>Alta (3)</w:t>
            </w:r>
          </w:p>
        </w:tc>
        <w:tc>
          <w:tcPr>
            <w:tcW w:w="25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5D4FFA73" w14:textId="77777777" w:rsidR="00D20C62" w:rsidRDefault="00000000">
            <w:r>
              <w:rPr>
                <w:color w:val="1A1A2E"/>
                <w:sz w:val="18"/>
                <w:szCs w:val="18"/>
              </w:rPr>
              <w:t>Ocurrencia esperada durante el proyecto</w:t>
            </w:r>
          </w:p>
        </w:tc>
        <w:tc>
          <w:tcPr>
            <w:tcW w:w="25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60480835" w14:textId="77777777" w:rsidR="00D20C62" w:rsidRDefault="00000000">
            <w:r>
              <w:rPr>
                <w:color w:val="1A1A2E"/>
                <w:sz w:val="18"/>
                <w:szCs w:val="18"/>
              </w:rPr>
              <w:t>Detiene o compromete gravemente el proyecto</w:t>
            </w:r>
          </w:p>
        </w:tc>
        <w:tc>
          <w:tcPr>
            <w:tcW w:w="28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466FD1D0" w14:textId="77777777" w:rsidR="00D20C62" w:rsidRDefault="00000000">
            <w:r>
              <w:rPr>
                <w:color w:val="1A1A2E"/>
                <w:sz w:val="18"/>
                <w:szCs w:val="18"/>
              </w:rPr>
              <w:t>Alto: Acción inmediata requerida</w:t>
            </w:r>
          </w:p>
        </w:tc>
      </w:tr>
      <w:tr w:rsidR="00D20C62" w14:paraId="18F5A4CA" w14:textId="77777777">
        <w:tblPrEx>
          <w:tblCellMar>
            <w:top w:w="0" w:type="dxa"/>
            <w:bottom w:w="0" w:type="dxa"/>
          </w:tblCellMar>
        </w:tblPrEx>
        <w:tc>
          <w:tcPr>
            <w:tcW w:w="1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E6E79E4" w14:textId="77777777" w:rsidR="00D20C62" w:rsidRDefault="00000000">
            <w:r>
              <w:rPr>
                <w:color w:val="1A1A2E"/>
                <w:sz w:val="18"/>
                <w:szCs w:val="18"/>
              </w:rPr>
              <w:t>Media (2)</w:t>
            </w:r>
          </w:p>
        </w:tc>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F46EE33" w14:textId="77777777" w:rsidR="00D20C62" w:rsidRDefault="00000000">
            <w:r>
              <w:rPr>
                <w:color w:val="1A1A2E"/>
                <w:sz w:val="18"/>
                <w:szCs w:val="18"/>
              </w:rPr>
              <w:t>Posibilidad razonable de ocurrencia</w:t>
            </w:r>
          </w:p>
        </w:tc>
        <w:tc>
          <w:tcPr>
            <w:tcW w:w="25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F2D1A94" w14:textId="77777777" w:rsidR="00D20C62" w:rsidRDefault="00000000">
            <w:r>
              <w:rPr>
                <w:color w:val="1A1A2E"/>
                <w:sz w:val="18"/>
                <w:szCs w:val="18"/>
              </w:rPr>
              <w:t>Afecta funcionalidades clave o cronograma</w:t>
            </w:r>
          </w:p>
        </w:tc>
        <w:tc>
          <w:tcPr>
            <w:tcW w:w="28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06189F0" w14:textId="77777777" w:rsidR="00D20C62" w:rsidRDefault="00000000">
            <w:r>
              <w:rPr>
                <w:color w:val="1A1A2E"/>
                <w:sz w:val="18"/>
                <w:szCs w:val="18"/>
              </w:rPr>
              <w:t>Medio: Plan de mitigación requerido</w:t>
            </w:r>
          </w:p>
        </w:tc>
      </w:tr>
      <w:tr w:rsidR="00D20C62" w14:paraId="49587A0E" w14:textId="77777777">
        <w:tblPrEx>
          <w:tblCellMar>
            <w:top w:w="0" w:type="dxa"/>
            <w:bottom w:w="0" w:type="dxa"/>
          </w:tblCellMar>
        </w:tblPrEx>
        <w:tc>
          <w:tcPr>
            <w:tcW w:w="15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22BFA2BD" w14:textId="77777777" w:rsidR="00D20C62" w:rsidRDefault="00000000">
            <w:r>
              <w:rPr>
                <w:color w:val="1A1A2E"/>
                <w:sz w:val="18"/>
                <w:szCs w:val="18"/>
              </w:rPr>
              <w:t>Baja (1)</w:t>
            </w:r>
          </w:p>
        </w:tc>
        <w:tc>
          <w:tcPr>
            <w:tcW w:w="25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2CD2FFD5" w14:textId="77777777" w:rsidR="00D20C62" w:rsidRDefault="00000000">
            <w:r>
              <w:rPr>
                <w:color w:val="1A1A2E"/>
                <w:sz w:val="18"/>
                <w:szCs w:val="18"/>
              </w:rPr>
              <w:t>Poco probable pero posible</w:t>
            </w:r>
          </w:p>
        </w:tc>
        <w:tc>
          <w:tcPr>
            <w:tcW w:w="25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35AD59AF" w14:textId="77777777" w:rsidR="00D20C62" w:rsidRDefault="00000000">
            <w:r>
              <w:rPr>
                <w:color w:val="1A1A2E"/>
                <w:sz w:val="18"/>
                <w:szCs w:val="18"/>
              </w:rPr>
              <w:t>Impacto menor o fácilmente recuperable</w:t>
            </w:r>
          </w:p>
        </w:tc>
        <w:tc>
          <w:tcPr>
            <w:tcW w:w="28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5656571B" w14:textId="77777777" w:rsidR="00D20C62" w:rsidRDefault="00000000">
            <w:r>
              <w:rPr>
                <w:color w:val="1A1A2E"/>
                <w:sz w:val="18"/>
                <w:szCs w:val="18"/>
              </w:rPr>
              <w:t>Bajo: Monitoreo periódico suficiente</w:t>
            </w:r>
          </w:p>
        </w:tc>
      </w:tr>
    </w:tbl>
    <w:p w14:paraId="624F3D5B" w14:textId="77777777" w:rsidR="00D20C62" w:rsidRDefault="00D20C62">
      <w:pPr>
        <w:spacing w:before="80" w:after="80"/>
      </w:pPr>
    </w:p>
    <w:p w14:paraId="14F1B6D6" w14:textId="77777777" w:rsidR="00D20C62" w:rsidRDefault="00D20C62">
      <w:pPr>
        <w:spacing w:before="80" w:after="80"/>
      </w:pPr>
    </w:p>
    <w:p w14:paraId="17FFDD00" w14:textId="77777777" w:rsidR="00D20C62" w:rsidRDefault="00000000">
      <w:pPr>
        <w:pStyle w:val="Ttulo1"/>
      </w:pPr>
      <w:r>
        <w:t>5. Identificación y Evaluación de Riesgos</w:t>
      </w:r>
    </w:p>
    <w:p w14:paraId="4DCE17C0" w14:textId="77777777" w:rsidR="00D20C62" w:rsidRDefault="00000000">
      <w:pPr>
        <w:spacing w:before="80" w:after="80"/>
        <w:jc w:val="both"/>
      </w:pPr>
      <w:r>
        <w:rPr>
          <w:color w:val="1A1A2E"/>
        </w:rPr>
        <w:t>Conforme al proceso de evaluación del riesgo de la ISO 31000:2018 (cláusula 6.4), se identificaron diez riesgos principales agrupados en cinco categorías: Técnico, Seguridad, Negocio, Legal y Proyecto. La siguiente tabla consolida el análisis completo:</w:t>
      </w:r>
    </w:p>
    <w:p w14:paraId="7671F6EA" w14:textId="77777777" w:rsidR="00D20C62" w:rsidRDefault="00D20C62">
      <w:pPr>
        <w:spacing w:before="80" w:after="80"/>
      </w:pP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8"/>
        <w:gridCol w:w="1401"/>
        <w:gridCol w:w="2348"/>
        <w:gridCol w:w="731"/>
        <w:gridCol w:w="931"/>
        <w:gridCol w:w="831"/>
        <w:gridCol w:w="1859"/>
        <w:gridCol w:w="1361"/>
      </w:tblGrid>
      <w:tr w:rsidR="00D20C62" w14:paraId="7349E208" w14:textId="77777777">
        <w:tblPrEx>
          <w:tblCellMar>
            <w:top w:w="0" w:type="dxa"/>
            <w:bottom w:w="0" w:type="dxa"/>
          </w:tblCellMar>
        </w:tblPrEx>
        <w:trPr>
          <w:tblHeader/>
        </w:trPr>
        <w:tc>
          <w:tcPr>
            <w:tcW w:w="54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vAlign w:val="center"/>
          </w:tcPr>
          <w:p w14:paraId="0D1A6ADE" w14:textId="77777777" w:rsidR="00D20C62" w:rsidRDefault="00000000">
            <w:pPr>
              <w:jc w:val="center"/>
            </w:pPr>
            <w:r>
              <w:rPr>
                <w:b/>
                <w:bCs/>
                <w:color w:val="FFFFFF"/>
                <w:sz w:val="18"/>
                <w:szCs w:val="18"/>
              </w:rPr>
              <w:t>ID</w:t>
            </w:r>
          </w:p>
        </w:tc>
        <w:tc>
          <w:tcPr>
            <w:tcW w:w="11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vAlign w:val="center"/>
          </w:tcPr>
          <w:p w14:paraId="498283DD" w14:textId="77777777" w:rsidR="00D20C62" w:rsidRDefault="00000000">
            <w:pPr>
              <w:jc w:val="center"/>
            </w:pPr>
            <w:r>
              <w:rPr>
                <w:b/>
                <w:bCs/>
                <w:color w:val="FFFFFF"/>
                <w:sz w:val="18"/>
                <w:szCs w:val="18"/>
              </w:rPr>
              <w:t>Categoría</w:t>
            </w:r>
          </w:p>
        </w:tc>
        <w:tc>
          <w:tcPr>
            <w:tcW w:w="29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vAlign w:val="center"/>
          </w:tcPr>
          <w:p w14:paraId="2F099E7C" w14:textId="77777777" w:rsidR="00D20C62" w:rsidRDefault="00000000">
            <w:pPr>
              <w:jc w:val="center"/>
            </w:pPr>
            <w:r>
              <w:rPr>
                <w:b/>
                <w:bCs/>
                <w:color w:val="FFFFFF"/>
                <w:sz w:val="18"/>
                <w:szCs w:val="18"/>
              </w:rPr>
              <w:t>Descripción del Riesgo</w:t>
            </w:r>
          </w:p>
        </w:tc>
        <w:tc>
          <w:tcPr>
            <w:tcW w:w="7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vAlign w:val="center"/>
          </w:tcPr>
          <w:p w14:paraId="1F11D5CA" w14:textId="77777777" w:rsidR="00D20C62" w:rsidRDefault="00000000">
            <w:pPr>
              <w:jc w:val="center"/>
            </w:pPr>
            <w:proofErr w:type="spellStart"/>
            <w:r>
              <w:rPr>
                <w:b/>
                <w:bCs/>
                <w:color w:val="FFFFFF"/>
                <w:sz w:val="18"/>
                <w:szCs w:val="18"/>
              </w:rPr>
              <w:t>Prob</w:t>
            </w:r>
            <w:proofErr w:type="spellEnd"/>
            <w:r>
              <w:rPr>
                <w:b/>
                <w:bCs/>
                <w:color w:val="FFFFFF"/>
                <w:sz w:val="18"/>
                <w:szCs w:val="18"/>
              </w:rPr>
              <w:t>.</w:t>
            </w:r>
          </w:p>
        </w:tc>
        <w:tc>
          <w:tcPr>
            <w:tcW w:w="7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vAlign w:val="center"/>
          </w:tcPr>
          <w:p w14:paraId="0A435897" w14:textId="77777777" w:rsidR="00D20C62" w:rsidRDefault="00000000">
            <w:pPr>
              <w:jc w:val="center"/>
            </w:pPr>
            <w:r>
              <w:rPr>
                <w:b/>
                <w:bCs/>
                <w:color w:val="FFFFFF"/>
                <w:sz w:val="18"/>
                <w:szCs w:val="18"/>
              </w:rPr>
              <w:t>Impacto</w:t>
            </w:r>
          </w:p>
        </w:tc>
        <w:tc>
          <w:tcPr>
            <w:tcW w:w="7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vAlign w:val="center"/>
          </w:tcPr>
          <w:p w14:paraId="54AA40CB" w14:textId="77777777" w:rsidR="00D20C62" w:rsidRDefault="00000000">
            <w:pPr>
              <w:jc w:val="center"/>
            </w:pPr>
            <w:r>
              <w:rPr>
                <w:b/>
                <w:bCs/>
                <w:color w:val="FFFFFF"/>
                <w:sz w:val="18"/>
                <w:szCs w:val="18"/>
              </w:rPr>
              <w:t>Nivel</w:t>
            </w:r>
          </w:p>
        </w:tc>
        <w:tc>
          <w:tcPr>
            <w:tcW w:w="212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vAlign w:val="center"/>
          </w:tcPr>
          <w:p w14:paraId="22847E78" w14:textId="77777777" w:rsidR="00D20C62" w:rsidRDefault="00000000">
            <w:pPr>
              <w:jc w:val="center"/>
            </w:pPr>
            <w:r>
              <w:rPr>
                <w:b/>
                <w:bCs/>
                <w:color w:val="FFFFFF"/>
                <w:sz w:val="18"/>
                <w:szCs w:val="18"/>
              </w:rPr>
              <w:t>Estrategia de Respuesta</w:t>
            </w:r>
          </w:p>
        </w:tc>
        <w:tc>
          <w:tcPr>
            <w:tcW w:w="12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vAlign w:val="center"/>
          </w:tcPr>
          <w:p w14:paraId="4FF48973" w14:textId="77777777" w:rsidR="00D20C62" w:rsidRDefault="00000000">
            <w:pPr>
              <w:jc w:val="center"/>
            </w:pPr>
            <w:r>
              <w:rPr>
                <w:b/>
                <w:bCs/>
                <w:color w:val="FFFFFF"/>
                <w:sz w:val="18"/>
                <w:szCs w:val="18"/>
              </w:rPr>
              <w:t>Responsable</w:t>
            </w:r>
          </w:p>
        </w:tc>
      </w:tr>
      <w:tr w:rsidR="00D20C62" w14:paraId="5CF737BF" w14:textId="77777777">
        <w:tblPrEx>
          <w:tblCellMar>
            <w:top w:w="0" w:type="dxa"/>
            <w:bottom w:w="0" w:type="dxa"/>
          </w:tblCellMar>
        </w:tblPrEx>
        <w:tc>
          <w:tcPr>
            <w:tcW w:w="5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74714444" w14:textId="77777777" w:rsidR="00D20C62" w:rsidRDefault="00000000">
            <w:pPr>
              <w:jc w:val="center"/>
            </w:pPr>
            <w:r>
              <w:rPr>
                <w:b/>
                <w:bCs/>
                <w:color w:val="2E75B6"/>
                <w:sz w:val="18"/>
                <w:szCs w:val="18"/>
              </w:rPr>
              <w:t>R-01</w:t>
            </w:r>
          </w:p>
        </w:tc>
        <w:tc>
          <w:tcPr>
            <w:tcW w:w="11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3854CC2E" w14:textId="77777777" w:rsidR="00D20C62" w:rsidRDefault="00000000">
            <w:r>
              <w:rPr>
                <w:color w:val="1A1A2E"/>
                <w:sz w:val="18"/>
                <w:szCs w:val="18"/>
              </w:rPr>
              <w:t>Técnico</w:t>
            </w:r>
          </w:p>
        </w:tc>
        <w:tc>
          <w:tcPr>
            <w:tcW w:w="2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2829D4B5" w14:textId="77777777" w:rsidR="00D20C62" w:rsidRDefault="00000000">
            <w:r>
              <w:rPr>
                <w:color w:val="1A1A2E"/>
                <w:sz w:val="18"/>
                <w:szCs w:val="18"/>
              </w:rPr>
              <w:t>Caída del servidor VPS que aloje la API REST, provocando indisponibilidad total del servicio.</w:t>
            </w:r>
          </w:p>
        </w:tc>
        <w:tc>
          <w:tcPr>
            <w:tcW w:w="7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67D1EEFB" w14:textId="77777777" w:rsidR="00D20C62" w:rsidRDefault="00000000">
            <w:pPr>
              <w:jc w:val="center"/>
            </w:pPr>
            <w:r>
              <w:rPr>
                <w:color w:val="1A1A2E"/>
                <w:sz w:val="18"/>
                <w:szCs w:val="18"/>
              </w:rPr>
              <w:t>Alta (3)</w:t>
            </w:r>
          </w:p>
        </w:tc>
        <w:tc>
          <w:tcPr>
            <w:tcW w:w="7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7BC9FB1B" w14:textId="77777777" w:rsidR="00D20C62" w:rsidRDefault="00000000">
            <w:pPr>
              <w:jc w:val="center"/>
            </w:pPr>
            <w:r>
              <w:rPr>
                <w:color w:val="1A1A2E"/>
                <w:sz w:val="18"/>
                <w:szCs w:val="18"/>
              </w:rPr>
              <w:t>Alto (3)</w:t>
            </w:r>
          </w:p>
        </w:tc>
        <w:tc>
          <w:tcPr>
            <w:tcW w:w="700" w:type="dxa"/>
            <w:tcBorders>
              <w:top w:val="single" w:sz="1" w:space="0" w:color="BDD7EE"/>
              <w:left w:val="single" w:sz="1" w:space="0" w:color="BDD7EE"/>
              <w:bottom w:val="single" w:sz="1" w:space="0" w:color="BDD7EE"/>
              <w:right w:val="single" w:sz="1" w:space="0" w:color="BDD7EE"/>
            </w:tcBorders>
            <w:shd w:val="clear" w:color="auto" w:fill="FFCCCC"/>
            <w:tcMar>
              <w:top w:w="80" w:type="dxa"/>
              <w:left w:w="120" w:type="dxa"/>
              <w:bottom w:w="80" w:type="dxa"/>
              <w:right w:w="120" w:type="dxa"/>
            </w:tcMar>
          </w:tcPr>
          <w:p w14:paraId="0EB3388B" w14:textId="77777777" w:rsidR="00D20C62" w:rsidRDefault="00000000">
            <w:pPr>
              <w:jc w:val="center"/>
            </w:pPr>
            <w:r>
              <w:rPr>
                <w:b/>
                <w:bCs/>
                <w:color w:val="C00000"/>
                <w:sz w:val="18"/>
                <w:szCs w:val="18"/>
              </w:rPr>
              <w:t>ALTO</w:t>
            </w:r>
          </w:p>
        </w:tc>
        <w:tc>
          <w:tcPr>
            <w:tcW w:w="2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0C8CD82F" w14:textId="77777777" w:rsidR="00D20C62" w:rsidRDefault="00000000">
            <w:r>
              <w:rPr>
                <w:color w:val="1A1A2E"/>
                <w:sz w:val="18"/>
                <w:szCs w:val="18"/>
              </w:rPr>
              <w:t>Mitigación: Configurar monitoreo 24/7 con alertas automáticas (</w:t>
            </w:r>
            <w:proofErr w:type="spellStart"/>
            <w:r>
              <w:rPr>
                <w:color w:val="1A1A2E"/>
                <w:sz w:val="18"/>
                <w:szCs w:val="18"/>
              </w:rPr>
              <w:t>UptimeRobot</w:t>
            </w:r>
            <w:proofErr w:type="spellEnd"/>
            <w:r>
              <w:rPr>
                <w:color w:val="1A1A2E"/>
                <w:sz w:val="18"/>
                <w:szCs w:val="18"/>
              </w:rPr>
              <w:t xml:space="preserve">). Implementar proceso de reinicio automático con Docker </w:t>
            </w:r>
            <w:proofErr w:type="spellStart"/>
            <w:r>
              <w:rPr>
                <w:color w:val="1A1A2E"/>
                <w:sz w:val="18"/>
                <w:szCs w:val="18"/>
              </w:rPr>
              <w:t>Compose</w:t>
            </w:r>
            <w:proofErr w:type="spellEnd"/>
            <w:r>
              <w:rPr>
                <w:color w:val="1A1A2E"/>
                <w:sz w:val="18"/>
                <w:szCs w:val="18"/>
              </w:rPr>
              <w:t xml:space="preserve"> </w:t>
            </w:r>
            <w:proofErr w:type="spellStart"/>
            <w:r>
              <w:rPr>
                <w:color w:val="1A1A2E"/>
                <w:sz w:val="18"/>
                <w:szCs w:val="18"/>
              </w:rPr>
              <w:t>restart</w:t>
            </w:r>
            <w:proofErr w:type="spellEnd"/>
            <w:r>
              <w:rPr>
                <w:color w:val="1A1A2E"/>
                <w:sz w:val="18"/>
                <w:szCs w:val="18"/>
              </w:rPr>
              <w:t xml:space="preserve"> </w:t>
            </w:r>
            <w:proofErr w:type="spellStart"/>
            <w:r>
              <w:rPr>
                <w:color w:val="1A1A2E"/>
                <w:sz w:val="18"/>
                <w:szCs w:val="18"/>
              </w:rPr>
              <w:t>policy</w:t>
            </w:r>
            <w:proofErr w:type="spellEnd"/>
            <w:r>
              <w:rPr>
                <w:color w:val="1A1A2E"/>
                <w:sz w:val="18"/>
                <w:szCs w:val="18"/>
              </w:rPr>
              <w:t>. Documentar procedimiento de recuperación manual. Plan de respaldo en VPS alternativo.</w:t>
            </w:r>
          </w:p>
        </w:tc>
        <w:tc>
          <w:tcPr>
            <w:tcW w:w="1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124E3295" w14:textId="77777777" w:rsidR="00D20C62" w:rsidRDefault="00000000">
            <w:r>
              <w:rPr>
                <w:color w:val="1A1A2E"/>
                <w:sz w:val="18"/>
                <w:szCs w:val="18"/>
              </w:rPr>
              <w:t>Equipo de desarrollo</w:t>
            </w:r>
          </w:p>
        </w:tc>
      </w:tr>
      <w:tr w:rsidR="00D20C62" w14:paraId="3436EBB7" w14:textId="77777777">
        <w:tblPrEx>
          <w:tblCellMar>
            <w:top w:w="0" w:type="dxa"/>
            <w:bottom w:w="0" w:type="dxa"/>
          </w:tblCellMar>
        </w:tblPrEx>
        <w:tc>
          <w:tcPr>
            <w:tcW w:w="5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3228E61" w14:textId="77777777" w:rsidR="00D20C62" w:rsidRDefault="00000000">
            <w:pPr>
              <w:jc w:val="center"/>
            </w:pPr>
            <w:r>
              <w:rPr>
                <w:b/>
                <w:bCs/>
                <w:color w:val="2E75B6"/>
                <w:sz w:val="18"/>
                <w:szCs w:val="18"/>
              </w:rPr>
              <w:t>R-02</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FBCD99C" w14:textId="77777777" w:rsidR="00D20C62" w:rsidRDefault="00000000">
            <w:r>
              <w:rPr>
                <w:color w:val="1A1A2E"/>
                <w:sz w:val="18"/>
                <w:szCs w:val="18"/>
              </w:rPr>
              <w:t>Técnico</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AF4FC40" w14:textId="77777777" w:rsidR="00D20C62" w:rsidRDefault="00000000">
            <w:r>
              <w:rPr>
                <w:color w:val="1A1A2E"/>
                <w:sz w:val="18"/>
                <w:szCs w:val="18"/>
              </w:rPr>
              <w:t>Fallo en la base de datos PostgreSQL o MongoDB que cause corrupción o pérdida de datos críticos.</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37E2780" w14:textId="77777777" w:rsidR="00D20C62" w:rsidRDefault="00000000">
            <w:pPr>
              <w:jc w:val="center"/>
            </w:pPr>
            <w:r>
              <w:rPr>
                <w:color w:val="1A1A2E"/>
                <w:sz w:val="18"/>
                <w:szCs w:val="18"/>
              </w:rPr>
              <w:t>Media (2)</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9BE23E8" w14:textId="77777777" w:rsidR="00D20C62" w:rsidRDefault="00000000">
            <w:pPr>
              <w:jc w:val="center"/>
            </w:pPr>
            <w:r>
              <w:rPr>
                <w:color w:val="1A1A2E"/>
                <w:sz w:val="18"/>
                <w:szCs w:val="18"/>
              </w:rPr>
              <w:t>Alto (3)</w:t>
            </w:r>
          </w:p>
        </w:tc>
        <w:tc>
          <w:tcPr>
            <w:tcW w:w="700" w:type="dxa"/>
            <w:tcBorders>
              <w:top w:val="single" w:sz="1" w:space="0" w:color="BDD7EE"/>
              <w:left w:val="single" w:sz="1" w:space="0" w:color="BDD7EE"/>
              <w:bottom w:val="single" w:sz="1" w:space="0" w:color="BDD7EE"/>
              <w:right w:val="single" w:sz="1" w:space="0" w:color="BDD7EE"/>
            </w:tcBorders>
            <w:shd w:val="clear" w:color="auto" w:fill="FFCCCC"/>
            <w:tcMar>
              <w:top w:w="80" w:type="dxa"/>
              <w:left w:w="120" w:type="dxa"/>
              <w:bottom w:w="80" w:type="dxa"/>
              <w:right w:w="120" w:type="dxa"/>
            </w:tcMar>
          </w:tcPr>
          <w:p w14:paraId="4E743CEB" w14:textId="77777777" w:rsidR="00D20C62" w:rsidRDefault="00000000">
            <w:pPr>
              <w:jc w:val="center"/>
            </w:pPr>
            <w:r>
              <w:rPr>
                <w:b/>
                <w:bCs/>
                <w:color w:val="C00000"/>
                <w:sz w:val="18"/>
                <w:szCs w:val="18"/>
              </w:rPr>
              <w:t>ALTO</w:t>
            </w:r>
          </w:p>
        </w:tc>
        <w:tc>
          <w:tcPr>
            <w:tcW w:w="2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C51E1B4" w14:textId="77777777" w:rsidR="00D20C62" w:rsidRDefault="00000000">
            <w:r>
              <w:rPr>
                <w:color w:val="1A1A2E"/>
                <w:sz w:val="18"/>
                <w:szCs w:val="18"/>
              </w:rPr>
              <w:t xml:space="preserve">Mitigación: Respaldos automáticos diarios con retención de 30 días. Pruebas mensuales de restauración. Replicación lógica de PostgreSQL. </w:t>
            </w:r>
            <w:proofErr w:type="spellStart"/>
            <w:r>
              <w:rPr>
                <w:color w:val="1A1A2E"/>
                <w:sz w:val="18"/>
                <w:szCs w:val="18"/>
              </w:rPr>
              <w:t>Dumps</w:t>
            </w:r>
            <w:proofErr w:type="spellEnd"/>
            <w:r>
              <w:rPr>
                <w:color w:val="1A1A2E"/>
                <w:sz w:val="18"/>
                <w:szCs w:val="18"/>
              </w:rPr>
              <w:t xml:space="preserve"> programados de MongoDB.</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C4CAA87" w14:textId="77777777" w:rsidR="00D20C62" w:rsidRDefault="00000000">
            <w:r>
              <w:rPr>
                <w:color w:val="1A1A2E"/>
                <w:sz w:val="18"/>
                <w:szCs w:val="18"/>
              </w:rPr>
              <w:t>Equipo de desarrollo</w:t>
            </w:r>
          </w:p>
        </w:tc>
      </w:tr>
      <w:tr w:rsidR="00D20C62" w14:paraId="0A3C42B7" w14:textId="77777777">
        <w:tblPrEx>
          <w:tblCellMar>
            <w:top w:w="0" w:type="dxa"/>
            <w:bottom w:w="0" w:type="dxa"/>
          </w:tblCellMar>
        </w:tblPrEx>
        <w:tc>
          <w:tcPr>
            <w:tcW w:w="5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39FD89D2" w14:textId="77777777" w:rsidR="00D20C62" w:rsidRDefault="00000000">
            <w:pPr>
              <w:jc w:val="center"/>
            </w:pPr>
            <w:r>
              <w:rPr>
                <w:b/>
                <w:bCs/>
                <w:color w:val="2E75B6"/>
                <w:sz w:val="18"/>
                <w:szCs w:val="18"/>
              </w:rPr>
              <w:t>R-03</w:t>
            </w:r>
          </w:p>
        </w:tc>
        <w:tc>
          <w:tcPr>
            <w:tcW w:w="11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4E9D1BEC" w14:textId="77777777" w:rsidR="00D20C62" w:rsidRDefault="00000000">
            <w:r>
              <w:rPr>
                <w:color w:val="1A1A2E"/>
                <w:sz w:val="18"/>
                <w:szCs w:val="18"/>
              </w:rPr>
              <w:t>Seguridad</w:t>
            </w:r>
          </w:p>
        </w:tc>
        <w:tc>
          <w:tcPr>
            <w:tcW w:w="2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7C451661" w14:textId="77777777" w:rsidR="00D20C62" w:rsidRDefault="00000000">
            <w:r>
              <w:rPr>
                <w:color w:val="1A1A2E"/>
                <w:sz w:val="18"/>
                <w:szCs w:val="18"/>
              </w:rPr>
              <w:t>Vulnerabilidad en la autenticación JWT que permita acceso no autorizado a datos de miembros o administradores.</w:t>
            </w:r>
          </w:p>
        </w:tc>
        <w:tc>
          <w:tcPr>
            <w:tcW w:w="7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01788BCA" w14:textId="77777777" w:rsidR="00D20C62" w:rsidRDefault="00000000">
            <w:pPr>
              <w:jc w:val="center"/>
            </w:pPr>
            <w:r>
              <w:rPr>
                <w:color w:val="1A1A2E"/>
                <w:sz w:val="18"/>
                <w:szCs w:val="18"/>
              </w:rPr>
              <w:t>Baja (1)</w:t>
            </w:r>
          </w:p>
        </w:tc>
        <w:tc>
          <w:tcPr>
            <w:tcW w:w="7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0897844D" w14:textId="77777777" w:rsidR="00D20C62" w:rsidRDefault="00000000">
            <w:pPr>
              <w:jc w:val="center"/>
            </w:pPr>
            <w:r>
              <w:rPr>
                <w:color w:val="1A1A2E"/>
                <w:sz w:val="18"/>
                <w:szCs w:val="18"/>
              </w:rPr>
              <w:t>Alto (3)</w:t>
            </w:r>
          </w:p>
        </w:tc>
        <w:tc>
          <w:tcPr>
            <w:tcW w:w="700" w:type="dxa"/>
            <w:tcBorders>
              <w:top w:val="single" w:sz="1" w:space="0" w:color="BDD7EE"/>
              <w:left w:val="single" w:sz="1" w:space="0" w:color="BDD7EE"/>
              <w:bottom w:val="single" w:sz="1" w:space="0" w:color="BDD7EE"/>
              <w:right w:val="single" w:sz="1" w:space="0" w:color="BDD7EE"/>
            </w:tcBorders>
            <w:shd w:val="clear" w:color="auto" w:fill="FFE6CC"/>
            <w:tcMar>
              <w:top w:w="80" w:type="dxa"/>
              <w:left w:w="120" w:type="dxa"/>
              <w:bottom w:w="80" w:type="dxa"/>
              <w:right w:w="120" w:type="dxa"/>
            </w:tcMar>
          </w:tcPr>
          <w:p w14:paraId="37BB2F21" w14:textId="77777777" w:rsidR="00D20C62" w:rsidRDefault="00000000">
            <w:pPr>
              <w:jc w:val="center"/>
            </w:pPr>
            <w:r>
              <w:rPr>
                <w:b/>
                <w:bCs/>
                <w:color w:val="E36C09"/>
                <w:sz w:val="18"/>
                <w:szCs w:val="18"/>
              </w:rPr>
              <w:t>MEDIO</w:t>
            </w:r>
          </w:p>
        </w:tc>
        <w:tc>
          <w:tcPr>
            <w:tcW w:w="2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230BC9F6" w14:textId="77777777" w:rsidR="00D20C62" w:rsidRDefault="00000000">
            <w:r>
              <w:rPr>
                <w:color w:val="1A1A2E"/>
                <w:sz w:val="18"/>
                <w:szCs w:val="18"/>
              </w:rPr>
              <w:t xml:space="preserve">Mitigación: Implementar expiración corta de tokens (15 min). </w:t>
            </w:r>
            <w:proofErr w:type="spellStart"/>
            <w:r>
              <w:rPr>
                <w:color w:val="1A1A2E"/>
                <w:sz w:val="18"/>
                <w:szCs w:val="18"/>
              </w:rPr>
              <w:t>Refresh</w:t>
            </w:r>
            <w:proofErr w:type="spellEnd"/>
            <w:r>
              <w:rPr>
                <w:color w:val="1A1A2E"/>
                <w:sz w:val="18"/>
                <w:szCs w:val="18"/>
              </w:rPr>
              <w:t xml:space="preserve"> tokens con rotación. Auditorías de código de seguridad bimestrales. Pruebas de </w:t>
            </w:r>
            <w:r>
              <w:rPr>
                <w:color w:val="1A1A2E"/>
                <w:sz w:val="18"/>
                <w:szCs w:val="18"/>
              </w:rPr>
              <w:lastRenderedPageBreak/>
              <w:t>penetración antes del lanzamiento.</w:t>
            </w:r>
          </w:p>
        </w:tc>
        <w:tc>
          <w:tcPr>
            <w:tcW w:w="1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164FB0BF" w14:textId="77777777" w:rsidR="00D20C62" w:rsidRDefault="00000000">
            <w:r>
              <w:rPr>
                <w:color w:val="1A1A2E"/>
                <w:sz w:val="18"/>
                <w:szCs w:val="18"/>
              </w:rPr>
              <w:lastRenderedPageBreak/>
              <w:t>Equipo de desarrollo</w:t>
            </w:r>
          </w:p>
        </w:tc>
      </w:tr>
      <w:tr w:rsidR="00D20C62" w14:paraId="67C599A2" w14:textId="77777777">
        <w:tblPrEx>
          <w:tblCellMar>
            <w:top w:w="0" w:type="dxa"/>
            <w:bottom w:w="0" w:type="dxa"/>
          </w:tblCellMar>
        </w:tblPrEx>
        <w:tc>
          <w:tcPr>
            <w:tcW w:w="5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4D82A37" w14:textId="77777777" w:rsidR="00D20C62" w:rsidRDefault="00000000">
            <w:pPr>
              <w:jc w:val="center"/>
            </w:pPr>
            <w:r>
              <w:rPr>
                <w:b/>
                <w:bCs/>
                <w:color w:val="2E75B6"/>
                <w:sz w:val="18"/>
                <w:szCs w:val="18"/>
              </w:rPr>
              <w:t>R-04</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3D8619D" w14:textId="77777777" w:rsidR="00D20C62" w:rsidRDefault="00000000">
            <w:r>
              <w:rPr>
                <w:color w:val="1A1A2E"/>
                <w:sz w:val="18"/>
                <w:szCs w:val="18"/>
              </w:rPr>
              <w:t>Negocio</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F259184" w14:textId="77777777" w:rsidR="00D20C62" w:rsidRDefault="00000000">
            <w:r>
              <w:rPr>
                <w:color w:val="1A1A2E"/>
                <w:sz w:val="18"/>
                <w:szCs w:val="18"/>
              </w:rPr>
              <w:t>Baja adopción de la plataforma por parte de los miembros del gimnasio, reduciendo el ROI del proyecto.</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F4C2163" w14:textId="77777777" w:rsidR="00D20C62" w:rsidRDefault="00000000">
            <w:pPr>
              <w:jc w:val="center"/>
            </w:pPr>
            <w:r>
              <w:rPr>
                <w:color w:val="1A1A2E"/>
                <w:sz w:val="18"/>
                <w:szCs w:val="18"/>
              </w:rPr>
              <w:t>Media (2)</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16A9A1CB" w14:textId="77777777" w:rsidR="00D20C62" w:rsidRDefault="00000000">
            <w:pPr>
              <w:jc w:val="center"/>
            </w:pPr>
            <w:r>
              <w:rPr>
                <w:color w:val="1A1A2E"/>
                <w:sz w:val="18"/>
                <w:szCs w:val="18"/>
              </w:rPr>
              <w:t>Alto (3)</w:t>
            </w:r>
          </w:p>
        </w:tc>
        <w:tc>
          <w:tcPr>
            <w:tcW w:w="700" w:type="dxa"/>
            <w:tcBorders>
              <w:top w:val="single" w:sz="1" w:space="0" w:color="BDD7EE"/>
              <w:left w:val="single" w:sz="1" w:space="0" w:color="BDD7EE"/>
              <w:bottom w:val="single" w:sz="1" w:space="0" w:color="BDD7EE"/>
              <w:right w:val="single" w:sz="1" w:space="0" w:color="BDD7EE"/>
            </w:tcBorders>
            <w:shd w:val="clear" w:color="auto" w:fill="FFCCCC"/>
            <w:tcMar>
              <w:top w:w="80" w:type="dxa"/>
              <w:left w:w="120" w:type="dxa"/>
              <w:bottom w:w="80" w:type="dxa"/>
              <w:right w:w="120" w:type="dxa"/>
            </w:tcMar>
          </w:tcPr>
          <w:p w14:paraId="04B09F86" w14:textId="77777777" w:rsidR="00D20C62" w:rsidRDefault="00000000">
            <w:pPr>
              <w:jc w:val="center"/>
            </w:pPr>
            <w:r>
              <w:rPr>
                <w:b/>
                <w:bCs/>
                <w:color w:val="C00000"/>
                <w:sz w:val="18"/>
                <w:szCs w:val="18"/>
              </w:rPr>
              <w:t>ALTO</w:t>
            </w:r>
          </w:p>
        </w:tc>
        <w:tc>
          <w:tcPr>
            <w:tcW w:w="2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6E482B1" w14:textId="77777777" w:rsidR="00D20C62" w:rsidRDefault="00000000">
            <w:r>
              <w:rPr>
                <w:color w:val="1A1A2E"/>
                <w:sz w:val="18"/>
                <w:szCs w:val="18"/>
              </w:rPr>
              <w:t>Mitigación: Campaña de comunicación previa al lanzamiento. Capacitación presencial a usuarios clave. Periodo de uso guiado de 2 semanas post-lanzamiento. Encuestas de usabilidad semanales.</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7767DD2" w14:textId="77777777" w:rsidR="00D20C62" w:rsidRDefault="00000000">
            <w:r>
              <w:rPr>
                <w:color w:val="1A1A2E"/>
                <w:sz w:val="18"/>
                <w:szCs w:val="18"/>
              </w:rPr>
              <w:t>Líder de proyecto</w:t>
            </w:r>
          </w:p>
        </w:tc>
      </w:tr>
      <w:tr w:rsidR="00D20C62" w14:paraId="5647FABC" w14:textId="77777777">
        <w:tblPrEx>
          <w:tblCellMar>
            <w:top w:w="0" w:type="dxa"/>
            <w:bottom w:w="0" w:type="dxa"/>
          </w:tblCellMar>
        </w:tblPrEx>
        <w:tc>
          <w:tcPr>
            <w:tcW w:w="5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22A3CC79" w14:textId="77777777" w:rsidR="00D20C62" w:rsidRDefault="00000000">
            <w:pPr>
              <w:jc w:val="center"/>
            </w:pPr>
            <w:r>
              <w:rPr>
                <w:b/>
                <w:bCs/>
                <w:color w:val="2E75B6"/>
                <w:sz w:val="18"/>
                <w:szCs w:val="18"/>
              </w:rPr>
              <w:t>R-05</w:t>
            </w:r>
          </w:p>
        </w:tc>
        <w:tc>
          <w:tcPr>
            <w:tcW w:w="11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00E7F1A9" w14:textId="77777777" w:rsidR="00D20C62" w:rsidRDefault="00000000">
            <w:r>
              <w:rPr>
                <w:color w:val="1A1A2E"/>
                <w:sz w:val="18"/>
                <w:szCs w:val="18"/>
              </w:rPr>
              <w:t>Infraestructura</w:t>
            </w:r>
          </w:p>
        </w:tc>
        <w:tc>
          <w:tcPr>
            <w:tcW w:w="2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5D2EA09B" w14:textId="77777777" w:rsidR="00D20C62" w:rsidRDefault="00000000">
            <w:r>
              <w:rPr>
                <w:color w:val="1A1A2E"/>
                <w:sz w:val="18"/>
                <w:szCs w:val="18"/>
              </w:rPr>
              <w:t xml:space="preserve">Agotamiento del crédito gratuito de AWS </w:t>
            </w:r>
            <w:proofErr w:type="spellStart"/>
            <w:r>
              <w:rPr>
                <w:color w:val="1A1A2E"/>
                <w:sz w:val="18"/>
                <w:szCs w:val="18"/>
              </w:rPr>
              <w:t>Amplify</w:t>
            </w:r>
            <w:proofErr w:type="spellEnd"/>
            <w:r>
              <w:rPr>
                <w:color w:val="1A1A2E"/>
                <w:sz w:val="18"/>
                <w:szCs w:val="18"/>
              </w:rPr>
              <w:t>, generando costos no presupuestados para el frontend.</w:t>
            </w:r>
          </w:p>
        </w:tc>
        <w:tc>
          <w:tcPr>
            <w:tcW w:w="7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60D44DB3" w14:textId="77777777" w:rsidR="00D20C62" w:rsidRDefault="00000000">
            <w:pPr>
              <w:jc w:val="center"/>
            </w:pPr>
            <w:r>
              <w:rPr>
                <w:color w:val="1A1A2E"/>
                <w:sz w:val="18"/>
                <w:szCs w:val="18"/>
              </w:rPr>
              <w:t>Baja (1)</w:t>
            </w:r>
          </w:p>
        </w:tc>
        <w:tc>
          <w:tcPr>
            <w:tcW w:w="7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4BB5A6D7" w14:textId="77777777" w:rsidR="00D20C62" w:rsidRDefault="00000000">
            <w:pPr>
              <w:jc w:val="center"/>
            </w:pPr>
            <w:r>
              <w:rPr>
                <w:color w:val="1A1A2E"/>
                <w:sz w:val="18"/>
                <w:szCs w:val="18"/>
              </w:rPr>
              <w:t>Medio (2)</w:t>
            </w:r>
          </w:p>
        </w:tc>
        <w:tc>
          <w:tcPr>
            <w:tcW w:w="700" w:type="dxa"/>
            <w:tcBorders>
              <w:top w:val="single" w:sz="1" w:space="0" w:color="BDD7EE"/>
              <w:left w:val="single" w:sz="1" w:space="0" w:color="BDD7EE"/>
              <w:bottom w:val="single" w:sz="1" w:space="0" w:color="BDD7EE"/>
              <w:right w:val="single" w:sz="1" w:space="0" w:color="BDD7EE"/>
            </w:tcBorders>
            <w:shd w:val="clear" w:color="auto" w:fill="D9EAD3"/>
            <w:tcMar>
              <w:top w:w="80" w:type="dxa"/>
              <w:left w:w="120" w:type="dxa"/>
              <w:bottom w:w="80" w:type="dxa"/>
              <w:right w:w="120" w:type="dxa"/>
            </w:tcMar>
          </w:tcPr>
          <w:p w14:paraId="12CE65A4" w14:textId="77777777" w:rsidR="00D20C62" w:rsidRDefault="00000000">
            <w:pPr>
              <w:jc w:val="center"/>
            </w:pPr>
            <w:r>
              <w:rPr>
                <w:b/>
                <w:bCs/>
                <w:color w:val="375623"/>
                <w:sz w:val="18"/>
                <w:szCs w:val="18"/>
              </w:rPr>
              <w:t>BAJO</w:t>
            </w:r>
          </w:p>
        </w:tc>
        <w:tc>
          <w:tcPr>
            <w:tcW w:w="2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131E0EC3" w14:textId="77777777" w:rsidR="00D20C62" w:rsidRDefault="00000000">
            <w:r>
              <w:rPr>
                <w:color w:val="1A1A2E"/>
                <w:sz w:val="18"/>
                <w:szCs w:val="18"/>
              </w:rPr>
              <w:t>Aceptación con monitoreo: Configurar alertas de consumo al 70 % del límite gratuito. Evaluar migración a hosting alternativo (</w:t>
            </w:r>
            <w:proofErr w:type="spellStart"/>
            <w:r>
              <w:rPr>
                <w:color w:val="1A1A2E"/>
                <w:sz w:val="18"/>
                <w:szCs w:val="18"/>
              </w:rPr>
              <w:t>Vercel</w:t>
            </w:r>
            <w:proofErr w:type="spellEnd"/>
            <w:r>
              <w:rPr>
                <w:color w:val="1A1A2E"/>
                <w:sz w:val="18"/>
                <w:szCs w:val="18"/>
              </w:rPr>
              <w:t xml:space="preserve">, </w:t>
            </w:r>
            <w:proofErr w:type="spellStart"/>
            <w:r>
              <w:rPr>
                <w:color w:val="1A1A2E"/>
                <w:sz w:val="18"/>
                <w:szCs w:val="18"/>
              </w:rPr>
              <w:t>Netlify</w:t>
            </w:r>
            <w:proofErr w:type="spellEnd"/>
            <w:r>
              <w:rPr>
                <w:color w:val="1A1A2E"/>
                <w:sz w:val="18"/>
                <w:szCs w:val="18"/>
              </w:rPr>
              <w:t>) si se supera el umbral.</w:t>
            </w:r>
          </w:p>
        </w:tc>
        <w:tc>
          <w:tcPr>
            <w:tcW w:w="1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0328FB93" w14:textId="77777777" w:rsidR="00D20C62" w:rsidRDefault="00000000">
            <w:r>
              <w:rPr>
                <w:color w:val="1A1A2E"/>
                <w:sz w:val="18"/>
                <w:szCs w:val="18"/>
              </w:rPr>
              <w:t>Equipo de desarrollo</w:t>
            </w:r>
          </w:p>
        </w:tc>
      </w:tr>
      <w:tr w:rsidR="00D20C62" w14:paraId="1F22ED24" w14:textId="77777777">
        <w:tblPrEx>
          <w:tblCellMar>
            <w:top w:w="0" w:type="dxa"/>
            <w:bottom w:w="0" w:type="dxa"/>
          </w:tblCellMar>
        </w:tblPrEx>
        <w:tc>
          <w:tcPr>
            <w:tcW w:w="5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26AF151" w14:textId="77777777" w:rsidR="00D20C62" w:rsidRDefault="00000000">
            <w:pPr>
              <w:jc w:val="center"/>
            </w:pPr>
            <w:r>
              <w:rPr>
                <w:b/>
                <w:bCs/>
                <w:color w:val="2E75B6"/>
                <w:sz w:val="18"/>
                <w:szCs w:val="18"/>
              </w:rPr>
              <w:t>R-06</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BB873EF" w14:textId="77777777" w:rsidR="00D20C62" w:rsidRDefault="00000000">
            <w:r>
              <w:rPr>
                <w:color w:val="1A1A2E"/>
                <w:sz w:val="18"/>
                <w:szCs w:val="18"/>
              </w:rPr>
              <w:t>Operativo</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6E448AE9" w14:textId="77777777" w:rsidR="00D20C62" w:rsidRDefault="00000000">
            <w:r>
              <w:rPr>
                <w:color w:val="1A1A2E"/>
                <w:sz w:val="18"/>
                <w:szCs w:val="18"/>
              </w:rPr>
              <w:t>Errores en la lógica de cálculo de membresías o pagos que generen datos financieros incorrectos.</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6920CD9" w14:textId="77777777" w:rsidR="00D20C62" w:rsidRDefault="00000000">
            <w:pPr>
              <w:jc w:val="center"/>
            </w:pPr>
            <w:r>
              <w:rPr>
                <w:color w:val="1A1A2E"/>
                <w:sz w:val="18"/>
                <w:szCs w:val="18"/>
              </w:rPr>
              <w:t>Media (2)</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C03B294" w14:textId="77777777" w:rsidR="00D20C62" w:rsidRDefault="00000000">
            <w:pPr>
              <w:jc w:val="center"/>
            </w:pPr>
            <w:r>
              <w:rPr>
                <w:color w:val="1A1A2E"/>
                <w:sz w:val="18"/>
                <w:szCs w:val="18"/>
              </w:rPr>
              <w:t>Alto (3)</w:t>
            </w:r>
          </w:p>
        </w:tc>
        <w:tc>
          <w:tcPr>
            <w:tcW w:w="700" w:type="dxa"/>
            <w:tcBorders>
              <w:top w:val="single" w:sz="1" w:space="0" w:color="BDD7EE"/>
              <w:left w:val="single" w:sz="1" w:space="0" w:color="BDD7EE"/>
              <w:bottom w:val="single" w:sz="1" w:space="0" w:color="BDD7EE"/>
              <w:right w:val="single" w:sz="1" w:space="0" w:color="BDD7EE"/>
            </w:tcBorders>
            <w:shd w:val="clear" w:color="auto" w:fill="FFCCCC"/>
            <w:tcMar>
              <w:top w:w="80" w:type="dxa"/>
              <w:left w:w="120" w:type="dxa"/>
              <w:bottom w:w="80" w:type="dxa"/>
              <w:right w:w="120" w:type="dxa"/>
            </w:tcMar>
          </w:tcPr>
          <w:p w14:paraId="74E6B81F" w14:textId="77777777" w:rsidR="00D20C62" w:rsidRDefault="00000000">
            <w:pPr>
              <w:jc w:val="center"/>
            </w:pPr>
            <w:r>
              <w:rPr>
                <w:b/>
                <w:bCs/>
                <w:color w:val="C00000"/>
                <w:sz w:val="18"/>
                <w:szCs w:val="18"/>
              </w:rPr>
              <w:t>ALTO</w:t>
            </w:r>
          </w:p>
        </w:tc>
        <w:tc>
          <w:tcPr>
            <w:tcW w:w="2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2326DBA" w14:textId="77777777" w:rsidR="00D20C62" w:rsidRDefault="00000000">
            <w:r>
              <w:rPr>
                <w:color w:val="1A1A2E"/>
                <w:sz w:val="18"/>
                <w:szCs w:val="18"/>
              </w:rPr>
              <w:t>Mitigación: Pruebas unitarias e integración con cobertura mínima del 80 %. Revisión manual de las primeras 20 transacciones en producción. Proceso de auditoría mensual de registros financieros.</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3A86B22" w14:textId="77777777" w:rsidR="00D20C62" w:rsidRDefault="00000000">
            <w:r>
              <w:rPr>
                <w:color w:val="1A1A2E"/>
                <w:sz w:val="18"/>
                <w:szCs w:val="18"/>
              </w:rPr>
              <w:t>QA / Equipo de desarrollo</w:t>
            </w:r>
          </w:p>
        </w:tc>
      </w:tr>
      <w:tr w:rsidR="00D20C62" w14:paraId="186F7EEF" w14:textId="77777777">
        <w:tblPrEx>
          <w:tblCellMar>
            <w:top w:w="0" w:type="dxa"/>
            <w:bottom w:w="0" w:type="dxa"/>
          </w:tblCellMar>
        </w:tblPrEx>
        <w:tc>
          <w:tcPr>
            <w:tcW w:w="5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19F0463D" w14:textId="77777777" w:rsidR="00D20C62" w:rsidRDefault="00000000">
            <w:pPr>
              <w:jc w:val="center"/>
            </w:pPr>
            <w:r>
              <w:rPr>
                <w:b/>
                <w:bCs/>
                <w:color w:val="2E75B6"/>
                <w:sz w:val="18"/>
                <w:szCs w:val="18"/>
              </w:rPr>
              <w:t>R-07</w:t>
            </w:r>
          </w:p>
        </w:tc>
        <w:tc>
          <w:tcPr>
            <w:tcW w:w="11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31C34291" w14:textId="77777777" w:rsidR="00D20C62" w:rsidRDefault="00000000">
            <w:r>
              <w:rPr>
                <w:color w:val="1A1A2E"/>
                <w:sz w:val="18"/>
                <w:szCs w:val="18"/>
              </w:rPr>
              <w:t>Técnico</w:t>
            </w:r>
          </w:p>
        </w:tc>
        <w:tc>
          <w:tcPr>
            <w:tcW w:w="2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2ADD7531" w14:textId="77777777" w:rsidR="00D20C62" w:rsidRDefault="00000000">
            <w:r>
              <w:rPr>
                <w:color w:val="1A1A2E"/>
                <w:sz w:val="18"/>
                <w:szCs w:val="18"/>
              </w:rPr>
              <w:t>La aplicación móvil (React Native / Expo) presenta fallos de compatibilidad con versiones de Android superiores o inferiores al rango probado.</w:t>
            </w:r>
          </w:p>
        </w:tc>
        <w:tc>
          <w:tcPr>
            <w:tcW w:w="7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0CE59B57" w14:textId="77777777" w:rsidR="00D20C62" w:rsidRDefault="00000000">
            <w:pPr>
              <w:jc w:val="center"/>
            </w:pPr>
            <w:r>
              <w:rPr>
                <w:color w:val="1A1A2E"/>
                <w:sz w:val="18"/>
                <w:szCs w:val="18"/>
              </w:rPr>
              <w:t>Media (2)</w:t>
            </w:r>
          </w:p>
        </w:tc>
        <w:tc>
          <w:tcPr>
            <w:tcW w:w="7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5F851778" w14:textId="77777777" w:rsidR="00D20C62" w:rsidRDefault="00000000">
            <w:pPr>
              <w:jc w:val="center"/>
            </w:pPr>
            <w:r>
              <w:rPr>
                <w:color w:val="1A1A2E"/>
                <w:sz w:val="18"/>
                <w:szCs w:val="18"/>
              </w:rPr>
              <w:t>Medio (2)</w:t>
            </w:r>
          </w:p>
        </w:tc>
        <w:tc>
          <w:tcPr>
            <w:tcW w:w="700" w:type="dxa"/>
            <w:tcBorders>
              <w:top w:val="single" w:sz="1" w:space="0" w:color="BDD7EE"/>
              <w:left w:val="single" w:sz="1" w:space="0" w:color="BDD7EE"/>
              <w:bottom w:val="single" w:sz="1" w:space="0" w:color="BDD7EE"/>
              <w:right w:val="single" w:sz="1" w:space="0" w:color="BDD7EE"/>
            </w:tcBorders>
            <w:shd w:val="clear" w:color="auto" w:fill="FFE6CC"/>
            <w:tcMar>
              <w:top w:w="80" w:type="dxa"/>
              <w:left w:w="120" w:type="dxa"/>
              <w:bottom w:w="80" w:type="dxa"/>
              <w:right w:w="120" w:type="dxa"/>
            </w:tcMar>
          </w:tcPr>
          <w:p w14:paraId="0FE23FA5" w14:textId="77777777" w:rsidR="00D20C62" w:rsidRDefault="00000000">
            <w:pPr>
              <w:jc w:val="center"/>
            </w:pPr>
            <w:r>
              <w:rPr>
                <w:b/>
                <w:bCs/>
                <w:color w:val="E36C09"/>
                <w:sz w:val="18"/>
                <w:szCs w:val="18"/>
              </w:rPr>
              <w:t>MEDIO</w:t>
            </w:r>
          </w:p>
        </w:tc>
        <w:tc>
          <w:tcPr>
            <w:tcW w:w="2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75B069BD" w14:textId="77777777" w:rsidR="00D20C62" w:rsidRDefault="00000000">
            <w:r>
              <w:rPr>
                <w:color w:val="1A1A2E"/>
                <w:sz w:val="18"/>
                <w:szCs w:val="18"/>
              </w:rPr>
              <w:t xml:space="preserve">Mitigación: Pruebas en emuladores Android 10–14. Establecer requisito mínimo Android 10. Proceso de reporte de bugs </w:t>
            </w:r>
            <w:proofErr w:type="spellStart"/>
            <w:r>
              <w:rPr>
                <w:color w:val="1A1A2E"/>
                <w:sz w:val="18"/>
                <w:szCs w:val="18"/>
              </w:rPr>
              <w:t>in-app</w:t>
            </w:r>
            <w:proofErr w:type="spellEnd"/>
            <w:r>
              <w:rPr>
                <w:color w:val="1A1A2E"/>
                <w:sz w:val="18"/>
                <w:szCs w:val="18"/>
              </w:rPr>
              <w:t xml:space="preserve"> para usuarios finales.</w:t>
            </w:r>
          </w:p>
        </w:tc>
        <w:tc>
          <w:tcPr>
            <w:tcW w:w="1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0BD57ED6" w14:textId="77777777" w:rsidR="00D20C62" w:rsidRDefault="00000000">
            <w:r>
              <w:rPr>
                <w:color w:val="1A1A2E"/>
                <w:sz w:val="18"/>
                <w:szCs w:val="18"/>
              </w:rPr>
              <w:t>Equipo de desarrollo</w:t>
            </w:r>
          </w:p>
        </w:tc>
      </w:tr>
      <w:tr w:rsidR="00D20C62" w14:paraId="42703175" w14:textId="77777777">
        <w:tblPrEx>
          <w:tblCellMar>
            <w:top w:w="0" w:type="dxa"/>
            <w:bottom w:w="0" w:type="dxa"/>
          </w:tblCellMar>
        </w:tblPrEx>
        <w:tc>
          <w:tcPr>
            <w:tcW w:w="5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8654A3B" w14:textId="77777777" w:rsidR="00D20C62" w:rsidRDefault="00000000">
            <w:pPr>
              <w:jc w:val="center"/>
            </w:pPr>
            <w:r>
              <w:rPr>
                <w:b/>
                <w:bCs/>
                <w:color w:val="2E75B6"/>
                <w:sz w:val="18"/>
                <w:szCs w:val="18"/>
              </w:rPr>
              <w:t>R-08</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0DD5DC6" w14:textId="77777777" w:rsidR="00D20C62" w:rsidRDefault="00000000">
            <w:r>
              <w:rPr>
                <w:color w:val="1A1A2E"/>
                <w:sz w:val="18"/>
                <w:szCs w:val="18"/>
              </w:rPr>
              <w:t>Legal</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7635271" w14:textId="77777777" w:rsidR="00D20C62" w:rsidRDefault="00000000">
            <w:r>
              <w:rPr>
                <w:color w:val="1A1A2E"/>
                <w:sz w:val="18"/>
                <w:szCs w:val="18"/>
              </w:rPr>
              <w:t>Incumplimiento de la Ley Federal de Protección de Datos Personales en Posesión de los Particulares (LFPDPPP) por mal manejo de datos de salud y financieros de los miembros.</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85E86E6" w14:textId="77777777" w:rsidR="00D20C62" w:rsidRDefault="00000000">
            <w:pPr>
              <w:jc w:val="center"/>
            </w:pPr>
            <w:r>
              <w:rPr>
                <w:color w:val="1A1A2E"/>
                <w:sz w:val="18"/>
                <w:szCs w:val="18"/>
              </w:rPr>
              <w:t>Baja (1)</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D6A1B31" w14:textId="77777777" w:rsidR="00D20C62" w:rsidRDefault="00000000">
            <w:pPr>
              <w:jc w:val="center"/>
            </w:pPr>
            <w:r>
              <w:rPr>
                <w:color w:val="1A1A2E"/>
                <w:sz w:val="18"/>
                <w:szCs w:val="18"/>
              </w:rPr>
              <w:t>Alto (3)</w:t>
            </w:r>
          </w:p>
        </w:tc>
        <w:tc>
          <w:tcPr>
            <w:tcW w:w="700" w:type="dxa"/>
            <w:tcBorders>
              <w:top w:val="single" w:sz="1" w:space="0" w:color="BDD7EE"/>
              <w:left w:val="single" w:sz="1" w:space="0" w:color="BDD7EE"/>
              <w:bottom w:val="single" w:sz="1" w:space="0" w:color="BDD7EE"/>
              <w:right w:val="single" w:sz="1" w:space="0" w:color="BDD7EE"/>
            </w:tcBorders>
            <w:shd w:val="clear" w:color="auto" w:fill="FFE6CC"/>
            <w:tcMar>
              <w:top w:w="80" w:type="dxa"/>
              <w:left w:w="120" w:type="dxa"/>
              <w:bottom w:w="80" w:type="dxa"/>
              <w:right w:w="120" w:type="dxa"/>
            </w:tcMar>
          </w:tcPr>
          <w:p w14:paraId="4AA20788" w14:textId="77777777" w:rsidR="00D20C62" w:rsidRDefault="00000000">
            <w:pPr>
              <w:jc w:val="center"/>
            </w:pPr>
            <w:r>
              <w:rPr>
                <w:b/>
                <w:bCs/>
                <w:color w:val="E36C09"/>
                <w:sz w:val="18"/>
                <w:szCs w:val="18"/>
              </w:rPr>
              <w:t>MEDIO</w:t>
            </w:r>
          </w:p>
        </w:tc>
        <w:tc>
          <w:tcPr>
            <w:tcW w:w="2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507D95A" w14:textId="77777777" w:rsidR="00D20C62" w:rsidRDefault="00000000">
            <w:r>
              <w:rPr>
                <w:color w:val="1A1A2E"/>
                <w:sz w:val="18"/>
                <w:szCs w:val="18"/>
              </w:rPr>
              <w:t>Mitigación: Aviso de privacidad visible en registro. Cifrado de datos sensibles en tránsito (HTTPS/TLS 1.3) y en reposo. Política de retención y eliminación de datos documentada.</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92A2F94" w14:textId="77777777" w:rsidR="00D20C62" w:rsidRDefault="00000000">
            <w:r>
              <w:rPr>
                <w:color w:val="1A1A2E"/>
                <w:sz w:val="18"/>
                <w:szCs w:val="18"/>
              </w:rPr>
              <w:t>Líder de proyecto</w:t>
            </w:r>
          </w:p>
        </w:tc>
      </w:tr>
      <w:tr w:rsidR="00D20C62" w14:paraId="036EF75D" w14:textId="77777777">
        <w:tblPrEx>
          <w:tblCellMar>
            <w:top w:w="0" w:type="dxa"/>
            <w:bottom w:w="0" w:type="dxa"/>
          </w:tblCellMar>
        </w:tblPrEx>
        <w:tc>
          <w:tcPr>
            <w:tcW w:w="5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65263689" w14:textId="77777777" w:rsidR="00D20C62" w:rsidRDefault="00000000">
            <w:pPr>
              <w:jc w:val="center"/>
            </w:pPr>
            <w:r>
              <w:rPr>
                <w:b/>
                <w:bCs/>
                <w:color w:val="2E75B6"/>
                <w:sz w:val="18"/>
                <w:szCs w:val="18"/>
              </w:rPr>
              <w:t>R-09</w:t>
            </w:r>
          </w:p>
        </w:tc>
        <w:tc>
          <w:tcPr>
            <w:tcW w:w="11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0607083B" w14:textId="77777777" w:rsidR="00D20C62" w:rsidRDefault="00000000">
            <w:r>
              <w:rPr>
                <w:color w:val="1A1A2E"/>
                <w:sz w:val="18"/>
                <w:szCs w:val="18"/>
              </w:rPr>
              <w:t>Proyecto</w:t>
            </w:r>
          </w:p>
        </w:tc>
        <w:tc>
          <w:tcPr>
            <w:tcW w:w="29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56D36678" w14:textId="77777777" w:rsidR="00D20C62" w:rsidRDefault="00000000">
            <w:r>
              <w:rPr>
                <w:color w:val="1A1A2E"/>
                <w:sz w:val="18"/>
                <w:szCs w:val="18"/>
              </w:rPr>
              <w:t xml:space="preserve">Retrasos en el equipo de desarrollo por carga académica o personal, </w:t>
            </w:r>
            <w:r>
              <w:rPr>
                <w:color w:val="1A1A2E"/>
                <w:sz w:val="18"/>
                <w:szCs w:val="18"/>
              </w:rPr>
              <w:lastRenderedPageBreak/>
              <w:t>impactando las fechas de entrega.</w:t>
            </w:r>
          </w:p>
        </w:tc>
        <w:tc>
          <w:tcPr>
            <w:tcW w:w="7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070EFBCA" w14:textId="77777777" w:rsidR="00D20C62" w:rsidRDefault="00000000">
            <w:pPr>
              <w:jc w:val="center"/>
            </w:pPr>
            <w:r>
              <w:rPr>
                <w:color w:val="1A1A2E"/>
                <w:sz w:val="18"/>
                <w:szCs w:val="18"/>
              </w:rPr>
              <w:lastRenderedPageBreak/>
              <w:t>Alta (3)</w:t>
            </w:r>
          </w:p>
        </w:tc>
        <w:tc>
          <w:tcPr>
            <w:tcW w:w="7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64DE20F7" w14:textId="77777777" w:rsidR="00D20C62" w:rsidRDefault="00000000">
            <w:pPr>
              <w:jc w:val="center"/>
            </w:pPr>
            <w:r>
              <w:rPr>
                <w:color w:val="1A1A2E"/>
                <w:sz w:val="18"/>
                <w:szCs w:val="18"/>
              </w:rPr>
              <w:t>Medio (2)</w:t>
            </w:r>
          </w:p>
        </w:tc>
        <w:tc>
          <w:tcPr>
            <w:tcW w:w="700" w:type="dxa"/>
            <w:tcBorders>
              <w:top w:val="single" w:sz="1" w:space="0" w:color="BDD7EE"/>
              <w:left w:val="single" w:sz="1" w:space="0" w:color="BDD7EE"/>
              <w:bottom w:val="single" w:sz="1" w:space="0" w:color="BDD7EE"/>
              <w:right w:val="single" w:sz="1" w:space="0" w:color="BDD7EE"/>
            </w:tcBorders>
            <w:shd w:val="clear" w:color="auto" w:fill="FFCCCC"/>
            <w:tcMar>
              <w:top w:w="80" w:type="dxa"/>
              <w:left w:w="120" w:type="dxa"/>
              <w:bottom w:w="80" w:type="dxa"/>
              <w:right w:w="120" w:type="dxa"/>
            </w:tcMar>
          </w:tcPr>
          <w:p w14:paraId="38A3807E" w14:textId="77777777" w:rsidR="00D20C62" w:rsidRDefault="00000000">
            <w:pPr>
              <w:jc w:val="center"/>
            </w:pPr>
            <w:r>
              <w:rPr>
                <w:b/>
                <w:bCs/>
                <w:color w:val="C00000"/>
                <w:sz w:val="18"/>
                <w:szCs w:val="18"/>
              </w:rPr>
              <w:t>ALTO</w:t>
            </w:r>
          </w:p>
        </w:tc>
        <w:tc>
          <w:tcPr>
            <w:tcW w:w="2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738536AA" w14:textId="77777777" w:rsidR="00D20C62" w:rsidRDefault="00000000">
            <w:r>
              <w:rPr>
                <w:color w:val="1A1A2E"/>
                <w:sz w:val="18"/>
                <w:szCs w:val="18"/>
              </w:rPr>
              <w:t xml:space="preserve">Mitigación: Sprints de 2 semanas con revisión semanal. </w:t>
            </w:r>
            <w:r>
              <w:rPr>
                <w:color w:val="1A1A2E"/>
                <w:sz w:val="18"/>
                <w:szCs w:val="18"/>
              </w:rPr>
              <w:lastRenderedPageBreak/>
              <w:t>Buffer de tiempo del 15 % en el cronograma. Documentación técnica actualizada para facilitar la transferencia de conocimiento.</w:t>
            </w:r>
          </w:p>
        </w:tc>
        <w:tc>
          <w:tcPr>
            <w:tcW w:w="12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588F103E" w14:textId="77777777" w:rsidR="00D20C62" w:rsidRDefault="00000000">
            <w:r>
              <w:rPr>
                <w:color w:val="1A1A2E"/>
                <w:sz w:val="18"/>
                <w:szCs w:val="18"/>
              </w:rPr>
              <w:lastRenderedPageBreak/>
              <w:t>Líder de proyecto</w:t>
            </w:r>
          </w:p>
        </w:tc>
      </w:tr>
      <w:tr w:rsidR="00D20C62" w14:paraId="5179D11A" w14:textId="77777777">
        <w:tblPrEx>
          <w:tblCellMar>
            <w:top w:w="0" w:type="dxa"/>
            <w:bottom w:w="0" w:type="dxa"/>
          </w:tblCellMar>
        </w:tblPrEx>
        <w:tc>
          <w:tcPr>
            <w:tcW w:w="5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3146048" w14:textId="77777777" w:rsidR="00D20C62" w:rsidRDefault="00000000">
            <w:pPr>
              <w:jc w:val="center"/>
            </w:pPr>
            <w:r>
              <w:rPr>
                <w:b/>
                <w:bCs/>
                <w:color w:val="2E75B6"/>
                <w:sz w:val="18"/>
                <w:szCs w:val="18"/>
              </w:rPr>
              <w:t>R-10</w:t>
            </w:r>
          </w:p>
        </w:tc>
        <w:tc>
          <w:tcPr>
            <w:tcW w:w="11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FBE9E85" w14:textId="77777777" w:rsidR="00D20C62" w:rsidRDefault="00000000">
            <w:r>
              <w:rPr>
                <w:color w:val="1A1A2E"/>
                <w:sz w:val="18"/>
                <w:szCs w:val="18"/>
              </w:rPr>
              <w:t>Integración</w:t>
            </w:r>
          </w:p>
        </w:tc>
        <w:tc>
          <w:tcPr>
            <w:tcW w:w="29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ED43187" w14:textId="77777777" w:rsidR="00D20C62" w:rsidRDefault="00000000">
            <w:r>
              <w:rPr>
                <w:color w:val="1A1A2E"/>
                <w:sz w:val="18"/>
                <w:szCs w:val="18"/>
              </w:rPr>
              <w:t>Fallos en la integración del procesador de pagos en línea (Stripe/PayPal), bloqueando renovaciones de membresías.</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D7CE063" w14:textId="77777777" w:rsidR="00D20C62" w:rsidRDefault="00000000">
            <w:pPr>
              <w:jc w:val="center"/>
            </w:pPr>
            <w:r>
              <w:rPr>
                <w:color w:val="1A1A2E"/>
                <w:sz w:val="18"/>
                <w:szCs w:val="18"/>
              </w:rPr>
              <w:t>Baja (1)</w:t>
            </w:r>
          </w:p>
        </w:tc>
        <w:tc>
          <w:tcPr>
            <w:tcW w:w="7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AB8EF5D" w14:textId="77777777" w:rsidR="00D20C62" w:rsidRDefault="00000000">
            <w:pPr>
              <w:jc w:val="center"/>
            </w:pPr>
            <w:r>
              <w:rPr>
                <w:color w:val="1A1A2E"/>
                <w:sz w:val="18"/>
                <w:szCs w:val="18"/>
              </w:rPr>
              <w:t>Alto (3)</w:t>
            </w:r>
          </w:p>
        </w:tc>
        <w:tc>
          <w:tcPr>
            <w:tcW w:w="700" w:type="dxa"/>
            <w:tcBorders>
              <w:top w:val="single" w:sz="1" w:space="0" w:color="BDD7EE"/>
              <w:left w:val="single" w:sz="1" w:space="0" w:color="BDD7EE"/>
              <w:bottom w:val="single" w:sz="1" w:space="0" w:color="BDD7EE"/>
              <w:right w:val="single" w:sz="1" w:space="0" w:color="BDD7EE"/>
            </w:tcBorders>
            <w:shd w:val="clear" w:color="auto" w:fill="FFE6CC"/>
            <w:tcMar>
              <w:top w:w="80" w:type="dxa"/>
              <w:left w:w="120" w:type="dxa"/>
              <w:bottom w:w="80" w:type="dxa"/>
              <w:right w:w="120" w:type="dxa"/>
            </w:tcMar>
          </w:tcPr>
          <w:p w14:paraId="73C37B81" w14:textId="77777777" w:rsidR="00D20C62" w:rsidRDefault="00000000">
            <w:pPr>
              <w:jc w:val="center"/>
            </w:pPr>
            <w:r>
              <w:rPr>
                <w:b/>
                <w:bCs/>
                <w:color w:val="E36C09"/>
                <w:sz w:val="18"/>
                <w:szCs w:val="18"/>
              </w:rPr>
              <w:t>MEDIO</w:t>
            </w:r>
          </w:p>
        </w:tc>
        <w:tc>
          <w:tcPr>
            <w:tcW w:w="2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D65F0F6" w14:textId="77777777" w:rsidR="00D20C62" w:rsidRDefault="00000000">
            <w:r>
              <w:rPr>
                <w:color w:val="1A1A2E"/>
                <w:sz w:val="18"/>
                <w:szCs w:val="18"/>
              </w:rPr>
              <w:t xml:space="preserve">Mitigación: Entorno de </w:t>
            </w:r>
            <w:proofErr w:type="spellStart"/>
            <w:r>
              <w:rPr>
                <w:color w:val="1A1A2E"/>
                <w:sz w:val="18"/>
                <w:szCs w:val="18"/>
              </w:rPr>
              <w:t>sandbox</w:t>
            </w:r>
            <w:proofErr w:type="spellEnd"/>
            <w:r>
              <w:rPr>
                <w:color w:val="1A1A2E"/>
                <w:sz w:val="18"/>
                <w:szCs w:val="18"/>
              </w:rPr>
              <w:t xml:space="preserve"> para todas las pruebas de pago. Modo de degradación </w:t>
            </w:r>
            <w:proofErr w:type="spellStart"/>
            <w:r>
              <w:rPr>
                <w:color w:val="1A1A2E"/>
                <w:sz w:val="18"/>
                <w:szCs w:val="18"/>
              </w:rPr>
              <w:t>graceful</w:t>
            </w:r>
            <w:proofErr w:type="spellEnd"/>
            <w:r>
              <w:rPr>
                <w:color w:val="1A1A2E"/>
                <w:sz w:val="18"/>
                <w:szCs w:val="18"/>
              </w:rPr>
              <w:t xml:space="preserve"> (pago en </w:t>
            </w:r>
            <w:proofErr w:type="gramStart"/>
            <w:r>
              <w:rPr>
                <w:color w:val="1A1A2E"/>
                <w:sz w:val="18"/>
                <w:szCs w:val="18"/>
              </w:rPr>
              <w:t>recepción</w:t>
            </w:r>
            <w:proofErr w:type="gramEnd"/>
            <w:r>
              <w:rPr>
                <w:color w:val="1A1A2E"/>
                <w:sz w:val="18"/>
                <w:szCs w:val="18"/>
              </w:rPr>
              <w:t xml:space="preserve"> como alternativa). Alertas automáticas ante transacciones fallidas.</w:t>
            </w:r>
          </w:p>
        </w:tc>
        <w:tc>
          <w:tcPr>
            <w:tcW w:w="12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AD9D2D4" w14:textId="77777777" w:rsidR="00D20C62" w:rsidRDefault="00000000">
            <w:r>
              <w:rPr>
                <w:color w:val="1A1A2E"/>
                <w:sz w:val="18"/>
                <w:szCs w:val="18"/>
              </w:rPr>
              <w:t>Equipo de desarrollo</w:t>
            </w:r>
          </w:p>
        </w:tc>
      </w:tr>
    </w:tbl>
    <w:p w14:paraId="4957B43A" w14:textId="77777777" w:rsidR="00D20C62" w:rsidRDefault="00D20C62">
      <w:pPr>
        <w:spacing w:before="80" w:after="80"/>
      </w:pPr>
    </w:p>
    <w:p w14:paraId="44A9F07C" w14:textId="77777777" w:rsidR="00D20C62" w:rsidRDefault="00D20C62">
      <w:pPr>
        <w:spacing w:before="80" w:after="80"/>
      </w:pPr>
    </w:p>
    <w:p w14:paraId="467B8F9A" w14:textId="77777777" w:rsidR="00D20C62" w:rsidRDefault="00000000">
      <w:pPr>
        <w:pStyle w:val="Ttulo1"/>
      </w:pPr>
      <w:r>
        <w:t>6. Matriz de Priorización de Riesgos</w:t>
      </w:r>
    </w:p>
    <w:p w14:paraId="0D40D686" w14:textId="77777777" w:rsidR="00D20C62" w:rsidRDefault="00000000">
      <w:pPr>
        <w:spacing w:before="80" w:after="80"/>
        <w:jc w:val="both"/>
      </w:pPr>
      <w:r>
        <w:rPr>
          <w:color w:val="1A1A2E"/>
        </w:rPr>
        <w:t>La siguiente matriz visualiza la distribución de los riesgos identificados según su probabilidad e impacto, facilitando la priorización de las acciones de respuesta:</w:t>
      </w:r>
    </w:p>
    <w:p w14:paraId="0B72826A" w14:textId="77777777" w:rsidR="00D20C62" w:rsidRDefault="00D20C62">
      <w:pPr>
        <w:spacing w:before="80" w:after="80"/>
      </w:pP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2"/>
        <w:gridCol w:w="1088"/>
        <w:gridCol w:w="1088"/>
        <w:gridCol w:w="1088"/>
        <w:gridCol w:w="1104"/>
      </w:tblGrid>
      <w:tr w:rsidR="00D20C62" w14:paraId="5FBD1A6D"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80" w:type="dxa"/>
              <w:bottom w:w="80" w:type="dxa"/>
              <w:right w:w="80" w:type="dxa"/>
            </w:tcMar>
            <w:vAlign w:val="center"/>
          </w:tcPr>
          <w:p w14:paraId="4301C4AB" w14:textId="77777777" w:rsidR="00D20C62" w:rsidRDefault="00D20C62">
            <w:pPr>
              <w:jc w:val="center"/>
            </w:pPr>
          </w:p>
        </w:tc>
        <w:tc>
          <w:tcPr>
            <w:tcW w:w="1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80" w:type="dxa"/>
              <w:bottom w:w="80" w:type="dxa"/>
              <w:right w:w="80" w:type="dxa"/>
            </w:tcMar>
            <w:vAlign w:val="center"/>
          </w:tcPr>
          <w:p w14:paraId="35E2BBBF" w14:textId="77777777" w:rsidR="00D20C62" w:rsidRDefault="00000000">
            <w:pPr>
              <w:jc w:val="center"/>
            </w:pPr>
            <w:r>
              <w:rPr>
                <w:b/>
                <w:bCs/>
                <w:color w:val="1A1A2E"/>
                <w:sz w:val="18"/>
                <w:szCs w:val="18"/>
              </w:rPr>
              <w:t>Impacto Bajo</w:t>
            </w:r>
          </w:p>
        </w:tc>
        <w:tc>
          <w:tcPr>
            <w:tcW w:w="1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80" w:type="dxa"/>
              <w:bottom w:w="80" w:type="dxa"/>
              <w:right w:w="80" w:type="dxa"/>
            </w:tcMar>
            <w:vAlign w:val="center"/>
          </w:tcPr>
          <w:p w14:paraId="5649703E" w14:textId="77777777" w:rsidR="00D20C62" w:rsidRDefault="00000000">
            <w:pPr>
              <w:jc w:val="center"/>
            </w:pPr>
            <w:r>
              <w:rPr>
                <w:b/>
                <w:bCs/>
                <w:color w:val="1A1A2E"/>
                <w:sz w:val="18"/>
                <w:szCs w:val="18"/>
              </w:rPr>
              <w:t>Impacto Medio</w:t>
            </w:r>
          </w:p>
        </w:tc>
        <w:tc>
          <w:tcPr>
            <w:tcW w:w="1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80" w:type="dxa"/>
              <w:bottom w:w="80" w:type="dxa"/>
              <w:right w:w="80" w:type="dxa"/>
            </w:tcMar>
            <w:vAlign w:val="center"/>
          </w:tcPr>
          <w:p w14:paraId="5A63DCE7" w14:textId="77777777" w:rsidR="00D20C62" w:rsidRDefault="00000000">
            <w:pPr>
              <w:jc w:val="center"/>
            </w:pPr>
            <w:r>
              <w:rPr>
                <w:b/>
                <w:bCs/>
                <w:color w:val="1A1A2E"/>
                <w:sz w:val="18"/>
                <w:szCs w:val="18"/>
              </w:rPr>
              <w:t>Impacto Alto</w:t>
            </w:r>
          </w:p>
        </w:tc>
        <w:tc>
          <w:tcPr>
            <w:tcW w:w="1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80" w:type="dxa"/>
              <w:bottom w:w="80" w:type="dxa"/>
              <w:right w:w="80" w:type="dxa"/>
            </w:tcMar>
            <w:vAlign w:val="center"/>
          </w:tcPr>
          <w:p w14:paraId="441E76B7" w14:textId="77777777" w:rsidR="00D20C62" w:rsidRDefault="00000000">
            <w:pPr>
              <w:jc w:val="center"/>
            </w:pPr>
            <w:r>
              <w:rPr>
                <w:b/>
                <w:bCs/>
                <w:color w:val="1A1A2E"/>
                <w:sz w:val="18"/>
                <w:szCs w:val="18"/>
              </w:rPr>
              <w:t>Impacto Crítico</w:t>
            </w:r>
          </w:p>
        </w:tc>
      </w:tr>
      <w:tr w:rsidR="00D20C62" w14:paraId="6447D9F5"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80" w:type="dxa"/>
              <w:bottom w:w="80" w:type="dxa"/>
              <w:right w:w="80" w:type="dxa"/>
            </w:tcMar>
            <w:vAlign w:val="center"/>
          </w:tcPr>
          <w:p w14:paraId="74ABC087" w14:textId="77777777" w:rsidR="00D20C62" w:rsidRDefault="00000000">
            <w:pPr>
              <w:jc w:val="center"/>
            </w:pPr>
            <w:proofErr w:type="spellStart"/>
            <w:r>
              <w:rPr>
                <w:b/>
                <w:bCs/>
                <w:color w:val="1A1A2E"/>
                <w:sz w:val="18"/>
                <w:szCs w:val="18"/>
              </w:rPr>
              <w:t>Prob</w:t>
            </w:r>
            <w:proofErr w:type="spellEnd"/>
            <w:r>
              <w:rPr>
                <w:b/>
                <w:bCs/>
                <w:color w:val="1A1A2E"/>
                <w:sz w:val="18"/>
                <w:szCs w:val="18"/>
              </w:rPr>
              <w:t>. Alta</w:t>
            </w:r>
          </w:p>
        </w:tc>
        <w:tc>
          <w:tcPr>
            <w:tcW w:w="1200" w:type="dxa"/>
            <w:tcBorders>
              <w:top w:val="single" w:sz="1" w:space="0" w:color="BDD7EE"/>
              <w:left w:val="single" w:sz="1" w:space="0" w:color="BDD7EE"/>
              <w:bottom w:val="single" w:sz="1" w:space="0" w:color="BDD7EE"/>
              <w:right w:val="single" w:sz="1" w:space="0" w:color="BDD7EE"/>
            </w:tcBorders>
            <w:shd w:val="clear" w:color="auto" w:fill="FFE6CC"/>
            <w:tcMar>
              <w:top w:w="80" w:type="dxa"/>
              <w:left w:w="80" w:type="dxa"/>
              <w:bottom w:w="80" w:type="dxa"/>
              <w:right w:w="80" w:type="dxa"/>
            </w:tcMar>
            <w:vAlign w:val="center"/>
          </w:tcPr>
          <w:p w14:paraId="7C0601B0" w14:textId="77777777" w:rsidR="00D20C62" w:rsidRDefault="00000000">
            <w:pPr>
              <w:jc w:val="center"/>
            </w:pPr>
            <w:r>
              <w:rPr>
                <w:b/>
                <w:bCs/>
                <w:color w:val="E36C09"/>
                <w:sz w:val="18"/>
                <w:szCs w:val="18"/>
              </w:rPr>
              <w:t>MEDIO</w:t>
            </w:r>
          </w:p>
        </w:tc>
        <w:tc>
          <w:tcPr>
            <w:tcW w:w="1200" w:type="dxa"/>
            <w:tcBorders>
              <w:top w:val="single" w:sz="1" w:space="0" w:color="BDD7EE"/>
              <w:left w:val="single" w:sz="1" w:space="0" w:color="BDD7EE"/>
              <w:bottom w:val="single" w:sz="1" w:space="0" w:color="BDD7EE"/>
              <w:right w:val="single" w:sz="1" w:space="0" w:color="BDD7EE"/>
            </w:tcBorders>
            <w:shd w:val="clear" w:color="auto" w:fill="FFCCCC"/>
            <w:tcMar>
              <w:top w:w="80" w:type="dxa"/>
              <w:left w:w="80" w:type="dxa"/>
              <w:bottom w:w="80" w:type="dxa"/>
              <w:right w:w="80" w:type="dxa"/>
            </w:tcMar>
            <w:vAlign w:val="center"/>
          </w:tcPr>
          <w:p w14:paraId="0D7BA684" w14:textId="77777777" w:rsidR="00D20C62" w:rsidRDefault="00000000">
            <w:pPr>
              <w:jc w:val="center"/>
            </w:pPr>
            <w:r>
              <w:rPr>
                <w:b/>
                <w:bCs/>
                <w:color w:val="C00000"/>
                <w:sz w:val="18"/>
                <w:szCs w:val="18"/>
              </w:rPr>
              <w:t>ALTO</w:t>
            </w:r>
          </w:p>
        </w:tc>
        <w:tc>
          <w:tcPr>
            <w:tcW w:w="1200" w:type="dxa"/>
            <w:tcBorders>
              <w:top w:val="single" w:sz="1" w:space="0" w:color="BDD7EE"/>
              <w:left w:val="single" w:sz="1" w:space="0" w:color="BDD7EE"/>
              <w:bottom w:val="single" w:sz="1" w:space="0" w:color="BDD7EE"/>
              <w:right w:val="single" w:sz="1" w:space="0" w:color="BDD7EE"/>
            </w:tcBorders>
            <w:shd w:val="clear" w:color="auto" w:fill="FFCCCC"/>
            <w:tcMar>
              <w:top w:w="80" w:type="dxa"/>
              <w:left w:w="80" w:type="dxa"/>
              <w:bottom w:w="80" w:type="dxa"/>
              <w:right w:w="80" w:type="dxa"/>
            </w:tcMar>
            <w:vAlign w:val="center"/>
          </w:tcPr>
          <w:p w14:paraId="5BAFC6E1" w14:textId="77777777" w:rsidR="00D20C62" w:rsidRDefault="00000000">
            <w:pPr>
              <w:jc w:val="center"/>
            </w:pPr>
            <w:r>
              <w:rPr>
                <w:b/>
                <w:bCs/>
                <w:color w:val="C00000"/>
                <w:sz w:val="18"/>
                <w:szCs w:val="18"/>
              </w:rPr>
              <w:t>ALTO R-01, R-09</w:t>
            </w:r>
          </w:p>
        </w:tc>
        <w:tc>
          <w:tcPr>
            <w:tcW w:w="1200" w:type="dxa"/>
            <w:tcBorders>
              <w:top w:val="single" w:sz="1" w:space="0" w:color="BDD7EE"/>
              <w:left w:val="single" w:sz="1" w:space="0" w:color="BDD7EE"/>
              <w:bottom w:val="single" w:sz="1" w:space="0" w:color="BDD7EE"/>
              <w:right w:val="single" w:sz="1" w:space="0" w:color="BDD7EE"/>
            </w:tcBorders>
            <w:shd w:val="clear" w:color="auto" w:fill="990000"/>
            <w:tcMar>
              <w:top w:w="80" w:type="dxa"/>
              <w:left w:w="80" w:type="dxa"/>
              <w:bottom w:w="80" w:type="dxa"/>
              <w:right w:w="80" w:type="dxa"/>
            </w:tcMar>
            <w:vAlign w:val="center"/>
          </w:tcPr>
          <w:p w14:paraId="016D9709" w14:textId="77777777" w:rsidR="00D20C62" w:rsidRDefault="00000000">
            <w:pPr>
              <w:jc w:val="center"/>
            </w:pPr>
            <w:r>
              <w:rPr>
                <w:b/>
                <w:bCs/>
                <w:color w:val="FFFFFF"/>
                <w:sz w:val="18"/>
                <w:szCs w:val="18"/>
              </w:rPr>
              <w:t>CRÍTICO</w:t>
            </w:r>
          </w:p>
        </w:tc>
      </w:tr>
      <w:tr w:rsidR="00D20C62" w14:paraId="7C9574EE"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80" w:type="dxa"/>
              <w:bottom w:w="80" w:type="dxa"/>
              <w:right w:w="80" w:type="dxa"/>
            </w:tcMar>
            <w:vAlign w:val="center"/>
          </w:tcPr>
          <w:p w14:paraId="338173DB" w14:textId="77777777" w:rsidR="00D20C62" w:rsidRDefault="00000000">
            <w:pPr>
              <w:jc w:val="center"/>
            </w:pPr>
            <w:proofErr w:type="spellStart"/>
            <w:r>
              <w:rPr>
                <w:b/>
                <w:bCs/>
                <w:color w:val="1A1A2E"/>
                <w:sz w:val="18"/>
                <w:szCs w:val="18"/>
              </w:rPr>
              <w:t>Prob</w:t>
            </w:r>
            <w:proofErr w:type="spellEnd"/>
            <w:r>
              <w:rPr>
                <w:b/>
                <w:bCs/>
                <w:color w:val="1A1A2E"/>
                <w:sz w:val="18"/>
                <w:szCs w:val="18"/>
              </w:rPr>
              <w:t>. Media</w:t>
            </w:r>
          </w:p>
        </w:tc>
        <w:tc>
          <w:tcPr>
            <w:tcW w:w="1200" w:type="dxa"/>
            <w:tcBorders>
              <w:top w:val="single" w:sz="1" w:space="0" w:color="BDD7EE"/>
              <w:left w:val="single" w:sz="1" w:space="0" w:color="BDD7EE"/>
              <w:bottom w:val="single" w:sz="1" w:space="0" w:color="BDD7EE"/>
              <w:right w:val="single" w:sz="1" w:space="0" w:color="BDD7EE"/>
            </w:tcBorders>
            <w:shd w:val="clear" w:color="auto" w:fill="D9EAD3"/>
            <w:tcMar>
              <w:top w:w="80" w:type="dxa"/>
              <w:left w:w="80" w:type="dxa"/>
              <w:bottom w:w="80" w:type="dxa"/>
              <w:right w:w="80" w:type="dxa"/>
            </w:tcMar>
            <w:vAlign w:val="center"/>
          </w:tcPr>
          <w:p w14:paraId="0846746D" w14:textId="77777777" w:rsidR="00D20C62" w:rsidRDefault="00000000">
            <w:pPr>
              <w:jc w:val="center"/>
            </w:pPr>
            <w:r>
              <w:rPr>
                <w:b/>
                <w:bCs/>
                <w:color w:val="375623"/>
                <w:sz w:val="18"/>
                <w:szCs w:val="18"/>
              </w:rPr>
              <w:t>BAJO</w:t>
            </w:r>
          </w:p>
        </w:tc>
        <w:tc>
          <w:tcPr>
            <w:tcW w:w="1200" w:type="dxa"/>
            <w:tcBorders>
              <w:top w:val="single" w:sz="1" w:space="0" w:color="BDD7EE"/>
              <w:left w:val="single" w:sz="1" w:space="0" w:color="BDD7EE"/>
              <w:bottom w:val="single" w:sz="1" w:space="0" w:color="BDD7EE"/>
              <w:right w:val="single" w:sz="1" w:space="0" w:color="BDD7EE"/>
            </w:tcBorders>
            <w:shd w:val="clear" w:color="auto" w:fill="FFE6CC"/>
            <w:tcMar>
              <w:top w:w="80" w:type="dxa"/>
              <w:left w:w="80" w:type="dxa"/>
              <w:bottom w:w="80" w:type="dxa"/>
              <w:right w:w="80" w:type="dxa"/>
            </w:tcMar>
            <w:vAlign w:val="center"/>
          </w:tcPr>
          <w:p w14:paraId="11ED213D" w14:textId="77777777" w:rsidR="00D20C62" w:rsidRDefault="00000000">
            <w:pPr>
              <w:jc w:val="center"/>
            </w:pPr>
            <w:r>
              <w:rPr>
                <w:b/>
                <w:bCs/>
                <w:color w:val="E36C09"/>
                <w:sz w:val="18"/>
                <w:szCs w:val="18"/>
              </w:rPr>
              <w:t>MEDIO R-07</w:t>
            </w:r>
          </w:p>
        </w:tc>
        <w:tc>
          <w:tcPr>
            <w:tcW w:w="1200" w:type="dxa"/>
            <w:tcBorders>
              <w:top w:val="single" w:sz="1" w:space="0" w:color="BDD7EE"/>
              <w:left w:val="single" w:sz="1" w:space="0" w:color="BDD7EE"/>
              <w:bottom w:val="single" w:sz="1" w:space="0" w:color="BDD7EE"/>
              <w:right w:val="single" w:sz="1" w:space="0" w:color="BDD7EE"/>
            </w:tcBorders>
            <w:shd w:val="clear" w:color="auto" w:fill="FFCCCC"/>
            <w:tcMar>
              <w:top w:w="80" w:type="dxa"/>
              <w:left w:w="80" w:type="dxa"/>
              <w:bottom w:w="80" w:type="dxa"/>
              <w:right w:w="80" w:type="dxa"/>
            </w:tcMar>
            <w:vAlign w:val="center"/>
          </w:tcPr>
          <w:p w14:paraId="5120D802" w14:textId="77777777" w:rsidR="00D20C62" w:rsidRDefault="00000000">
            <w:pPr>
              <w:jc w:val="center"/>
            </w:pPr>
            <w:r>
              <w:rPr>
                <w:b/>
                <w:bCs/>
                <w:color w:val="C00000"/>
                <w:sz w:val="18"/>
                <w:szCs w:val="18"/>
              </w:rPr>
              <w:t>ALTO R-02, R-04, R-06</w:t>
            </w:r>
          </w:p>
        </w:tc>
        <w:tc>
          <w:tcPr>
            <w:tcW w:w="1200" w:type="dxa"/>
            <w:tcBorders>
              <w:top w:val="single" w:sz="1" w:space="0" w:color="BDD7EE"/>
              <w:left w:val="single" w:sz="1" w:space="0" w:color="BDD7EE"/>
              <w:bottom w:val="single" w:sz="1" w:space="0" w:color="BDD7EE"/>
              <w:right w:val="single" w:sz="1" w:space="0" w:color="BDD7EE"/>
            </w:tcBorders>
            <w:shd w:val="clear" w:color="auto" w:fill="FFCCCC"/>
            <w:tcMar>
              <w:top w:w="80" w:type="dxa"/>
              <w:left w:w="80" w:type="dxa"/>
              <w:bottom w:w="80" w:type="dxa"/>
              <w:right w:w="80" w:type="dxa"/>
            </w:tcMar>
            <w:vAlign w:val="center"/>
          </w:tcPr>
          <w:p w14:paraId="740B9D10" w14:textId="77777777" w:rsidR="00D20C62" w:rsidRDefault="00000000">
            <w:pPr>
              <w:jc w:val="center"/>
            </w:pPr>
            <w:r>
              <w:rPr>
                <w:b/>
                <w:bCs/>
                <w:color w:val="C00000"/>
                <w:sz w:val="18"/>
                <w:szCs w:val="18"/>
              </w:rPr>
              <w:t>ALTO</w:t>
            </w:r>
          </w:p>
        </w:tc>
      </w:tr>
      <w:tr w:rsidR="00D20C62" w14:paraId="3086C905" w14:textId="77777777">
        <w:tblPrEx>
          <w:tblCellMar>
            <w:top w:w="0" w:type="dxa"/>
            <w:bottom w:w="0" w:type="dxa"/>
          </w:tblCellMar>
        </w:tblPrEx>
        <w:tc>
          <w:tcPr>
            <w:tcW w:w="1200" w:type="dxa"/>
            <w:tcBorders>
              <w:top w:val="single" w:sz="1" w:space="0" w:color="BDD7EE"/>
              <w:left w:val="single" w:sz="1" w:space="0" w:color="BDD7EE"/>
              <w:bottom w:val="single" w:sz="1" w:space="0" w:color="BDD7EE"/>
              <w:right w:val="single" w:sz="1" w:space="0" w:color="BDD7EE"/>
            </w:tcBorders>
            <w:shd w:val="clear" w:color="auto" w:fill="DEEAF1"/>
            <w:tcMar>
              <w:top w:w="80" w:type="dxa"/>
              <w:left w:w="80" w:type="dxa"/>
              <w:bottom w:w="80" w:type="dxa"/>
              <w:right w:w="80" w:type="dxa"/>
            </w:tcMar>
            <w:vAlign w:val="center"/>
          </w:tcPr>
          <w:p w14:paraId="0CB3D410" w14:textId="77777777" w:rsidR="00D20C62" w:rsidRDefault="00000000">
            <w:pPr>
              <w:jc w:val="center"/>
            </w:pPr>
            <w:proofErr w:type="spellStart"/>
            <w:r>
              <w:rPr>
                <w:b/>
                <w:bCs/>
                <w:color w:val="1A1A2E"/>
                <w:sz w:val="18"/>
                <w:szCs w:val="18"/>
              </w:rPr>
              <w:t>Prob</w:t>
            </w:r>
            <w:proofErr w:type="spellEnd"/>
            <w:r>
              <w:rPr>
                <w:b/>
                <w:bCs/>
                <w:color w:val="1A1A2E"/>
                <w:sz w:val="18"/>
                <w:szCs w:val="18"/>
              </w:rPr>
              <w:t>. Baja</w:t>
            </w:r>
          </w:p>
        </w:tc>
        <w:tc>
          <w:tcPr>
            <w:tcW w:w="1200" w:type="dxa"/>
            <w:tcBorders>
              <w:top w:val="single" w:sz="1" w:space="0" w:color="BDD7EE"/>
              <w:left w:val="single" w:sz="1" w:space="0" w:color="BDD7EE"/>
              <w:bottom w:val="single" w:sz="1" w:space="0" w:color="BDD7EE"/>
              <w:right w:val="single" w:sz="1" w:space="0" w:color="BDD7EE"/>
            </w:tcBorders>
            <w:shd w:val="clear" w:color="auto" w:fill="D9EAD3"/>
            <w:tcMar>
              <w:top w:w="80" w:type="dxa"/>
              <w:left w:w="80" w:type="dxa"/>
              <w:bottom w:w="80" w:type="dxa"/>
              <w:right w:w="80" w:type="dxa"/>
            </w:tcMar>
            <w:vAlign w:val="center"/>
          </w:tcPr>
          <w:p w14:paraId="69DB1831" w14:textId="77777777" w:rsidR="00D20C62" w:rsidRDefault="00000000">
            <w:pPr>
              <w:jc w:val="center"/>
            </w:pPr>
            <w:r>
              <w:rPr>
                <w:b/>
                <w:bCs/>
                <w:color w:val="375623"/>
                <w:sz w:val="18"/>
                <w:szCs w:val="18"/>
              </w:rPr>
              <w:t>BAJO</w:t>
            </w:r>
          </w:p>
        </w:tc>
        <w:tc>
          <w:tcPr>
            <w:tcW w:w="1200" w:type="dxa"/>
            <w:tcBorders>
              <w:top w:val="single" w:sz="1" w:space="0" w:color="BDD7EE"/>
              <w:left w:val="single" w:sz="1" w:space="0" w:color="BDD7EE"/>
              <w:bottom w:val="single" w:sz="1" w:space="0" w:color="BDD7EE"/>
              <w:right w:val="single" w:sz="1" w:space="0" w:color="BDD7EE"/>
            </w:tcBorders>
            <w:shd w:val="clear" w:color="auto" w:fill="D9EAD3"/>
            <w:tcMar>
              <w:top w:w="80" w:type="dxa"/>
              <w:left w:w="80" w:type="dxa"/>
              <w:bottom w:w="80" w:type="dxa"/>
              <w:right w:w="80" w:type="dxa"/>
            </w:tcMar>
            <w:vAlign w:val="center"/>
          </w:tcPr>
          <w:p w14:paraId="153BFA5A" w14:textId="77777777" w:rsidR="00D20C62" w:rsidRDefault="00000000">
            <w:pPr>
              <w:jc w:val="center"/>
            </w:pPr>
            <w:r>
              <w:rPr>
                <w:b/>
                <w:bCs/>
                <w:color w:val="375623"/>
                <w:sz w:val="18"/>
                <w:szCs w:val="18"/>
              </w:rPr>
              <w:t>BAJO R-05</w:t>
            </w:r>
          </w:p>
        </w:tc>
        <w:tc>
          <w:tcPr>
            <w:tcW w:w="1200" w:type="dxa"/>
            <w:tcBorders>
              <w:top w:val="single" w:sz="1" w:space="0" w:color="BDD7EE"/>
              <w:left w:val="single" w:sz="1" w:space="0" w:color="BDD7EE"/>
              <w:bottom w:val="single" w:sz="1" w:space="0" w:color="BDD7EE"/>
              <w:right w:val="single" w:sz="1" w:space="0" w:color="BDD7EE"/>
            </w:tcBorders>
            <w:shd w:val="clear" w:color="auto" w:fill="FFE6CC"/>
            <w:tcMar>
              <w:top w:w="80" w:type="dxa"/>
              <w:left w:w="80" w:type="dxa"/>
              <w:bottom w:w="80" w:type="dxa"/>
              <w:right w:w="80" w:type="dxa"/>
            </w:tcMar>
            <w:vAlign w:val="center"/>
          </w:tcPr>
          <w:p w14:paraId="39000D69" w14:textId="77777777" w:rsidR="00D20C62" w:rsidRDefault="00000000">
            <w:pPr>
              <w:jc w:val="center"/>
            </w:pPr>
            <w:r>
              <w:rPr>
                <w:b/>
                <w:bCs/>
                <w:color w:val="E36C09"/>
                <w:sz w:val="18"/>
                <w:szCs w:val="18"/>
              </w:rPr>
              <w:t>MEDIO R-03, R-08, R-10</w:t>
            </w:r>
          </w:p>
        </w:tc>
        <w:tc>
          <w:tcPr>
            <w:tcW w:w="1200" w:type="dxa"/>
            <w:tcBorders>
              <w:top w:val="single" w:sz="1" w:space="0" w:color="BDD7EE"/>
              <w:left w:val="single" w:sz="1" w:space="0" w:color="BDD7EE"/>
              <w:bottom w:val="single" w:sz="1" w:space="0" w:color="BDD7EE"/>
              <w:right w:val="single" w:sz="1" w:space="0" w:color="BDD7EE"/>
            </w:tcBorders>
            <w:shd w:val="clear" w:color="auto" w:fill="FFE6CC"/>
            <w:tcMar>
              <w:top w:w="80" w:type="dxa"/>
              <w:left w:w="80" w:type="dxa"/>
              <w:bottom w:w="80" w:type="dxa"/>
              <w:right w:w="80" w:type="dxa"/>
            </w:tcMar>
            <w:vAlign w:val="center"/>
          </w:tcPr>
          <w:p w14:paraId="520F5042" w14:textId="77777777" w:rsidR="00D20C62" w:rsidRDefault="00000000">
            <w:pPr>
              <w:jc w:val="center"/>
            </w:pPr>
            <w:r>
              <w:rPr>
                <w:b/>
                <w:bCs/>
                <w:color w:val="E36C09"/>
                <w:sz w:val="18"/>
                <w:szCs w:val="18"/>
              </w:rPr>
              <w:t>MEDIO</w:t>
            </w:r>
          </w:p>
        </w:tc>
      </w:tr>
    </w:tbl>
    <w:p w14:paraId="3DDAA4E0" w14:textId="77777777" w:rsidR="00D20C62" w:rsidRDefault="00D20C62">
      <w:pPr>
        <w:spacing w:before="80" w:after="80"/>
      </w:pPr>
    </w:p>
    <w:p w14:paraId="07F3F9F9" w14:textId="77777777" w:rsidR="00D20C62" w:rsidRDefault="00D20C62">
      <w:pPr>
        <w:spacing w:before="80" w:after="80"/>
      </w:pPr>
    </w:p>
    <w:p w14:paraId="35C97BB5" w14:textId="77777777" w:rsidR="00D20C62" w:rsidRDefault="00000000">
      <w:pPr>
        <w:pStyle w:val="Ttulo1"/>
      </w:pPr>
      <w:r>
        <w:t>7. Resumen Ejecutivo de Riesgos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2360"/>
        <w:gridCol w:w="4000"/>
      </w:tblGrid>
      <w:tr w:rsidR="00D20C62" w14:paraId="75EA19CD" w14:textId="77777777">
        <w:tblPrEx>
          <w:tblCellMar>
            <w:top w:w="0" w:type="dxa"/>
            <w:bottom w:w="0" w:type="dxa"/>
          </w:tblCellMar>
        </w:tblPrEx>
        <w:trPr>
          <w:tblHeader/>
        </w:trPr>
        <w:tc>
          <w:tcPr>
            <w:tcW w:w="15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vAlign w:val="center"/>
          </w:tcPr>
          <w:p w14:paraId="0D9B95B7" w14:textId="77777777" w:rsidR="00D20C62" w:rsidRDefault="00000000">
            <w:pPr>
              <w:jc w:val="center"/>
            </w:pPr>
            <w:r>
              <w:rPr>
                <w:b/>
                <w:bCs/>
                <w:color w:val="FFFFFF"/>
                <w:sz w:val="18"/>
                <w:szCs w:val="18"/>
              </w:rPr>
              <w:t>Nivel</w:t>
            </w:r>
          </w:p>
        </w:tc>
        <w:tc>
          <w:tcPr>
            <w:tcW w:w="15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vAlign w:val="center"/>
          </w:tcPr>
          <w:p w14:paraId="24CB417C" w14:textId="77777777" w:rsidR="00D20C62" w:rsidRDefault="00000000">
            <w:pPr>
              <w:jc w:val="center"/>
            </w:pPr>
            <w:r>
              <w:rPr>
                <w:b/>
                <w:bCs/>
                <w:color w:val="FFFFFF"/>
                <w:sz w:val="18"/>
                <w:szCs w:val="18"/>
              </w:rPr>
              <w:t>Cantidad</w:t>
            </w:r>
          </w:p>
        </w:tc>
        <w:tc>
          <w:tcPr>
            <w:tcW w:w="236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vAlign w:val="center"/>
          </w:tcPr>
          <w:p w14:paraId="249BE7C6" w14:textId="77777777" w:rsidR="00D20C62" w:rsidRDefault="00000000">
            <w:pPr>
              <w:jc w:val="center"/>
            </w:pPr>
            <w:r>
              <w:rPr>
                <w:b/>
                <w:bCs/>
                <w:color w:val="FFFFFF"/>
                <w:sz w:val="18"/>
                <w:szCs w:val="18"/>
              </w:rPr>
              <w:t>IDs</w:t>
            </w:r>
          </w:p>
        </w:tc>
        <w:tc>
          <w:tcPr>
            <w:tcW w:w="4000" w:type="dxa"/>
            <w:tcBorders>
              <w:top w:val="single" w:sz="1" w:space="0" w:color="BDD7EE"/>
              <w:left w:val="single" w:sz="1" w:space="0" w:color="BDD7EE"/>
              <w:bottom w:val="single" w:sz="1" w:space="0" w:color="BDD7EE"/>
              <w:right w:val="single" w:sz="1" w:space="0" w:color="BDD7EE"/>
            </w:tcBorders>
            <w:shd w:val="clear" w:color="auto" w:fill="1F4E79"/>
            <w:tcMar>
              <w:top w:w="100" w:type="dxa"/>
              <w:left w:w="120" w:type="dxa"/>
              <w:bottom w:w="100" w:type="dxa"/>
              <w:right w:w="120" w:type="dxa"/>
            </w:tcMar>
            <w:vAlign w:val="center"/>
          </w:tcPr>
          <w:p w14:paraId="0C17537A" w14:textId="77777777" w:rsidR="00D20C62" w:rsidRDefault="00000000">
            <w:pPr>
              <w:jc w:val="center"/>
            </w:pPr>
            <w:r>
              <w:rPr>
                <w:b/>
                <w:bCs/>
                <w:color w:val="FFFFFF"/>
                <w:sz w:val="18"/>
                <w:szCs w:val="18"/>
              </w:rPr>
              <w:t>Acción General</w:t>
            </w:r>
          </w:p>
        </w:tc>
      </w:tr>
      <w:tr w:rsidR="00D20C62" w14:paraId="01FD3F80" w14:textId="77777777">
        <w:tblPrEx>
          <w:tblCellMar>
            <w:top w:w="0" w:type="dxa"/>
            <w:bottom w:w="0" w:type="dxa"/>
          </w:tblCellMar>
        </w:tblPrEx>
        <w:tc>
          <w:tcPr>
            <w:tcW w:w="1500" w:type="dxa"/>
            <w:tcBorders>
              <w:top w:val="single" w:sz="1" w:space="0" w:color="BDD7EE"/>
              <w:left w:val="single" w:sz="1" w:space="0" w:color="BDD7EE"/>
              <w:bottom w:val="single" w:sz="1" w:space="0" w:color="BDD7EE"/>
              <w:right w:val="single" w:sz="1" w:space="0" w:color="BDD7EE"/>
            </w:tcBorders>
            <w:shd w:val="clear" w:color="auto" w:fill="FFCCCC"/>
            <w:tcMar>
              <w:top w:w="80" w:type="dxa"/>
              <w:left w:w="120" w:type="dxa"/>
              <w:bottom w:w="80" w:type="dxa"/>
              <w:right w:w="120" w:type="dxa"/>
            </w:tcMar>
          </w:tcPr>
          <w:p w14:paraId="30ECCD4D" w14:textId="77777777" w:rsidR="00D20C62" w:rsidRDefault="00000000">
            <w:pPr>
              <w:jc w:val="center"/>
            </w:pPr>
            <w:r>
              <w:rPr>
                <w:b/>
                <w:bCs/>
                <w:color w:val="C00000"/>
                <w:sz w:val="18"/>
                <w:szCs w:val="18"/>
              </w:rPr>
              <w:t>ALTO</w:t>
            </w:r>
          </w:p>
        </w:tc>
        <w:tc>
          <w:tcPr>
            <w:tcW w:w="1500" w:type="dxa"/>
            <w:tcBorders>
              <w:top w:val="single" w:sz="1" w:space="0" w:color="BDD7EE"/>
              <w:left w:val="single" w:sz="1" w:space="0" w:color="BDD7EE"/>
              <w:bottom w:val="single" w:sz="1" w:space="0" w:color="BDD7EE"/>
              <w:right w:val="single" w:sz="1" w:space="0" w:color="BDD7EE"/>
            </w:tcBorders>
            <w:shd w:val="clear" w:color="auto" w:fill="FFCCCC"/>
            <w:tcMar>
              <w:top w:w="80" w:type="dxa"/>
              <w:left w:w="120" w:type="dxa"/>
              <w:bottom w:w="80" w:type="dxa"/>
              <w:right w:w="120" w:type="dxa"/>
            </w:tcMar>
          </w:tcPr>
          <w:p w14:paraId="078CD852" w14:textId="77777777" w:rsidR="00D20C62" w:rsidRDefault="00000000">
            <w:pPr>
              <w:jc w:val="center"/>
            </w:pPr>
            <w:r>
              <w:rPr>
                <w:color w:val="C00000"/>
                <w:sz w:val="18"/>
                <w:szCs w:val="18"/>
              </w:rPr>
              <w:t>5</w:t>
            </w:r>
          </w:p>
        </w:tc>
        <w:tc>
          <w:tcPr>
            <w:tcW w:w="2360" w:type="dxa"/>
            <w:tcBorders>
              <w:top w:val="single" w:sz="1" w:space="0" w:color="BDD7EE"/>
              <w:left w:val="single" w:sz="1" w:space="0" w:color="BDD7EE"/>
              <w:bottom w:val="single" w:sz="1" w:space="0" w:color="BDD7EE"/>
              <w:right w:val="single" w:sz="1" w:space="0" w:color="BDD7EE"/>
            </w:tcBorders>
            <w:shd w:val="clear" w:color="auto" w:fill="FFCCCC"/>
            <w:tcMar>
              <w:top w:w="80" w:type="dxa"/>
              <w:left w:w="120" w:type="dxa"/>
              <w:bottom w:w="80" w:type="dxa"/>
              <w:right w:w="120" w:type="dxa"/>
            </w:tcMar>
          </w:tcPr>
          <w:p w14:paraId="415370FE" w14:textId="77777777" w:rsidR="00D20C62" w:rsidRDefault="00000000">
            <w:r>
              <w:rPr>
                <w:color w:val="1A1A2E"/>
                <w:sz w:val="18"/>
                <w:szCs w:val="18"/>
              </w:rPr>
              <w:t>R-01, R-02, R-04, R-06, R-09</w:t>
            </w:r>
          </w:p>
        </w:tc>
        <w:tc>
          <w:tcPr>
            <w:tcW w:w="4000" w:type="dxa"/>
            <w:tcBorders>
              <w:top w:val="single" w:sz="1" w:space="0" w:color="BDD7EE"/>
              <w:left w:val="single" w:sz="1" w:space="0" w:color="BDD7EE"/>
              <w:bottom w:val="single" w:sz="1" w:space="0" w:color="BDD7EE"/>
              <w:right w:val="single" w:sz="1" w:space="0" w:color="BDD7EE"/>
            </w:tcBorders>
            <w:shd w:val="clear" w:color="auto" w:fill="FFCCCC"/>
            <w:tcMar>
              <w:top w:w="80" w:type="dxa"/>
              <w:left w:w="120" w:type="dxa"/>
              <w:bottom w:w="80" w:type="dxa"/>
              <w:right w:w="120" w:type="dxa"/>
            </w:tcMar>
          </w:tcPr>
          <w:p w14:paraId="3922AABF" w14:textId="77777777" w:rsidR="00D20C62" w:rsidRDefault="00000000">
            <w:r>
              <w:rPr>
                <w:color w:val="1A1A2E"/>
                <w:sz w:val="18"/>
                <w:szCs w:val="18"/>
              </w:rPr>
              <w:t>Implementar plan de mitigación antes del despliegue en producción.</w:t>
            </w:r>
          </w:p>
        </w:tc>
      </w:tr>
      <w:tr w:rsidR="00D20C62" w14:paraId="7332ADB0" w14:textId="77777777">
        <w:tblPrEx>
          <w:tblCellMar>
            <w:top w:w="0" w:type="dxa"/>
            <w:bottom w:w="0" w:type="dxa"/>
          </w:tblCellMar>
        </w:tblPrEx>
        <w:tc>
          <w:tcPr>
            <w:tcW w:w="1500" w:type="dxa"/>
            <w:tcBorders>
              <w:top w:val="single" w:sz="1" w:space="0" w:color="BDD7EE"/>
              <w:left w:val="single" w:sz="1" w:space="0" w:color="BDD7EE"/>
              <w:bottom w:val="single" w:sz="1" w:space="0" w:color="BDD7EE"/>
              <w:right w:val="single" w:sz="1" w:space="0" w:color="BDD7EE"/>
            </w:tcBorders>
            <w:shd w:val="clear" w:color="auto" w:fill="FFE6CC"/>
            <w:tcMar>
              <w:top w:w="80" w:type="dxa"/>
              <w:left w:w="120" w:type="dxa"/>
              <w:bottom w:w="80" w:type="dxa"/>
              <w:right w:w="120" w:type="dxa"/>
            </w:tcMar>
          </w:tcPr>
          <w:p w14:paraId="6B79CA5E" w14:textId="77777777" w:rsidR="00D20C62" w:rsidRDefault="00000000">
            <w:pPr>
              <w:jc w:val="center"/>
            </w:pPr>
            <w:r>
              <w:rPr>
                <w:b/>
                <w:bCs/>
                <w:color w:val="E36C09"/>
                <w:sz w:val="18"/>
                <w:szCs w:val="18"/>
              </w:rPr>
              <w:t>MEDIO</w:t>
            </w:r>
          </w:p>
        </w:tc>
        <w:tc>
          <w:tcPr>
            <w:tcW w:w="1500" w:type="dxa"/>
            <w:tcBorders>
              <w:top w:val="single" w:sz="1" w:space="0" w:color="BDD7EE"/>
              <w:left w:val="single" w:sz="1" w:space="0" w:color="BDD7EE"/>
              <w:bottom w:val="single" w:sz="1" w:space="0" w:color="BDD7EE"/>
              <w:right w:val="single" w:sz="1" w:space="0" w:color="BDD7EE"/>
            </w:tcBorders>
            <w:shd w:val="clear" w:color="auto" w:fill="FFE6CC"/>
            <w:tcMar>
              <w:top w:w="80" w:type="dxa"/>
              <w:left w:w="120" w:type="dxa"/>
              <w:bottom w:w="80" w:type="dxa"/>
              <w:right w:w="120" w:type="dxa"/>
            </w:tcMar>
          </w:tcPr>
          <w:p w14:paraId="3A55732F" w14:textId="77777777" w:rsidR="00D20C62" w:rsidRDefault="00000000">
            <w:pPr>
              <w:jc w:val="center"/>
            </w:pPr>
            <w:r>
              <w:rPr>
                <w:color w:val="E36C09"/>
                <w:sz w:val="18"/>
                <w:szCs w:val="18"/>
              </w:rPr>
              <w:t>4</w:t>
            </w:r>
          </w:p>
        </w:tc>
        <w:tc>
          <w:tcPr>
            <w:tcW w:w="2360" w:type="dxa"/>
            <w:tcBorders>
              <w:top w:val="single" w:sz="1" w:space="0" w:color="BDD7EE"/>
              <w:left w:val="single" w:sz="1" w:space="0" w:color="BDD7EE"/>
              <w:bottom w:val="single" w:sz="1" w:space="0" w:color="BDD7EE"/>
              <w:right w:val="single" w:sz="1" w:space="0" w:color="BDD7EE"/>
            </w:tcBorders>
            <w:shd w:val="clear" w:color="auto" w:fill="FFE6CC"/>
            <w:tcMar>
              <w:top w:w="80" w:type="dxa"/>
              <w:left w:w="120" w:type="dxa"/>
              <w:bottom w:w="80" w:type="dxa"/>
              <w:right w:w="120" w:type="dxa"/>
            </w:tcMar>
          </w:tcPr>
          <w:p w14:paraId="7B30A65E" w14:textId="77777777" w:rsidR="00D20C62" w:rsidRDefault="00000000">
            <w:r>
              <w:rPr>
                <w:color w:val="1A1A2E"/>
                <w:sz w:val="18"/>
                <w:szCs w:val="18"/>
              </w:rPr>
              <w:t>R-03, R-07, R-08, R-10</w:t>
            </w:r>
          </w:p>
        </w:tc>
        <w:tc>
          <w:tcPr>
            <w:tcW w:w="4000" w:type="dxa"/>
            <w:tcBorders>
              <w:top w:val="single" w:sz="1" w:space="0" w:color="BDD7EE"/>
              <w:left w:val="single" w:sz="1" w:space="0" w:color="BDD7EE"/>
              <w:bottom w:val="single" w:sz="1" w:space="0" w:color="BDD7EE"/>
              <w:right w:val="single" w:sz="1" w:space="0" w:color="BDD7EE"/>
            </w:tcBorders>
            <w:shd w:val="clear" w:color="auto" w:fill="FFE6CC"/>
            <w:tcMar>
              <w:top w:w="80" w:type="dxa"/>
              <w:left w:w="120" w:type="dxa"/>
              <w:bottom w:w="80" w:type="dxa"/>
              <w:right w:w="120" w:type="dxa"/>
            </w:tcMar>
          </w:tcPr>
          <w:p w14:paraId="146B4B41" w14:textId="77777777" w:rsidR="00D20C62" w:rsidRDefault="00000000">
            <w:r>
              <w:rPr>
                <w:color w:val="1A1A2E"/>
                <w:sz w:val="18"/>
                <w:szCs w:val="18"/>
              </w:rPr>
              <w:t>Monitorear en cada sprint; implementar controles antes del lanzamiento.</w:t>
            </w:r>
          </w:p>
        </w:tc>
      </w:tr>
      <w:tr w:rsidR="00D20C62" w14:paraId="2B528BBD" w14:textId="77777777">
        <w:tblPrEx>
          <w:tblCellMar>
            <w:top w:w="0" w:type="dxa"/>
            <w:bottom w:w="0" w:type="dxa"/>
          </w:tblCellMar>
        </w:tblPrEx>
        <w:tc>
          <w:tcPr>
            <w:tcW w:w="1500" w:type="dxa"/>
            <w:tcBorders>
              <w:top w:val="single" w:sz="1" w:space="0" w:color="BDD7EE"/>
              <w:left w:val="single" w:sz="1" w:space="0" w:color="BDD7EE"/>
              <w:bottom w:val="single" w:sz="1" w:space="0" w:color="BDD7EE"/>
              <w:right w:val="single" w:sz="1" w:space="0" w:color="BDD7EE"/>
            </w:tcBorders>
            <w:shd w:val="clear" w:color="auto" w:fill="D9EAD3"/>
            <w:tcMar>
              <w:top w:w="80" w:type="dxa"/>
              <w:left w:w="120" w:type="dxa"/>
              <w:bottom w:w="80" w:type="dxa"/>
              <w:right w:w="120" w:type="dxa"/>
            </w:tcMar>
          </w:tcPr>
          <w:p w14:paraId="7A3E382A" w14:textId="77777777" w:rsidR="00D20C62" w:rsidRDefault="00000000">
            <w:pPr>
              <w:jc w:val="center"/>
            </w:pPr>
            <w:r>
              <w:rPr>
                <w:b/>
                <w:bCs/>
                <w:color w:val="375623"/>
                <w:sz w:val="18"/>
                <w:szCs w:val="18"/>
              </w:rPr>
              <w:t>BAJO</w:t>
            </w:r>
          </w:p>
        </w:tc>
        <w:tc>
          <w:tcPr>
            <w:tcW w:w="1500" w:type="dxa"/>
            <w:tcBorders>
              <w:top w:val="single" w:sz="1" w:space="0" w:color="BDD7EE"/>
              <w:left w:val="single" w:sz="1" w:space="0" w:color="BDD7EE"/>
              <w:bottom w:val="single" w:sz="1" w:space="0" w:color="BDD7EE"/>
              <w:right w:val="single" w:sz="1" w:space="0" w:color="BDD7EE"/>
            </w:tcBorders>
            <w:shd w:val="clear" w:color="auto" w:fill="D9EAD3"/>
            <w:tcMar>
              <w:top w:w="80" w:type="dxa"/>
              <w:left w:w="120" w:type="dxa"/>
              <w:bottom w:w="80" w:type="dxa"/>
              <w:right w:w="120" w:type="dxa"/>
            </w:tcMar>
          </w:tcPr>
          <w:p w14:paraId="3FFD8D95" w14:textId="77777777" w:rsidR="00D20C62" w:rsidRDefault="00000000">
            <w:pPr>
              <w:jc w:val="center"/>
            </w:pPr>
            <w:r>
              <w:rPr>
                <w:color w:val="375623"/>
                <w:sz w:val="18"/>
                <w:szCs w:val="18"/>
              </w:rPr>
              <w:t>1</w:t>
            </w:r>
          </w:p>
        </w:tc>
        <w:tc>
          <w:tcPr>
            <w:tcW w:w="2360" w:type="dxa"/>
            <w:tcBorders>
              <w:top w:val="single" w:sz="1" w:space="0" w:color="BDD7EE"/>
              <w:left w:val="single" w:sz="1" w:space="0" w:color="BDD7EE"/>
              <w:bottom w:val="single" w:sz="1" w:space="0" w:color="BDD7EE"/>
              <w:right w:val="single" w:sz="1" w:space="0" w:color="BDD7EE"/>
            </w:tcBorders>
            <w:shd w:val="clear" w:color="auto" w:fill="D9EAD3"/>
            <w:tcMar>
              <w:top w:w="80" w:type="dxa"/>
              <w:left w:w="120" w:type="dxa"/>
              <w:bottom w:w="80" w:type="dxa"/>
              <w:right w:w="120" w:type="dxa"/>
            </w:tcMar>
          </w:tcPr>
          <w:p w14:paraId="7D2D5D60" w14:textId="77777777" w:rsidR="00D20C62" w:rsidRDefault="00000000">
            <w:r>
              <w:rPr>
                <w:color w:val="1A1A2E"/>
                <w:sz w:val="18"/>
                <w:szCs w:val="18"/>
              </w:rPr>
              <w:t>R-05</w:t>
            </w:r>
          </w:p>
        </w:tc>
        <w:tc>
          <w:tcPr>
            <w:tcW w:w="4000" w:type="dxa"/>
            <w:tcBorders>
              <w:top w:val="single" w:sz="1" w:space="0" w:color="BDD7EE"/>
              <w:left w:val="single" w:sz="1" w:space="0" w:color="BDD7EE"/>
              <w:bottom w:val="single" w:sz="1" w:space="0" w:color="BDD7EE"/>
              <w:right w:val="single" w:sz="1" w:space="0" w:color="BDD7EE"/>
            </w:tcBorders>
            <w:shd w:val="clear" w:color="auto" w:fill="D9EAD3"/>
            <w:tcMar>
              <w:top w:w="80" w:type="dxa"/>
              <w:left w:w="120" w:type="dxa"/>
              <w:bottom w:w="80" w:type="dxa"/>
              <w:right w:w="120" w:type="dxa"/>
            </w:tcMar>
          </w:tcPr>
          <w:p w14:paraId="50641A52" w14:textId="77777777" w:rsidR="00D20C62" w:rsidRDefault="00000000">
            <w:r>
              <w:rPr>
                <w:color w:val="1A1A2E"/>
                <w:sz w:val="18"/>
                <w:szCs w:val="18"/>
              </w:rPr>
              <w:t>Aceptar con monitoreo mensual de consumo de recursos.</w:t>
            </w:r>
          </w:p>
        </w:tc>
      </w:tr>
    </w:tbl>
    <w:p w14:paraId="18C7A43C" w14:textId="77777777" w:rsidR="00D20C62" w:rsidRDefault="00D20C62">
      <w:pPr>
        <w:spacing w:before="80" w:after="80"/>
      </w:pPr>
    </w:p>
    <w:p w14:paraId="3DF44BB8" w14:textId="77777777" w:rsidR="00D20C62" w:rsidRDefault="00D20C62">
      <w:pPr>
        <w:spacing w:before="80" w:after="80"/>
      </w:pPr>
    </w:p>
    <w:p w14:paraId="600994FA" w14:textId="77777777" w:rsidR="00D20C62" w:rsidRDefault="00000000">
      <w:pPr>
        <w:pStyle w:val="Ttulo1"/>
      </w:pPr>
      <w:r>
        <w:lastRenderedPageBreak/>
        <w:t>8. Seguimiento y Revisión</w:t>
      </w:r>
    </w:p>
    <w:p w14:paraId="6AA5316E" w14:textId="77777777" w:rsidR="00D20C62" w:rsidRDefault="00000000">
      <w:pPr>
        <w:spacing w:before="80" w:after="80"/>
        <w:jc w:val="both"/>
      </w:pPr>
      <w:r>
        <w:rPr>
          <w:color w:val="1A1A2E"/>
        </w:rPr>
        <w:t>Conforme a la cláusula 6.6 de la ISO 31000:2018 y la práctica ITIL de Gestión de la Mejora Continua, se establecen los siguientes mecanismos de seguimiento:</w:t>
      </w:r>
    </w:p>
    <w:p w14:paraId="5E663767" w14:textId="77777777" w:rsidR="00D20C62" w:rsidRDefault="00D20C62">
      <w:pPr>
        <w:spacing w:before="80" w:after="80"/>
      </w:pPr>
    </w:p>
    <w:p w14:paraId="12686095" w14:textId="77777777" w:rsidR="00D20C62" w:rsidRDefault="00000000">
      <w:pPr>
        <w:pStyle w:val="Prrafodelista"/>
        <w:numPr>
          <w:ilvl w:val="0"/>
          <w:numId w:val="2"/>
        </w:numPr>
        <w:spacing w:before="60" w:after="60"/>
      </w:pPr>
      <w:r>
        <w:rPr>
          <w:color w:val="1A1A2E"/>
        </w:rPr>
        <w:t>Revisión del registro de riesgos al inicio de cada sprint (cada 2 semanas).</w:t>
      </w:r>
    </w:p>
    <w:p w14:paraId="494DF8C3" w14:textId="77777777" w:rsidR="00D20C62" w:rsidRDefault="00000000">
      <w:pPr>
        <w:pStyle w:val="Prrafodelista"/>
        <w:numPr>
          <w:ilvl w:val="0"/>
          <w:numId w:val="2"/>
        </w:numPr>
        <w:spacing w:before="60" w:after="60"/>
      </w:pPr>
      <w:r>
        <w:rPr>
          <w:color w:val="1A1A2E"/>
        </w:rPr>
        <w:t>Escalación inmediata al líder de proyecto ante la materialización de cualquier riesgo de nivel ALTO.</w:t>
      </w:r>
    </w:p>
    <w:p w14:paraId="4F4D395D" w14:textId="77777777" w:rsidR="00D20C62" w:rsidRDefault="00000000">
      <w:pPr>
        <w:pStyle w:val="Prrafodelista"/>
        <w:numPr>
          <w:ilvl w:val="0"/>
          <w:numId w:val="2"/>
        </w:numPr>
        <w:spacing w:before="60" w:after="60"/>
      </w:pPr>
      <w:r>
        <w:rPr>
          <w:color w:val="1A1A2E"/>
        </w:rPr>
        <w:t>Actualización del presente documento al cierre de cada fase del proyecto.</w:t>
      </w:r>
    </w:p>
    <w:p w14:paraId="609E8D89" w14:textId="77777777" w:rsidR="00D20C62" w:rsidRDefault="00000000">
      <w:pPr>
        <w:pStyle w:val="Prrafodelista"/>
        <w:numPr>
          <w:ilvl w:val="0"/>
          <w:numId w:val="2"/>
        </w:numPr>
        <w:spacing w:before="60" w:after="60"/>
      </w:pPr>
      <w:r>
        <w:rPr>
          <w:color w:val="1A1A2E"/>
        </w:rPr>
        <w:t>Reunión de revisión formal de riesgos al finalizar cada sprint con todo el equipo.</w:t>
      </w:r>
    </w:p>
    <w:p w14:paraId="3DA89810" w14:textId="77777777" w:rsidR="00D20C62" w:rsidRDefault="00000000">
      <w:pPr>
        <w:pStyle w:val="Prrafodelista"/>
        <w:numPr>
          <w:ilvl w:val="0"/>
          <w:numId w:val="2"/>
        </w:numPr>
        <w:spacing w:before="60" w:after="60"/>
      </w:pPr>
      <w:r>
        <w:rPr>
          <w:color w:val="1A1A2E"/>
        </w:rPr>
        <w:t>Indicador de seguimiento: porcentaje de riesgos mitigados vs. identificados, reportado mensualmente.</w:t>
      </w:r>
    </w:p>
    <w:sectPr w:rsidR="00D20C62" w:rsidSect="00484207">
      <w:headerReference w:type="default" r:id="rId7"/>
      <w:footerReference w:type="default" r:id="rId8"/>
      <w:pgSz w:w="11906" w:h="16838" w:orient="landscape"/>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0F6B3" w14:textId="77777777" w:rsidR="00C11655" w:rsidRDefault="00C11655">
      <w:r>
        <w:separator/>
      </w:r>
    </w:p>
  </w:endnote>
  <w:endnote w:type="continuationSeparator" w:id="0">
    <w:p w14:paraId="7897AEF3" w14:textId="77777777" w:rsidR="00C11655" w:rsidRDefault="00C116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1BCBA" w14:textId="77777777" w:rsidR="00D20C62" w:rsidRDefault="00000000">
    <w:pPr>
      <w:pBdr>
        <w:top w:val="single" w:sz="2" w:space="0" w:color="2E75B6"/>
      </w:pBdr>
      <w:spacing w:before="80"/>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7660DD">
      <w:rPr>
        <w:noProof/>
        <w:color w:val="595959"/>
        <w:sz w:val="18"/>
        <w:szCs w:val="18"/>
      </w:rPr>
      <w:t>1</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7660DD">
      <w:rPr>
        <w:noProof/>
        <w:color w:val="595959"/>
        <w:sz w:val="18"/>
        <w:szCs w:val="18"/>
      </w:rPr>
      <w:t>2</w:t>
    </w:r>
    <w:r>
      <w:rPr>
        <w:color w:val="595959"/>
        <w:sz w:val="18"/>
        <w:szCs w:val="18"/>
      </w:rPr>
      <w:fldChar w:fldCharType="end"/>
    </w:r>
    <w:r>
      <w:rPr>
        <w:color w:val="595959"/>
        <w:sz w:val="18"/>
        <w:szCs w:val="18"/>
      </w:rPr>
      <w:t xml:space="preserve">  |  Universidad Tecnológica del Valle de </w:t>
    </w:r>
    <w:proofErr w:type="gramStart"/>
    <w:r>
      <w:rPr>
        <w:color w:val="595959"/>
        <w:sz w:val="18"/>
        <w:szCs w:val="18"/>
      </w:rPr>
      <w:t>Toluca  |</w:t>
    </w:r>
    <w:proofErr w:type="gramEnd"/>
    <w:r>
      <w:rPr>
        <w:color w:val="595959"/>
        <w:sz w:val="18"/>
        <w:szCs w:val="18"/>
      </w:rPr>
      <w:t xml:space="preserve">  Junio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93895" w14:textId="77777777" w:rsidR="00C11655" w:rsidRDefault="00C11655">
      <w:r>
        <w:separator/>
      </w:r>
    </w:p>
  </w:footnote>
  <w:footnote w:type="continuationSeparator" w:id="0">
    <w:p w14:paraId="4E437B7E" w14:textId="77777777" w:rsidR="00C11655" w:rsidRDefault="00C116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47712" w14:textId="77777777" w:rsidR="00D20C62" w:rsidRDefault="00000000">
    <w:pPr>
      <w:pBdr>
        <w:bottom w:val="single" w:sz="4" w:space="0" w:color="2E75B6"/>
      </w:pBdr>
      <w:spacing w:after="120"/>
      <w:jc w:val="right"/>
    </w:pPr>
    <w:r>
      <w:rPr>
        <w:i/>
        <w:iCs/>
        <w:color w:val="595959"/>
        <w:sz w:val="18"/>
        <w:szCs w:val="18"/>
      </w:rPr>
      <w:t xml:space="preserve">GymPro — Análisis de </w:t>
    </w:r>
    <w:proofErr w:type="gramStart"/>
    <w:r>
      <w:rPr>
        <w:i/>
        <w:iCs/>
        <w:color w:val="595959"/>
        <w:sz w:val="18"/>
        <w:szCs w:val="18"/>
      </w:rPr>
      <w:t>Riesgo  |</w:t>
    </w:r>
    <w:proofErr w:type="gramEnd"/>
    <w:r>
      <w:rPr>
        <w:i/>
        <w:iCs/>
        <w:color w:val="595959"/>
        <w:sz w:val="18"/>
        <w:szCs w:val="18"/>
      </w:rPr>
      <w:t xml:space="preserve">  ISO </w:t>
    </w:r>
    <w:proofErr w:type="gramStart"/>
    <w:r>
      <w:rPr>
        <w:i/>
        <w:iCs/>
        <w:color w:val="595959"/>
        <w:sz w:val="18"/>
        <w:szCs w:val="18"/>
      </w:rPr>
      <w:t>31000:2018  |</w:t>
    </w:r>
    <w:proofErr w:type="gramEnd"/>
    <w:r>
      <w:rPr>
        <w:i/>
        <w:iCs/>
        <w:color w:val="595959"/>
        <w:sz w:val="18"/>
        <w:szCs w:val="18"/>
      </w:rPr>
      <w:t xml:space="preserve">  ITIL v4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A1920"/>
    <w:multiLevelType w:val="hybridMultilevel"/>
    <w:tmpl w:val="0EE6C95A"/>
    <w:lvl w:ilvl="0" w:tplc="3AF66B68">
      <w:start w:val="1"/>
      <w:numFmt w:val="bullet"/>
      <w:lvlText w:val="•"/>
      <w:lvlJc w:val="left"/>
      <w:pPr>
        <w:ind w:left="720" w:hanging="360"/>
      </w:pPr>
    </w:lvl>
    <w:lvl w:ilvl="1" w:tplc="CBCE2196">
      <w:numFmt w:val="decimal"/>
      <w:lvlText w:val=""/>
      <w:lvlJc w:val="left"/>
    </w:lvl>
    <w:lvl w:ilvl="2" w:tplc="CC08E5B6">
      <w:numFmt w:val="decimal"/>
      <w:lvlText w:val=""/>
      <w:lvlJc w:val="left"/>
    </w:lvl>
    <w:lvl w:ilvl="3" w:tplc="26CA5D46">
      <w:numFmt w:val="decimal"/>
      <w:lvlText w:val=""/>
      <w:lvlJc w:val="left"/>
    </w:lvl>
    <w:lvl w:ilvl="4" w:tplc="E284A7B2">
      <w:numFmt w:val="decimal"/>
      <w:lvlText w:val=""/>
      <w:lvlJc w:val="left"/>
    </w:lvl>
    <w:lvl w:ilvl="5" w:tplc="F6605F4E">
      <w:numFmt w:val="decimal"/>
      <w:lvlText w:val=""/>
      <w:lvlJc w:val="left"/>
    </w:lvl>
    <w:lvl w:ilvl="6" w:tplc="B170B93C">
      <w:numFmt w:val="decimal"/>
      <w:lvlText w:val=""/>
      <w:lvlJc w:val="left"/>
    </w:lvl>
    <w:lvl w:ilvl="7" w:tplc="AC408338">
      <w:numFmt w:val="decimal"/>
      <w:lvlText w:val=""/>
      <w:lvlJc w:val="left"/>
    </w:lvl>
    <w:lvl w:ilvl="8" w:tplc="6B6696AE">
      <w:numFmt w:val="decimal"/>
      <w:lvlText w:val=""/>
      <w:lvlJc w:val="left"/>
    </w:lvl>
  </w:abstractNum>
  <w:abstractNum w:abstractNumId="1" w15:restartNumberingAfterBreak="0">
    <w:nsid w:val="5EC85F7C"/>
    <w:multiLevelType w:val="hybridMultilevel"/>
    <w:tmpl w:val="DFB81140"/>
    <w:lvl w:ilvl="0" w:tplc="1C9E2F26">
      <w:start w:val="1"/>
      <w:numFmt w:val="bullet"/>
      <w:lvlText w:val="●"/>
      <w:lvlJc w:val="left"/>
      <w:pPr>
        <w:ind w:left="720" w:hanging="360"/>
      </w:pPr>
    </w:lvl>
    <w:lvl w:ilvl="1" w:tplc="2F7C2E8C">
      <w:start w:val="1"/>
      <w:numFmt w:val="bullet"/>
      <w:lvlText w:val="○"/>
      <w:lvlJc w:val="left"/>
      <w:pPr>
        <w:ind w:left="1440" w:hanging="360"/>
      </w:pPr>
    </w:lvl>
    <w:lvl w:ilvl="2" w:tplc="156E8AA8">
      <w:start w:val="1"/>
      <w:numFmt w:val="bullet"/>
      <w:lvlText w:val="■"/>
      <w:lvlJc w:val="left"/>
      <w:pPr>
        <w:ind w:left="2160" w:hanging="360"/>
      </w:pPr>
    </w:lvl>
    <w:lvl w:ilvl="3" w:tplc="B66272BA">
      <w:start w:val="1"/>
      <w:numFmt w:val="bullet"/>
      <w:lvlText w:val="●"/>
      <w:lvlJc w:val="left"/>
      <w:pPr>
        <w:ind w:left="2880" w:hanging="360"/>
      </w:pPr>
    </w:lvl>
    <w:lvl w:ilvl="4" w:tplc="B4AA6E18">
      <w:start w:val="1"/>
      <w:numFmt w:val="bullet"/>
      <w:lvlText w:val="○"/>
      <w:lvlJc w:val="left"/>
      <w:pPr>
        <w:ind w:left="3600" w:hanging="360"/>
      </w:pPr>
    </w:lvl>
    <w:lvl w:ilvl="5" w:tplc="1D8E5314">
      <w:start w:val="1"/>
      <w:numFmt w:val="bullet"/>
      <w:lvlText w:val="■"/>
      <w:lvlJc w:val="left"/>
      <w:pPr>
        <w:ind w:left="4320" w:hanging="360"/>
      </w:pPr>
    </w:lvl>
    <w:lvl w:ilvl="6" w:tplc="98F0A5F6">
      <w:start w:val="1"/>
      <w:numFmt w:val="bullet"/>
      <w:lvlText w:val="●"/>
      <w:lvlJc w:val="left"/>
      <w:pPr>
        <w:ind w:left="5040" w:hanging="360"/>
      </w:pPr>
    </w:lvl>
    <w:lvl w:ilvl="7" w:tplc="526ED7B8">
      <w:start w:val="1"/>
      <w:numFmt w:val="bullet"/>
      <w:lvlText w:val="●"/>
      <w:lvlJc w:val="left"/>
      <w:pPr>
        <w:ind w:left="5760" w:hanging="360"/>
      </w:pPr>
    </w:lvl>
    <w:lvl w:ilvl="8" w:tplc="37DAED6C">
      <w:start w:val="1"/>
      <w:numFmt w:val="bullet"/>
      <w:lvlText w:val="●"/>
      <w:lvlJc w:val="left"/>
      <w:pPr>
        <w:ind w:left="6480" w:hanging="360"/>
      </w:pPr>
    </w:lvl>
  </w:abstractNum>
  <w:num w:numId="1" w16cid:durableId="143592179">
    <w:abstractNumId w:val="1"/>
    <w:lvlOverride w:ilvl="0">
      <w:startOverride w:val="1"/>
    </w:lvlOverride>
  </w:num>
  <w:num w:numId="2" w16cid:durableId="26328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C62"/>
    <w:rsid w:val="00484207"/>
    <w:rsid w:val="007660DD"/>
    <w:rsid w:val="00A26DCA"/>
    <w:rsid w:val="00B253CC"/>
    <w:rsid w:val="00C11655"/>
    <w:rsid w:val="00D20C6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25451"/>
  <w15:docId w15:val="{1F9F24E0-47DF-4C39-BA92-BA7517FA8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60"/>
      <w:outlineLvl w:val="0"/>
    </w:pPr>
    <w:rPr>
      <w:b/>
      <w:bCs/>
      <w:color w:val="1F4E79"/>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1245</Words>
  <Characters>7313</Characters>
  <Application>Microsoft Office Word</Application>
  <DocSecurity>0</DocSecurity>
  <Lines>270</Lines>
  <Paragraphs>174</Paragraphs>
  <ScaleCrop>false</ScaleCrop>
  <Company/>
  <LinksUpToDate>false</LinksUpToDate>
  <CharactersWithSpaces>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Hernandez</cp:lastModifiedBy>
  <cp:revision>4</cp:revision>
  <dcterms:created xsi:type="dcterms:W3CDTF">2026-06-02T18:44:00Z</dcterms:created>
  <dcterms:modified xsi:type="dcterms:W3CDTF">2026-06-02T18:59:00Z</dcterms:modified>
</cp:coreProperties>
</file>