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B2"/>
          <w:sz w:val="44"/>
          <w:szCs w:val="44"/>
        </w:rPr>
        <w:t xml:space="preserve">GymPro — SistemaGYM</w:t>
      </w:r>
    </w:p>
    <w:p>
      <w:pPr>
        <w:spacing w:after="300"/>
        <w:jc w:val="center"/>
      </w:pPr>
      <w:r>
        <w:rPr>
          <w:sz w:val="24"/>
          <w:szCs w:val="24"/>
        </w:rPr>
        <w:t xml:space="preserve">Plataforma SaaS multi-gimnasio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Manual Técnico II</w:t>
      </w:r>
    </w:p>
    <w:p>
      <w:pPr>
        <w:spacing w:after="400"/>
        <w:jc w:val="center"/>
      </w:pPr>
      <w:r>
        <w:rPr>
          <w:sz w:val="30"/>
          <w:szCs w:val="30"/>
        </w:rPr>
        <w:t xml:space="preserve">Preparación de los datos en GymPro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Extracción del conocimiento en bases de datos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Unidad temática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II. Preparación de los datos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ITIL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Diseño del Servicio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github.com/francisco-J-perez-M/SistemaGYM (rama saas)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Julio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 (ampliada)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Este manual documenta el diseño de la capa de datos analítica de GymPro: fuentes y tipos de datos, el esquema de colecciones que actúa como almacén analítico operativo, las técnicas de limpieza y normalización aplicadas antes del modelado, y el pipeline ETL — incluido el AI ETL documental basado en Ollama. Corresponde a la etapa de Diseño del Servicio de ITIL: aquí se especifica cómo están diseñados los flujos de datos que alimentan la analítica, con qué garantías de calidad, seguridad y capacidad.</w:t>
      </w:r>
    </w:p>
    <w:p>
      <w:pPr>
        <w:pStyle w:val="Heading1"/>
      </w:pPr>
      <w:r>
        <w:t xml:space="preserve">2. Fuentes y tipos de datos</w:t>
      </w:r>
    </w:p>
    <w:p>
      <w:pPr>
        <w:pStyle w:val="Heading2"/>
      </w:pPr>
      <w:r>
        <w:t xml:space="preserve">2.1 Fuentes estructuradas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Fuente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Uso analítico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Usuarios, roles, gimnasios, suscripciones, catálogo de ejercicios (scoped por entrenador, migración 009)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Identidad, scoping multi-tenant, joins de referencia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· miembros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Perfil: sexo, objetivo, estatura, peso_inicial, id_gimnasio_pg, id_entrenador_pg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Segmentación y features categóricas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· progreso_fisico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 de tiempo: peso, cintura, grasa_corporal, imc, masa_muscular, fecha_registro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Regresión y clustering corporal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· asistencias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Timestamps de entrada al gimnasio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Heatmap, riesgo de abandono, RFM (recencia/frecuencia)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· pagos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Monto, fecha_pago, metodo_pago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MapReduce de ingresos, RFM (monetario)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· miembro_membresia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Vigencia y estado de membresías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tiene_membresia_activa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· entrenamientos_realizados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Bitácora: ejercicio, series, reps, peso, duración, calorías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Fuerza estimada (Epley) y progreso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· rutinas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Rutinas con días, grupos musculares, kg/lb, series flexibles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Popularidad y recomendaciones</w:t>
            </w:r>
          </w:p>
        </w:tc>
      </w:tr>
    </w:tbl>
    <w:p>
      <w:pPr>
        <w:pStyle w:val="Heading2"/>
      </w:pPr>
      <w:r>
        <w:t xml:space="preserve">2.2 Fuentes no estructuradas</w:t>
      </w:r>
    </w:p>
    <w:p>
      <w:pPr>
        <w:spacing w:after="120"/>
      </w:pPr>
      <w:r>
        <w:t xml:space="preserve">Documentos PDF y Excel que los entrenadores cargan con planes de entrenamiento o dietas. Se procesan con el pipeline AI ETL de la sección 5: extracción de texto, parser determinístico y, como fallback, LLM local. El tipo de dato resultante es JSON estructurado validado antes de la carga.</w:t>
      </w:r>
    </w:p>
    <w:p>
      <w:pPr>
        <w:pStyle w:val="Heading2"/>
      </w:pPr>
      <w:r>
        <w:t xml:space="preserve">2.3 Tipología de los datos</w:t>
      </w:r>
    </w:p>
    <w:p>
      <w:pPr>
        <w:spacing w:after="120"/>
      </w:pPr>
      <w:r>
        <w:t xml:space="preserve">El diseño distingue explícitamente los tipos de datos porque cada uno exige un tratamiento distinto antes del modelado: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0"/>
        <w:gridCol w:w="390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Ejemplos en GymPro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Tratamiento en preparación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 continuo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peso, cintura, grasa_corporal, imc, monto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StandardScaler antes de K-Means/SVM; unidades normalizadas (kg, cm→m)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 discreto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series, reps, total_pagos, asistencias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Conteos por agregación; imputación a 0 cuando no hay eventos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Categórico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sexo, objetivo, metodo_pago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Normalización de variantes (_norm_sexo) y codificación (_OBJETIVO_MAP)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Temporal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fecha_registro, fecha_pago, timestamps de asistencia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_to_naive_datetime; derivación de periodo YYYY-MM, día de semana y franja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Binario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tiene_membresia_activa, estado activo/inactivo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Cast a 0.0/1.0 como feature directa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libre / documento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y Excel de rutinas y dietas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ETL: extracción, parseo determinístico o LLM, validación JSON</w:t>
            </w:r>
          </w:p>
        </w:tc>
      </w:tr>
    </w:tbl>
    <w:p>
      <w:pPr>
        <w:pStyle w:val="Heading1"/>
      </w:pPr>
      <w:r>
        <w:t xml:space="preserve">3. Diseño del almacén analítico</w:t>
      </w:r>
    </w:p>
    <w:p>
      <w:pPr>
        <w:spacing w:after="120"/>
      </w:pPr>
      <w:r>
        <w:t xml:space="preserve">En lugar de un data warehouse dedicado, GymPro adopta un diseño operativo pragmático: MongoDB funge como almacén analítico con dos zonas lógicas. La zona de hechos son las colecciones operativas (equivalentes a tablas de hechos por evento: asistencia, pago, medición corporal, entrenamiento). La zona derivada es el caché analítico (analytics_cache), donde cada modelo persiste resultados y coeficientes bajo claves por tenant con expiración controlada.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api/app/routes/ia/spark_config.py — caché analítico con TTL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def cache_get(key: str, ttl_hours: int = None) -&gt; dict | None: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doc = db[_CACHE_COLLECTION].find_one({"_id": key})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cached_at and (datetime.now() - cached_at) &gt; timedelta(hours=ttl):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return None  # expiró: el caller re-entrena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def cache_set(key: str, payload: dict) -&gt; None: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db[_CACHE_COLLECTION].replace_one({"_id": key},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{"_id": key, "cached_at": datetime.now(), **payload}, upsert=True)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Clave por tenant y alcance de entrenador: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def _cache_key(gym_id, trainer_id=None) -&gt; str: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scope = f"_t{trainer_id}" if trainer_id is not None else 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return f"regresion_gym{gym_id}{scope}"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Este diseño reduce el costo de infraestructura (no hay cluster analítico separado) manteniendo aislamiento por gimnasio y frescura configurable (24 h por defecto vía ANALYTICS_CACHE_TTL_HOURS).</w:t>
      </w:r>
    </w:p>
    <w:p>
      <w:pPr>
        <w:pStyle w:val="Heading1"/>
      </w:pPr>
      <w:r>
        <w:t xml:space="preserve">4. Limpieza y normalización</w:t>
      </w:r>
    </w:p>
    <w:p>
      <w:pPr>
        <w:pStyle w:val="Heading2"/>
      </w:pPr>
      <w:r>
        <w:t xml:space="preserve">4.1 Normalización de fechas</w:t>
      </w:r>
    </w:p>
    <w:p>
      <w:pPr>
        <w:spacing w:after="120"/>
      </w:pPr>
      <w:r>
        <w:t xml:space="preserve">Las fechas llegan en formatos heterogéneos: datetime, date, strings ISO con o sin zona horaria y 'YYYY-MM-DD' del seed. El helper _to_naive_datetime convierte cualquier representación a datetime naive. Un bug histórico — el slice val[:len(fmt)] usaba la longitud del formato ('%Y-%m-%d' mide 8) en lugar de la de la fecha (10) — invalidaba todos los registros y hacía fallar la regresión con 400 'Datos de progreso insuficientes'; se corrigió con strptime directo y fallback val[:10].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api/app/routes/ia/spark_regresion.py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def _to_naive_datetime(val) -&gt; "datetime | None":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isinstance(val, datetime): return val.replace(tzinfo=None)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isinstance(val, str):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for fmt in ("%Y-%m-%dT%H:%M:%S.%f", "%Y-%m-%dT%H:%M:%S",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"%Y-%m-%d %H:%M:%S", "%Y-%m-%d"):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try: return datetime.strptime(val, fmt)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except ValueError: continue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return datetime.strptime(val[:10], "%Y-%m-%d")  # fallback TZ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Normalización de catálogos y unidades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Sexo/género: _norm_sexo() acepta M/F, Masculino/Femenino, male/female, hombre/mujer antes de derivar género y grasa corporal para el modelo 3D (bug corregido: todo se interpretaba como femenino).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Estatura: normalización cm→m para que el IMC coincida entre las vistas de Progreso y Salud.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Peso en ejercicios: soporte kg/lb por ejercicio con series flexibles; el registro de entrenamiento estima calorías con MET × último peso conocido × duración.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Objetivo del miembro: catálogo cerrado codificado (_OBJETIVO_MAP, 7 clases) para usarlo como feature numérica en recomendaciones y clasificación multiclase.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Deduplicación en importaciones: rutinas/ejercicios importados se deduplican y pueden reactivar registros inactivos en lugar de duplicarlos.</w:t>
      </w:r>
    </w:p>
    <w:p>
      <w:pPr>
        <w:pStyle w:val="Heading2"/>
      </w:pPr>
      <w:r>
        <w:t xml:space="preserve">4.3 Manejo de faltantes y filtrado</w:t>
      </w:r>
    </w:p>
    <w:p>
      <w:pPr>
        <w:spacing w:after="120"/>
      </w:pPr>
      <w:r>
        <w:t xml:space="preserve">Los modelos filtran en origen: K-Means exige peso_inicial y estatura no nulos; la regresión descarta registros sin fecha válida; el riesgo de abandono imputa cero asistencias/pagos cuando no hay eventos. La regla general de diseño es excluir o imputar explícitamente en la consulta, nunca dejar que un NaN llegue al estimador.</w:t>
      </w:r>
    </w:p>
    <w:p>
      <w:pPr>
        <w:pStyle w:val="Heading2"/>
      </w:pPr>
      <w:r>
        <w:t xml:space="preserve">4.4 Reglas de calidad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60"/>
        <w:gridCol w:w="3500"/>
      </w:tblGrid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Regla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Colección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 ante incumplimiento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 parseable a datetime naive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progreso_fisico, pagos, asistencias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excluido del análisis (no rompe el modelo)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peso_inicial y estatura presentes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miembros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Miembro excluido del clustering; visible como pendiente de perfil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Sexo dentro del catálogo normalizado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miembros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_norm_sexo mapea variantes; sin match → default documentado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Objetivo dentro de _OBJETIVO_MAP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miembros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Excluido de la clasificación multiclase de objetivo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Monto numérico válido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_safe_float coerciona; inválido cuenta como 0.0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válido del AI ETL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importaciones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Rechazo con fallback a parser determinístico o corrección en preview</w:t>
            </w:r>
          </w:p>
        </w:tc>
      </w:tr>
    </w:tbl>
    <w:p>
      <w:pPr>
        <w:spacing w:after="120"/>
      </w:pPr>
      <w:r>
        <w:t xml:space="preserve">Estas reglas convierten la calidad de datos en un comportamiento del sistema y no en una convención: el dato que no cumple se excluye o se corrige de forma visible, y el modelo nunca entrena con basura silenciosa.</w:t>
      </w:r>
    </w:p>
    <w:p>
      <w:pPr>
        <w:pStyle w:val="Heading1"/>
      </w:pPr>
      <w:r>
        <w:t xml:space="preserve">5. Pipeline AI ETL documental</w:t>
      </w:r>
    </w:p>
    <w:p>
      <w:pPr>
        <w:pStyle w:val="Heading2"/>
      </w:pPr>
      <w:r>
        <w:t xml:space="preserve">5.1 Flujo de importación (rutinas y dietas)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Extracción: extract_text() usa pdfplumber para PDF y openpyxl para Excel, generando texto plano por página/hoja.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Transformación determinística: parse_routines_from_text() intenta primero un parser rápido sin LLM para documentos tabulares (encabezados 'Sesión N', filas 'ejercicio sets reps', líneas con wrap); si reconoce ≥1 sesión, evita la inferencia.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Transformación con LLM (fallback): call_ollama() envía el texto a Ollama (phi3:mini) con un system prompt que exige JSON estructurado; timeout de 270 s con try/except exterior.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Validación y preview: el tab 'Importar IA' muestra el estado de Ollama en tiempo real (indicador verde/rojo con el modelo activo) y una previsualización con selección granular antes de confirmar.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Carga: POST /routines/import-ai y el flujo confirm-import de dietas insertan registros deduplicados, asociados al tenant y al entrenador.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api/app/utils/etl_ollama.py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OLLAMA_BASE  = os.getenv("OLLAMA_BASE_URL", "http://ollama:11434")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OLLAMA_MODEL = os.getenv("OLLAMA_MODEL",    "phi3:mini")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def extract_text(contenido: bytes, ext: str) -&gt; str: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ext == "pdf":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with pdfplumber.open(io.BytesIO(contenido)) as pdf: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return "\n\n".join(p.extract_text() or "" for p in pdf.pages)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ext in {"xlsx", "xls"}:  # openpyxl, hoja por hoja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...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Contrato de salida del AI ETL</w:t>
      </w:r>
    </w:p>
    <w:p>
      <w:pPr>
        <w:spacing w:after="120"/>
      </w:pPr>
      <w:r>
        <w:t xml:space="preserve">El resultado de la importación — venga del parser determinístico o del LLM — cumple un mismo contrato JSON, lo que hace intercambiables ambos caminos y verificable la salida antes de la carga: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Contrato de importación de rutinas (parser o LLM)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"rutinas": [{ "nombre": "...", "dia": "Lunes", "grupo_muscular": "Piernas",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"duracion_minutos": 60 }],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"ejercicios": [{ "nombre": "...", "series": 3, "repeticiones": 12,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"peso": 20, "unidad": "kg" }]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El preview del frontend permite selección granular antes de confirmar.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El parser determinístico infiere además el grupo muscular desde el título de la sesión (mapa de palabras clave: pierna/glúteo→Piernas, pecho/press→Pecho, etc.) y asigna días de la semana secuenciales cuando el documento no los especifica.</w:t>
      </w:r>
    </w:p>
    <w:p>
      <w:pPr>
        <w:pStyle w:val="Heading2"/>
      </w:pPr>
      <w:r>
        <w:t xml:space="preserve">5.3 ETL analítico en memoria</w:t>
      </w:r>
    </w:p>
    <w:p>
      <w:pPr>
        <w:spacing w:after="120"/>
      </w:pPr>
      <w:r>
        <w:t xml:space="preserve">Cada endpoint analítico implementa un micro-ETL: extrae documentos con pymongo (find/aggregate), transforma a matrices de features (normalización y StandardScaler cuando aplica) y carga el resultado al caché. El patrón MapReduce de ingresos se resuelve íntegramente dentro de MongoDB: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api/app/routes/ia/spark_mapreduce.py — MAP:(periodo,metodo)-&gt;monto, REDUCE:sum/count/avg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pipeline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{"$match": match},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{"$addFields": {"periodo": {"$dateToString": {"format": "%Y-%m", ...}}}},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{"$group": {"_id": {"periodo": "$periodo", "metodo": "$metodo_pago"},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"total_ingresos": {"$sum": "$monto"}, ...}},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Parámetros de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MONGO_URI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mongodb://mongo:27017/gymdb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Conexión al almacén analítico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MONGO_DB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gymdb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 analítica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ANALYTICS_CACHE_TTL_HOURS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Frescura de modelos y resultados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OLLAMA_BASE_URL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http://ollama:11434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 del LLM local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phi3:mini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 usado por el AI ETL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OLLAMA_KEEP_ALIVE / MAX_LOADED_MODELS / NUM_PARALLEL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60s / 1 / 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Tuning de memoria del LLM en el VPS 8GB</w:t>
            </w:r>
          </w:p>
        </w:tc>
      </w:tr>
    </w:tbl>
    <w:p>
      <w:pPr>
        <w:pStyle w:val="Heading1"/>
      </w:pPr>
      <w:r>
        <w:t xml:space="preserve">7. Diseño de seguridad y multi-tenancy de los datos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los endpoints analíticos exigen JWT; el id_gimnasio del token delimita cada consulta (query por id_gimnasio_pg / id_gimnasio).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 Entrenador: _trainer_scope() añade el filtro id_entrenador_pg, de modo que un entrenador solo analiza a sus miembros asignados.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puertos de PostgreSQL, MongoDB y Ollama están cerrados al exterior en docker-compose.prod.yml; solo la API los alcanza por la red interna.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AI ETL nunca envía documentos fuera del servidor: la inferencia es local (Ollama).</w:t>
      </w:r>
    </w:p>
    <w:p>
      <w:pPr>
        <w:pStyle w:val="Heading1"/>
      </w:pPr>
      <w:r>
        <w:t xml:space="preserve">8. Alineación con el Diseño del Servicio (ITIL)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Proceso ITIL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Materialización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Gestión del catálogo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Colecciones y endpoints documentados por análisis (secciones 2 y 5)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Gestión de capacidad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Caché TTL, micro-ETL in-memory, tuning de Ollama y mem_limits por contenedor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Gestión de disponibilidad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determinístico como camino primario; LLM como fallback; healthcheck de Ollama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Gestión de seguridad de la información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+ doble scoping (gimnasio, entrenador) + puertos cerrados + LLM local</w:t>
            </w:r>
          </w:p>
        </w:tc>
      </w:tr>
    </w:tbl>
    <w:p>
      <w:pPr>
        <w:pStyle w:val="Heading1"/>
      </w:pPr>
      <w:r>
        <w:t xml:space="preserve">9. Referencias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api/app/utils/etl_ollama.py — helpers compartidos del AI ETL.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api/app/routes/ia/spark_config.py — caché y acceso a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api/app/routes/entrenador/diet_routes.py · trainer_routes.py — carga de importaciones.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Manuales Técnicos III y IV — consumo de los datos preparados.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GymPro · Documentación ITIL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4" w:space="1"/>
      </w:pBdr>
    </w:pPr>
    <w:r>
      <w:rPr>
        <w:color w:val="666666"/>
        <w:sz w:val="18"/>
        <w:szCs w:val="18"/>
      </w:rPr>
      <w:t xml:space="preserve">Manual Técnico II — Preparación de los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6FB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2026-07-09T19:23:35.009Z</dcterms:created>
  <dcterms:modified xsi:type="dcterms:W3CDTF">2026-07-09T19:23:35.009Z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