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6FB2"/>
          <w:sz w:val="44"/>
          <w:szCs w:val="44"/>
        </w:rPr>
        <w:t xml:space="preserve">GymPro — SistemaGYM</w:t>
      </w:r>
    </w:p>
    <w:p>
      <w:pPr>
        <w:spacing w:after="300"/>
        <w:jc w:val="center"/>
      </w:pPr>
      <w:r>
        <w:rPr>
          <w:sz w:val="24"/>
          <w:szCs w:val="24"/>
        </w:rPr>
        <w:t xml:space="preserve">Plataforma SaaS multi-gimnasio</w:t>
      </w:r>
    </w:p>
    <w:p>
      <w:pPr>
        <w:spacing w:after="60"/>
        <w:jc w:val="center"/>
      </w:pPr>
      <w:r>
        <w:rPr>
          <w:b/>
          <w:bCs/>
          <w:sz w:val="36"/>
          <w:szCs w:val="36"/>
        </w:rPr>
        <w:t xml:space="preserve">Manual Técnico IV</w:t>
      </w:r>
    </w:p>
    <w:p>
      <w:pPr>
        <w:spacing w:after="400"/>
        <w:jc w:val="center"/>
      </w:pPr>
      <w:r>
        <w:rPr>
          <w:sz w:val="30"/>
          <w:szCs w:val="30"/>
        </w:rPr>
        <w:t xml:space="preserve">Análisis no supervisado en GymPro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Asignatura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Extracción del conocimiento en bases de datos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Unidad temática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IV. Análisis no supervisado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Etapa ITIL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 Operación del Servicio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Repositorio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github.com/francisco-J-perez-M/SistemaGYM (rama saas)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Fecha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Julio 2026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Versión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2.0 (ampliada)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bCs/>
          <w:sz w:val="28"/>
          <w:szCs w:val="28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Introducción</w:t>
      </w:r>
    </w:p>
    <w:p>
      <w:pPr>
        <w:spacing w:after="120"/>
      </w:pPr>
      <w:r>
        <w:t xml:space="preserve">Este manual documenta las técnicas de aprendizaje no supervisado y analítica descriptiva que GymPro ejecuta día a día sobre los datos operativos del gimnasio: clustering K-Means de miembros, recomendaciones por vecinos cercanos, segmentación RFM, mapa de calor de asistencia, análisis MapReduce de ingresos y estimación de fuerza. Pertenece a la Operación del Servicio de ITIL: son las capacidades analíticas que sostienen la toma de decisiones cotidiana del dueño, el entrenador y la recepción, junto con las prácticas operativas que las mantienen disponibles.</w:t>
      </w:r>
    </w:p>
    <w:p>
      <w:pPr>
        <w:pStyle w:val="Heading1"/>
      </w:pPr>
      <w:r>
        <w:t xml:space="preserve">2. Clustering K-Means de composición corporal</w:t>
      </w:r>
    </w:p>
    <w:p>
      <w:pPr>
        <w:pStyle w:val="Heading2"/>
      </w:pPr>
      <w:r>
        <w:t xml:space="preserve">2.1 Diseño</w:t>
      </w:r>
    </w:p>
    <w:p>
      <w:pPr>
        <w:spacing w:after="120"/>
      </w:pPr>
      <w:r>
        <w:t xml:space="preserve">spark_kmeans.py agrupa a los miembros por composición corporal a partir de miembros y progreso_fisico (último registro por miembro: peso, IMC, grasa, masa muscular). Las features se estandarizan con StandardScaler antes de aplicar KMeans; la calidad del agrupamiento se evalúa con silhouette_score. El parámetro k es configurable por request y el resultado se cachea por (gym_id, k) con TTL.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# api/app/routes/ia/spark_kmeans.py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from sklearn.cluster import KMeans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from sklearn.preprocessing import StandardScaler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from sklearn.metrics import silhouette_score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query_m["peso_inicial"] = {"$ne": None}   # filtrado en origen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query_m["estatura"]     = {"$ne": None}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# último progreso por miembro via aggregation ($sort + $group/$first)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def _cache_key(gym_id, k, trainer_id=None):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return f"kmeans_gym{gym_id}{scope}_k{k}"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2.2 Interpretación operativa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Cada cluster recibe una etiqueta de un pool operativo ('Principiante / Alta Prioridad', 'Intermedio / Mantenimiento', 'Avanzado / Optimización', 'Definición / Corte', ...) para que el entrenador lo lea sin jerga.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entrenador usa los clusters para asignar plantillas de rutina por perfil físico; con el scope de entrenador, el análisis se limita a sus clientes (TrainerKMeans.jsx).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silhouette_score cercano a 1 indica clusters bien separados; cercano a 0, solapados — se muestra junto al resultado como control de calidad.</w:t>
      </w:r>
    </w:p>
    <w:p>
      <w:pPr>
        <w:pStyle w:val="Heading2"/>
      </w:pPr>
      <w:r>
        <w:t xml:space="preserve">2.3 Elección de k</w:t>
      </w:r>
    </w:p>
    <w:p>
      <w:pPr>
        <w:spacing w:after="120"/>
      </w:pPr>
      <w:r>
        <w:t xml:space="preserve">K-Means exige fijar el número de clusters de antemano. El diseño lo resuelve operativamente: k viaja como parámetro del request y cada partición se cachea por (gym_id, k), de modo que el entrenador puede comparar k=3, 4 y 5 sin costo de re-cómputo dentro del TTL. El criterio de selección es doble: silhouette_score como medida objetiva (elegir el k con mejor separación) y legibilidad operativa como medida práctica — de nada sirve un k=7 con silhouette marginalmente mejor si el entrenador no puede accionar siete perfiles distintos. Para el tamaño típico de un gimnasio, k entre 3 y 5 domina ambos criterios.</w:t>
      </w:r>
    </w:p>
    <w:p>
      <w:pPr>
        <w:pStyle w:val="Heading1"/>
      </w:pPr>
      <w:r>
        <w:t xml:space="preserve">3. Recomendaciones por vecinos cercanos</w:t>
      </w:r>
    </w:p>
    <w:p>
      <w:pPr>
        <w:spacing w:after="120"/>
      </w:pPr>
      <w:r>
        <w:t xml:space="preserve">spark_rutinas.py implementa filtrado colaborativo ligero con NearestNeighbors (distancia coseno): cada miembro se representa como vector (IMC, objetivo codificado con _OBJETIVO_MAP, total de asistencias), se estandariza y se buscan los N vecinos más similares; las rutinas más frecuentes entre esos vecinos se devuelven como recomendación. Complementa el ranking de rutinas populares (aggregation $group + $sort + $limit 10).</w:t>
      </w:r>
    </w:p>
    <w:p>
      <w:pPr>
        <w:spacing w:after="120"/>
      </w:pPr>
      <w:r>
        <w:t xml:space="preserve">La elección de distancia coseno sobre euclidiana es deliberada: interesa la orientación del perfil (proporciones entre IMC, objetivo y actividad) más que su magnitud absoluta, y el coseno es menos sensible a miembros con historiales muy largos que dominarían la distancia euclidiana.</w:t>
      </w:r>
    </w:p>
    <w:p>
      <w:pPr>
        <w:pStyle w:val="Heading1"/>
      </w:pPr>
      <w:r>
        <w:t xml:space="preserve">4. Segmentación RFM (clientes por valor)</w:t>
      </w:r>
    </w:p>
    <w:p>
      <w:pPr>
        <w:spacing w:after="120"/>
      </w:pPr>
      <w:r>
        <w:t xml:space="preserve">spark_negocio.py clasifica a cada miembro por Recencia (días desde su última visita), Frecuencia (visitas acumuladas) y Monto (pagos acumulados), produciendo segmentos en lenguaje claro para el dueño. Es la base de la vista 'Clientes por valor' y del criterio comercial de a quién contactar primero.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00"/>
        <w:gridCol w:w="3060"/>
      </w:tblGrid>
      <w:t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Segmento (lenguaje de la vista)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Perfil R/F/M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Acción comercial típica</w:t>
            </w:r>
          </w:p>
        </w:tc>
      </w:tr>
      <w:t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Clientes estrella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Visita reciente, alta frecuencia, alto gasto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Cuidarlos: beneficios y reconocimiento</w:t>
            </w:r>
          </w:p>
        </w:tc>
      </w:tr>
      <w:t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Leales en riesgo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Frecuencia alta histórica, recencia deteriorada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Contacto proactivo antes de que se enfríen</w:t>
            </w:r>
          </w:p>
        </w:tc>
      </w:tr>
      <w:t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Nuevos prometedores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Recientes, frecuencia en construcción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Onboarding y acompañamiento del entrenador</w:t>
            </w:r>
          </w:p>
        </w:tc>
      </w:tr>
      <w:t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Dormidos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 visitas recientes, gasto histórico bajo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Campaña de reactivación de bajo costo</w:t>
            </w:r>
          </w:p>
        </w:tc>
      </w:tr>
    </w:tbl>
    <w:p>
      <w:pPr>
        <w:pStyle w:val="Heading1"/>
      </w:pPr>
      <w:r>
        <w:t xml:space="preserve">5. Mapa de calor de asistencia</w:t>
      </w:r>
    </w:p>
    <w:p>
      <w:pPr>
        <w:spacing w:after="120"/>
      </w:pPr>
      <w:r>
        <w:t xml:space="preserve">Cruza día de la semana × franja horaria sobre asistencias para detectar horas concurridas (endpoint /api/analytics/heatmap-asistencia). Las franjas operativas definidas son: antes de 9:00, 9:00–12:00, 12:00–15:00, 15:00–18:00, 18:00–21:00 y después de 21:00. Uso operativo: planificación de turnos de staff, mantenimiento en horas valle y control de aforo.</w:t>
      </w:r>
    </w:p>
    <w:p>
      <w:pPr>
        <w:pStyle w:val="Heading1"/>
      </w:pPr>
      <w:r>
        <w:t xml:space="preserve">6. MapReduce de ingresos y asistencia</w:t>
      </w:r>
    </w:p>
    <w:p>
      <w:pPr>
        <w:spacing w:after="120"/>
      </w:pPr>
      <w:r>
        <w:t xml:space="preserve">spark_mapreduce.py implementa el patrón Map→Reduce con el aggregation pipeline nativo de MongoDB: MAP proyecta (periodo 'YYYY-MM', metodo_pago) → monto; REDUCE consolida suma, conteo y promedio por grupo ($group + $sort). No hay JVM ni movimiento de datos; el resultado se cachea por gym_id.</w:t>
      </w:r>
    </w:p>
    <w:p>
      <w:pPr>
        <w:pStyle w:val="Heading1"/>
      </w:pPr>
      <w:r>
        <w:t xml:space="preserve">7. Fuerza estimada (1RM)</w:t>
      </w:r>
    </w:p>
    <w:p>
      <w:pPr>
        <w:spacing w:after="120"/>
      </w:pPr>
      <w:r>
        <w:t xml:space="preserve">A partir de la bitácora entrenamientos_realizados se estima el levantamiento máximo por ejercicio con la fórmula de Epley: 1RM = peso × (1 + reps/30). Alimenta la vista de fuerza del miembro y permite seguir su progresión sin pruebas de carga máxima reales, que serían riesgosas y operativamente costosas.</w:t>
      </w:r>
    </w:p>
    <w:p>
      <w:pPr>
        <w:pStyle w:val="Heading1"/>
      </w:pPr>
      <w:r>
        <w:t xml:space="preserve">8. Métricas y controles de calidad en no supervisado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Técnica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Métrica / criterio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Lectura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K-Means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silhouette_score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Cohesión y separación de clusters (−1 a 1)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K-Means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 configurable + caché (gym, k)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Comparación de particiones alternativas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NearestNeighbors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Distancia coseno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Similitud de perfil independiente de escala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RFM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Distribución por segmento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Balance de segmentos y tendencia mensual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Heatmap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Concentración por franja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Picos de demanda vs capacidad instalada</w:t>
            </w:r>
          </w:p>
        </w:tc>
      </w:tr>
    </w:tbl>
    <w:p>
      <w:pPr>
        <w:pStyle w:val="Heading1"/>
      </w:pPr>
      <w:r>
        <w:t xml:space="preserve">9. Operación diaria del servicio analítico</w:t>
      </w:r>
    </w:p>
    <w:p>
      <w:pPr>
        <w:pStyle w:val="Heading2"/>
      </w:pPr>
      <w:r>
        <w:t xml:space="preserve">9.1 Endpoints en operación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0"/>
        <w:gridCol w:w="4460"/>
      </w:tblGrid>
      <w:tr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Análisis</w:t>
            </w:r>
          </w:p>
        </w:tc>
      </w:tr>
      <w:tr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/api/analytics/kmeans · /kmeans/train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Clustering de miembros</w:t>
            </w:r>
          </w:p>
        </w:tc>
      </w:tr>
      <w:tr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/api/analytics/rutinas/populares · /recomendaciones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Popularidad y recomendación de rutinas</w:t>
            </w:r>
          </w:p>
        </w:tc>
      </w:tr>
      <w:tr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/api/analytics/rfm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Clientes por valor</w:t>
            </w:r>
          </w:p>
        </w:tc>
      </w:tr>
      <w:tr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/api/analytics/heatmap-asistencia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Horarios concurridos</w:t>
            </w:r>
          </w:p>
        </w:tc>
      </w:tr>
      <w:tr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/api/analytics/mapreduce · /mapreduce/train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Ingresos/asistencia por período</w:t>
            </w:r>
          </w:p>
        </w:tc>
      </w:tr>
      <w:tr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/api/analytics/fuerza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Fuerza estimada (Epley)</w:t>
            </w:r>
          </w:p>
        </w:tc>
      </w:tr>
    </w:tbl>
    <w:p>
      <w:pPr>
        <w:pStyle w:val="Heading2"/>
      </w:pPr>
      <w:r>
        <w:t xml:space="preserve">9.2 Prácticas operativas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Seguridad: todos los endpoints requieren JWT; el alcance es siempre el gimnasio del token y, para entrenadores, sus miembros asignados.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Caché con TTL de 24 h: los tableros cargan al instante; POST /train fuerza el refresco cuando el negocio lo necesita.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Capacidad: latencia objetivo &lt; 1 s por análisis en el VPS de 8 GB; límites de memoria por contenedor en docker-compose.prod.yml (API 1.5 GB, Mongo 1.5 GB con cache capada a 1 GB, Ollama 5 GB).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Disponibilidad del LLM: healthcheck de Ollama con start_period de 90 s y verificación por request (_check_ollama_ready()), de modo que un Ollama lento no bloquea el arranque del stack.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Continuidad: backup en paquete único portable multi-motor (PostgreSQL + MongoDB + medios) y restauración tipo clon — el caché analítico es reconstruible, los datos de hechos no.</w:t>
      </w:r>
    </w:p>
    <w:p>
      <w:pPr>
        <w:pStyle w:val="Heading2"/>
      </w:pPr>
      <w:r>
        <w:t xml:space="preserve">9.3 Gestión de incidentes frecuentes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Síntoma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Causa probable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'Datos de progreso insuficientes'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Miembros sin mediciones o fechas inválidas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Verificar captura de progreso_fisico; el fix de _to_naive_datetime cubre formatos con TZ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401 en sesiones largas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JWT expirado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Expiración configurada a 8 h; apiFetch limpia sesión y redirige a login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Importar IA deshabilitado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Ollama no listo o modelo no descargado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 indicador de estado; esperar start_period o descargar el modelo phi3:mini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Tablero desactualizado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Caché vigente (TTL 24 h)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Ejecutar POST /train del análisis correspondiente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Clustering falla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Miembros sin peso/estatura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Completar datos del perfil; el filtro en origen excluye incompletos</w:t>
            </w:r>
          </w:p>
        </w:tc>
      </w:tr>
    </w:tbl>
    <w:p>
      <w:pPr>
        <w:pStyle w:val="Heading2"/>
      </w:pPr>
      <w:r>
        <w:t xml:space="preserve">9.4 Runbook operativo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Diario: revisar alertas de riesgo de cancelación y actuar sobre los primeros N del ranking; verificar que los tableros cargan (caché sano).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Semanal: refrescar análisis clave con POST /train tras cierres de semana (ingresos, heatmap); revisar silhouette del clustering si cambió la base de miembros.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Mensual: validar el MapReduce contra el corte contable; ejecutar y verificar el backup portable completo (PG + Mongo + medios).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Tras cambios de datos masivos (importaciones, migraciones): invalidar caché de los análisis afectados y re-entrenar explícitamente.</w:t>
      </w:r>
    </w:p>
    <w:p>
      <w:pPr>
        <w:pStyle w:val="Heading1"/>
      </w:pPr>
      <w:r>
        <w:t xml:space="preserve">10. Referencias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api/app/routes/ia/spark_kmeans.py · spark_negocio.py · spark_mapreduce.py · spark_rutinas.py.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Vistas web: AnalyticsKMeans.jsx, AnalyticsMapReduce.jsx, TrainerKMeans.jsx, dashboards de dueño y recepción.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Manual Técnico V — visualización de estos resultados; GymPro ITIL 4 — Operación del Servicio.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GymPro · Documentación ITIL · Página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6FB2" w:sz="4" w:space="1"/>
      </w:pBdr>
    </w:pPr>
    <w:r>
      <w:rPr>
        <w:color w:val="666666"/>
        <w:sz w:val="18"/>
        <w:szCs w:val="18"/>
      </w:rPr>
      <w:t xml:space="preserve">Manual Técnico IV — Análisis no supervisado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6FB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2026-07-09T19:23:35.168Z</dcterms:created>
  <dcterms:modified xsi:type="dcterms:W3CDTF">2026-07-09T19:23:35.168Z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