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6FB2"/>
          <w:sz w:val="44"/>
          <w:szCs w:val="44"/>
        </w:rPr>
        <w:t xml:space="preserve">GymPro — SistemaGYM</w:t>
      </w:r>
    </w:p>
    <w:p>
      <w:pPr>
        <w:spacing w:after="300"/>
        <w:jc w:val="center"/>
      </w:pPr>
      <w:r>
        <w:rPr>
          <w:sz w:val="24"/>
          <w:szCs w:val="24"/>
        </w:rPr>
        <w:t xml:space="preserve">Plataforma SaaS multi-gimnasio</w:t>
      </w:r>
    </w:p>
    <w:p>
      <w:pPr>
        <w:spacing w:after="60"/>
        <w:jc w:val="center"/>
      </w:pPr>
      <w:r>
        <w:rPr>
          <w:b/>
          <w:bCs/>
          <w:sz w:val="36"/>
          <w:szCs w:val="36"/>
        </w:rPr>
        <w:t xml:space="preserve">Manual Técnico I</w:t>
      </w:r>
    </w:p>
    <w:p>
      <w:pPr>
        <w:spacing w:after="400"/>
        <w:jc w:val="center"/>
      </w:pPr>
      <w:r>
        <w:rPr>
          <w:sz w:val="30"/>
          <w:szCs w:val="30"/>
        </w:rPr>
        <w:t xml:space="preserve">Introducción al análisis de datos en GymPro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Campo</w:t>
            </w:r>
          </w:p>
        </w:tc>
        <w:tc>
          <w:tcPr>
            <w:tcW w:type="dxa" w:w="676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Valor</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Asignatura</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Extracción del conocimiento en bases de datos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Unidad temática</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 Introducción al análisis de datos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Etapa ITIL</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 Estrategia del Servicio</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Repositorio</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github.com/francisco-J-perez-M/SistemaGYM (rama saas)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Fecha</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Julio 2026</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Versión</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2.0 (ampliada)</w:t>
            </w:r>
          </w:p>
        </w:tc>
      </w:tr>
    </w:tbl>
    <w:p>
      <w:r>
        <w:br w:type="page"/>
      </w:r>
    </w:p>
    <w:p>
      <w:pPr>
        <w:spacing w:after="120"/>
      </w:pPr>
      <w:r>
        <w:rPr>
          <w:b/>
          <w:bCs/>
          <w:sz w:val="28"/>
          <w:szCs w:val="28"/>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Introducción y propósito</w:t>
      </w:r>
    </w:p>
    <w:p>
      <w:pPr>
        <w:spacing w:after="120"/>
      </w:pPr>
      <w:r>
        <w:t xml:space="preserve">GymPro (SistemaGYM) es una plataforma SaaS multi-gimnasio compuesta por una API Flask, un frontend web React, una aplicación móvil Expo/React Native y una capa de datos políglota (PostgreSQL + MongoDB), orquestada con Docker sobre un VPS de producción de 8 GB. Este manual establece la visión estratégica del análisis de datos dentro de la plataforma: qué problemas de negocio resuelve, con qué metodología se aborda el ciclo de vida de los datos y qué decisiones de arquitectura sustentan el módulo de IA/Analíticas.</w:t>
      </w:r>
    </w:p>
    <w:p>
      <w:pPr>
        <w:spacing w:after="120"/>
      </w:pPr>
      <w:r>
        <w:t xml:space="preserve">Dentro del ciclo de vida ITIL, este documento pertenece a la Estrategia del Servicio: define el porqué de la capacidad analítica, su alineación con los objetivos del negocio (retención de miembros, optimización de la operación del gimnasio y personalización del entrenamiento) y la justificación de las inversiones técnicas realizadas. Los cuatro manuales restantes desarrollan el cómo a lo largo de las etapas de Diseño, Transición, Operación y Mejora Continua.</w:t>
      </w:r>
    </w:p>
    <w:p>
      <w:pPr>
        <w:pStyle w:val="Heading1"/>
      </w:pPr>
      <w:r>
        <w:t xml:space="preserve">2. Alcance y audiencia</w:t>
      </w:r>
    </w:p>
    <w:p>
      <w:pPr>
        <w:pStyle w:val="ListParagraph"/>
        <w:numPr>
          <w:ilvl w:val="0"/>
          <w:numId w:val="2"/>
        </w:numPr>
        <w:spacing w:after="80"/>
      </w:pPr>
      <w:r>
        <w:t xml:space="preserve">Audiencia: desarrolladores backend/frontend, analistas de datos y responsables técnicos del servicio.</w:t>
      </w:r>
    </w:p>
    <w:p>
      <w:pPr>
        <w:pStyle w:val="ListParagraph"/>
        <w:numPr>
          <w:ilvl w:val="0"/>
          <w:numId w:val="2"/>
        </w:numPr>
        <w:spacing w:after="80"/>
      </w:pPr>
      <w:r>
        <w:t xml:space="preserve">Alcance: módulo de IA/Analíticas (api/app/routes/ia/), pipeline ETL documental (api/app/utils/etl_ollama.py) y vistas analíticas web/móvil que los consumen.</w:t>
      </w:r>
    </w:p>
    <w:p>
      <w:pPr>
        <w:pStyle w:val="ListParagraph"/>
        <w:numPr>
          <w:ilvl w:val="0"/>
          <w:numId w:val="2"/>
        </w:numPr>
        <w:spacing w:after="80"/>
      </w:pPr>
      <w:r>
        <w:t xml:space="preserve">Fuera de alcance: operación de infraestructura general (respaldos, VPS) y módulos puramente transaccionales (POS, membresías), documentados en los manuales ITIL del servicio.</w:t>
      </w:r>
    </w:p>
    <w:p>
      <w:pPr>
        <w:pStyle w:val="Heading1"/>
      </w:pPr>
      <w:r>
        <w:t xml:space="preserve">3. Contexto del servicio</w:t>
      </w:r>
    </w:p>
    <w:p>
      <w:pPr>
        <w:spacing w:after="120"/>
      </w:pPr>
      <w:r>
        <w:t xml:space="preserve">GymPro atiende cinco roles (superadmin, dueño/admin de gimnasio, entrenador, recepcionista y miembro) bajo un modelo multi-tenant: cada gimnasio es un tenant aislado y cada análisis se acota automáticamente al gimnasio del token JWT. La capacidad analítica no es un producto separado sino una característica transversal del servicio: el dueño observa ingresos, riesgo de abandono y horarios pico; el entrenador segmenta a sus clientes y predice su progreso; el miembro visualiza su avance y recibe recomendaciones.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Capa</w:t>
            </w:r>
          </w:p>
        </w:tc>
        <w:tc>
          <w:tcPr>
            <w:tcW w:type="dxa" w:w="340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Tecnología</w:t>
            </w:r>
          </w:p>
        </w:tc>
        <w:tc>
          <w:tcPr>
            <w:tcW w:type="dxa" w:w="396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Rol en la analítica</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Flask + Flask-JWT-Extended (blueprints)</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Endpoints REST /api/analytics/*</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ML</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scikit-learn (in-process)</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Regresión, clasificación, clustering, vecinos cercanos</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Datos analíticos</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MongoDB (pymongo)</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Colecciones operativas + caché de modelos con TTL</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Datos transaccionales</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PostgreSQL (SQLAlchemy + Alembic)</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Identidad, membresías, catálogo scoped de ejercicios</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LLM</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Ollama · phi3:mini (local)</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AI ETL de documentos PDF/Excel</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Visualización web</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React + recharts + three.js</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Dashboards, laboratorio de modelos, modelo 3D</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Móvil</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Expo / React Native</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Paridad analítica para entrenador y miembro</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Infraestructura</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Docker Compose (VPS 8 GB)</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gunicorn 2×gthread·4, límites de memoria por servicio</w:t>
            </w:r>
          </w:p>
        </w:tc>
      </w:tr>
    </w:tbl>
    <w:p>
      <w:pPr>
        <w:pStyle w:val="Heading1"/>
      </w:pPr>
      <w:r>
        <w:t xml:space="preserve">4. Marco conceptual aplicado</w:t>
      </w:r>
    </w:p>
    <w:p>
      <w:pPr>
        <w:pStyle w:val="Heading2"/>
      </w:pPr>
      <w:r>
        <w:t xml:space="preserve">4.1 IA, Machine Learning, Data Mining y Big Data en GymPro</w:t>
      </w:r>
    </w:p>
    <w:p>
      <w:pPr>
        <w:spacing w:after="120"/>
      </w:pPr>
      <w:r>
        <w:t xml:space="preserve">La plataforma materializa los cuatro conceptos de la unidad de forma pragmática y verificable en el código:</w:t>
      </w:r>
    </w:p>
    <w:p>
      <w:pPr>
        <w:pStyle w:val="ListParagraph"/>
        <w:numPr>
          <w:ilvl w:val="0"/>
          <w:numId w:val="2"/>
        </w:numPr>
        <w:spacing w:after="80"/>
      </w:pPr>
      <w:r>
        <w:t xml:space="preserve">Machine Learning: modelos supervisados (Ridge, Random Forest, Regresión Logística, SVM, Árbol de Decisión) y no supervisados (K-Means, NearestNeighbors) de scikit-learn, entrenados por gimnasio con sus propios datos operativos.</w:t>
      </w:r>
    </w:p>
    <w:p>
      <w:pPr>
        <w:pStyle w:val="ListParagraph"/>
        <w:numPr>
          <w:ilvl w:val="0"/>
          <w:numId w:val="2"/>
        </w:numPr>
        <w:spacing w:after="80"/>
      </w:pPr>
      <w:r>
        <w:t xml:space="preserve">Data Mining: agregaciones y segmentaciones sobre MongoDB — análisis RFM de clientes por valor, mapa de calor de asistencia día × franja horaria, ranking de rutinas populares.</w:t>
      </w:r>
    </w:p>
    <w:p>
      <w:pPr>
        <w:pStyle w:val="ListParagraph"/>
        <w:numPr>
          <w:ilvl w:val="0"/>
          <w:numId w:val="2"/>
        </w:numPr>
        <w:spacing w:after="80"/>
      </w:pPr>
      <w:r>
        <w:t xml:space="preserve">Big Data (patrón): el análisis de ingresos/asistencia implementa MapReduce con el aggregation pipeline nativo de MongoDB ($group + $sort), procesando los datos donde viven, sin moverlos a un cluster externo.</w:t>
      </w:r>
    </w:p>
    <w:p>
      <w:pPr>
        <w:pStyle w:val="ListParagraph"/>
        <w:numPr>
          <w:ilvl w:val="0"/>
          <w:numId w:val="2"/>
        </w:numPr>
        <w:spacing w:after="80"/>
      </w:pPr>
      <w:r>
        <w:t xml:space="preserve">IA generativa: un LLM local (Ollama, modelo phi3:mini) extrae conocimiento estructurado de documentos no estructurados (PDF/Excel de rutinas y dietas) dentro del pipeline AI ETL.</w:t>
      </w:r>
    </w:p>
    <w:p>
      <w:pPr>
        <w:pStyle w:val="Heading2"/>
      </w:pPr>
      <w:r>
        <w:t xml:space="preserve">4.2 Procesamiento y análisis de datos: el ciclo completo</w:t>
      </w:r>
    </w:p>
    <w:p>
      <w:pPr>
        <w:spacing w:after="120"/>
      </w:pPr>
      <w:r>
        <w:t xml:space="preserve">El ciclo entrada → preparación → exploración → enriquecimiento → modelado → informe que plantea la unidad temática se corresponde uno a uno con el flujo real de GymPro: los eventos operativos (asistencias, pagos, mediciones corporales, entrenamientos) entran por la API; la capa analítica los limpia y normaliza (Manual II); los modelos los transforman en predicciones y segmentos (Manuales III y IV); y los dashboards los convierten en decisiones (Manual V). Business Intelligence y Data Science conviven: las vistas de negocio (ingresos, aforo) son BI descriptivo, mientras que las predicciones de peso y de abandono son ciencia de datos aplicada.</w:t>
      </w:r>
    </w:p>
    <w:p>
      <w:pPr>
        <w:pStyle w:val="Heading2"/>
      </w:pPr>
      <w:r>
        <w:t xml:space="preserve">4.3 Glosario técnico del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Término</w:t>
            </w:r>
          </w:p>
        </w:tc>
        <w:tc>
          <w:tcPr>
            <w:tcW w:type="dxa" w:w="676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Definición en el contexto GymPro</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Tenant</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Un gimnasio; unidad de aislamiento de datos y modelos (gym_id del JWT)</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Feature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Variable de entrada de un modelo (p. ej. dias_sin_asistir, IMC)</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Etiqueta (label)</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Valor a predecir en supervisado; en churn es una regla de negocio (heurística)</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Caché analítico</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Colección analytics_cache: resultados/coeficientes con TTL de 24 h</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Scope de entrenador</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Restricción automática del análisis a los miembros del entrenador autenticado</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AI ETL</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Pipeline de extracción de conocimiento desde PDF/Excel con parser + LLM local</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MapReduce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Patrón map→reduce implementado con aggregation pipeline de MongoDB</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RFM</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Segmentación por Recencia, Frecuencia y Monto de cada miembro</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1RM</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Repetición máxima estimada; aquí con la fórmula de Epley</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Silhouette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Métrica de calidad de clustering: separación y cohesión (−1 a 1)</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TTL</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Time-to-live: vigencia del resultado cacheado antes de re-entrenar</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In-process</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El modelo corre dentro del proceso de la API, sin servicios externos de ML</w:t>
            </w:r>
          </w:p>
        </w:tc>
      </w:tr>
    </w:tbl>
    <w:p>
      <w:pPr>
        <w:pStyle w:val="Heading1"/>
      </w:pPr>
      <w:r>
        <w:t xml:space="preserve">5. Casos de uso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3160"/>
      </w:tblGrid>
      <w:tr>
        <w:tc>
          <w:tcPr>
            <w:tcW w:type="dxa" w:w="330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Caso de uso</w:t>
            </w:r>
          </w:p>
        </w:tc>
        <w:tc>
          <w:tcPr>
            <w:tcW w:type="dxa" w:w="290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Técnica</w:t>
            </w:r>
          </w:p>
        </w:tc>
        <w:tc>
          <w:tcPr>
            <w:tcW w:type="dxa" w:w="316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Valor de negocio</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Predicción de peso corporal del miembro</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Regresión Ridge</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Seguimiento de progreso y fijación de metas realistas</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Riesgo de cancelación de membresía</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Random Forest (clasificación)</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Retención proactiva: alertas sobre miembros en riesgo</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Segmentación por composición corporal</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Clustering K-Means</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Programas de entrenamiento por perfil físico</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Clientes por valor (RFM)</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Segmentación recencia/frecuencia/monto</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Priorización comercial en lenguaje claro</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Horarios concurridos</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Mapa de calor día × franja horaria</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Planificación de staff y control de aforo</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Ingresos y asistencia por período</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MapReduce (aggregation pipeline)</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Visión financiera y operativa histórica</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Rutinas populares y recomendaciones</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Ranking + NearestNeighbors</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Personalización del servicio de entrenamiento</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Importación de rutinas/dietas desde documentos</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AI ETL con LLM local</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Digitalización del conocimiento del entrenador</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Fuerza estimada (1RM)</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Fórmula de Epley sobre la bitácora</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Progresión de fuerza sin pruebas de carga máxima</w:t>
            </w:r>
          </w:p>
        </w:tc>
      </w:tr>
    </w:tbl>
    <w:p>
      <w:pPr>
        <w:spacing w:after="120"/>
      </w:pPr>
      <w:r>
        <w:t xml:space="preserve">Cada caso de uso nace de una pregunta concreta del negocio y devuelve una respuesta accionable. Esta trazabilidad pregunta→análisis→acción es el criterio estratégico con el que se decide si un análisis entra o no al portafolio del servicio.</w:t>
      </w:r>
    </w:p>
    <w:p>
      <w:pPr>
        <w:pStyle w:val="Heading2"/>
      </w:pPr>
      <w:r>
        <w:t xml:space="preserve">5.1 Caso ancla: retención de miembros</w:t>
      </w:r>
    </w:p>
    <w:p>
      <w:pPr>
        <w:spacing w:after="120"/>
      </w:pPr>
      <w:r>
        <w:t xml:space="preserve">El caso de mayor impacto financiero es la retención. En un gimnasio, adquirir un miembro nuevo cuesta varias veces más que retener a uno existente, y la señal de abandono es silenciosa: el miembro simplemente deja de asistir semanas antes de cancelar. El modelo de riesgo convierte esa señal en una lista priorizada y accionable — a quién llamar hoy — y las alertas automáticas la empujan al flujo de trabajo del dueño y la recepción sin que nadie tenga que 'ir a ver el tablero'. El valor estratégico no es la predicción en sí, sino acortar el tiempo entre la señal y la acción.</w:t>
      </w:r>
    </w:p>
    <w:p>
      <w:pPr>
        <w:pStyle w:val="Heading2"/>
      </w:pPr>
      <w:r>
        <w:t xml:space="preserve">5.2 Caso ancla: personalización del entrenamiento</w:t>
      </w:r>
    </w:p>
    <w:p>
      <w:pPr>
        <w:spacing w:after="120"/>
      </w:pPr>
      <w:r>
        <w:t xml:space="preserve">El segundo eje es la personalización a escala: un entrenador con 40 clientes no puede diseñar cada rutina desde cero. El clustering por composición corporal le da plantillas por perfil, las recomendaciones por vecinos cercanos le sugieren rutinas que funcionaron en miembros similares, y el AI ETL le permite digitalizar en minutos los planes que ya tenía en PDF. La analítica actúa aquí como multiplicador de la capacidad del staff, no como reemplazo de su criterio.</w:t>
      </w:r>
    </w:p>
    <w:p>
      <w:pPr>
        <w:pStyle w:val="Heading1"/>
      </w:pPr>
      <w:r>
        <w:t xml:space="preserve">6. Metodología: CRISP-DM adaptado a un SaaS en producción</w:t>
      </w:r>
    </w:p>
    <w:p>
      <w:pPr>
        <w:pStyle w:val="ListParagraph"/>
        <w:numPr>
          <w:ilvl w:val="0"/>
          <w:numId w:val="2"/>
        </w:numPr>
        <w:spacing w:after="80"/>
      </w:pPr>
      <w:r>
        <w:t xml:space="preserve">Comprensión del negocio: cada análisis parte de una pregunta del dueño o del entrenador (¿quién está por abandonar?, ¿a qué hora se llena el gimnasio?, ¿cuánto pesará este miembro en 30 días?).</w:t>
      </w:r>
    </w:p>
    <w:p>
      <w:pPr>
        <w:pStyle w:val="ListParagraph"/>
        <w:numPr>
          <w:ilvl w:val="0"/>
          <w:numId w:val="2"/>
        </w:numPr>
        <w:spacing w:after="80"/>
      </w:pPr>
      <w:r>
        <w:t xml:space="preserve">Comprensión de los datos: las colecciones operativas de MongoDB (miembros, progreso_fisico, asistencias, pagos, miembro_membresia, entrenamientos_realizados, rutinas) son la fuente primaria; PostgreSQL aporta identidad y scoping.</w:t>
      </w:r>
    </w:p>
    <w:p>
      <w:pPr>
        <w:pStyle w:val="ListParagraph"/>
        <w:numPr>
          <w:ilvl w:val="0"/>
          <w:numId w:val="2"/>
        </w:numPr>
        <w:spacing w:after="80"/>
      </w:pPr>
      <w:r>
        <w:t xml:space="preserve">Preparación: normalización de fechas, unidades, sexo/género y catálogos; deduplicación en importaciones. Detallada en el Manual Técnico II.</w:t>
      </w:r>
    </w:p>
    <w:p>
      <w:pPr>
        <w:pStyle w:val="ListParagraph"/>
        <w:numPr>
          <w:ilvl w:val="0"/>
          <w:numId w:val="2"/>
        </w:numPr>
        <w:spacing w:after="80"/>
      </w:pPr>
      <w:r>
        <w:t xml:space="preserve">Modelado: entrenamiento in-process con scikit-learn, siempre por gimnasio (multi-tenant) y, para el rol Entrenador, acotado a sus miembros. Manuales III y IV.</w:t>
      </w:r>
    </w:p>
    <w:p>
      <w:pPr>
        <w:pStyle w:val="ListParagraph"/>
        <w:numPr>
          <w:ilvl w:val="0"/>
          <w:numId w:val="2"/>
        </w:numPr>
        <w:spacing w:after="80"/>
      </w:pPr>
      <w:r>
        <w:t xml:space="preserve">Evaluación: métricas por familia — R², RMSE y MAE en regresión; accuracy, precision, recall, F1 y matriz de confusión en clasificación; silhouette en clustering.</w:t>
      </w:r>
    </w:p>
    <w:p>
      <w:pPr>
        <w:pStyle w:val="ListParagraph"/>
        <w:numPr>
          <w:ilvl w:val="0"/>
          <w:numId w:val="2"/>
        </w:numPr>
        <w:spacing w:after="80"/>
      </w:pPr>
      <w:r>
        <w:t xml:space="preserve">Despliegue: resultados y coeficientes cacheados en MongoDB con TTL configurable, expuestos vía endpoints REST autenticados con JWT y visualizados en web y móvil.</w:t>
      </w:r>
    </w:p>
    <w:p>
      <w:pPr>
        <w:pStyle w:val="Heading1"/>
      </w:pPr>
      <w:r>
        <w:t xml:space="preserve">7. Decisiones estratégicas de arquitectura</w:t>
      </w:r>
    </w:p>
    <w:p>
      <w:pPr>
        <w:pStyle w:val="Heading2"/>
      </w:pPr>
      <w:r>
        <w:t xml:space="preserve">7.1 Migración de PySpark a scikit-learn</w:t>
      </w:r>
    </w:p>
    <w:p>
      <w:pPr>
        <w:spacing w:after="120"/>
      </w:pPr>
      <w:r>
        <w:t xml:space="preserve">La decisión estratégica más relevante del módulo fue migrar el stack de IA de PySpark a scikit-learn + pymongo. Motivación: eliminar la dependencia de la JVM y la descarga de JARs desde Maven Central en tiempo de build, reducir la imagen Docker (~200 MB menos al eliminar Java 17 JRE) y permitir operar todo el stack en un VPS de 8 GB con latencias de análisis inferiores a 1 segundo.</w:t>
      </w:r>
    </w:p>
    <w:p>
      <w:pPr>
        <w:shd w:fill="F2F2F2" w:val="clear"/>
        <w:spacing w:after="0"/>
      </w:pPr>
      <w:r>
        <w:rPr>
          <w:rFonts w:ascii="Consolas" w:cs="Consolas" w:eastAsia="Consolas" w:hAnsi="Consolas"/>
          <w:sz w:val="17"/>
          <w:szCs w:val="17"/>
        </w:rPr>
        <w:t xml:space="preserve"># api/app/routes/ia/spark_config.py</w:t>
      </w:r>
    </w:p>
    <w:p>
      <w:pPr>
        <w:shd w:fill="F2F2F2" w:val="clear"/>
        <w:spacing w:after="0"/>
      </w:pPr>
      <w:r>
        <w:rPr>
          <w:rFonts w:ascii="Consolas" w:cs="Consolas" w:eastAsia="Consolas" w:hAnsi="Consolas"/>
          <w:sz w:val="17"/>
          <w:szCs w:val="17"/>
        </w:rPr>
        <w:t xml:space="preserve">"""</w:t>
      </w:r>
    </w:p>
    <w:p>
      <w:pPr>
        <w:shd w:fill="F2F2F2" w:val="clear"/>
        <w:spacing w:after="0"/>
      </w:pPr>
      <w:r>
        <w:rPr>
          <w:rFonts w:ascii="Consolas" w:cs="Consolas" w:eastAsia="Consolas" w:hAnsi="Consolas"/>
          <w:sz w:val="17"/>
          <w:szCs w:val="17"/>
        </w:rPr>
        <w:t xml:space="preserve">NOTA: El stack de IA fue migrado de PySpark -&gt; scikit-learn para eliminar la</w:t>
      </w:r>
    </w:p>
    <w:p>
      <w:pPr>
        <w:shd w:fill="F2F2F2" w:val="clear"/>
        <w:spacing w:after="0"/>
      </w:pPr>
      <w:r>
        <w:rPr>
          <w:rFonts w:ascii="Consolas" w:cs="Consolas" w:eastAsia="Consolas" w:hAnsi="Consolas"/>
          <w:sz w:val="17"/>
          <w:szCs w:val="17"/>
        </w:rPr>
        <w:t xml:space="preserve">dependencia de JVM y la descarga de JARs desde Maven Central en tiempo de build.</w:t>
      </w:r>
    </w:p>
    <w:p>
      <w:pPr>
        <w:shd w:fill="F2F2F2" w:val="clear"/>
        <w:spacing w:after="0"/>
      </w:pPr>
      <w:r>
        <w:rPr>
          <w:rFonts w:ascii="Consolas" w:cs="Consolas" w:eastAsia="Consolas" w:hAnsi="Consolas"/>
          <w:sz w:val="17"/>
          <w:szCs w:val="17"/>
        </w:rPr>
        <w:t xml:space="preserve">Todos los modelos corren en proceso, sin internet, con latencias &lt; 1 s.</w:t>
      </w:r>
    </w:p>
    <w:p>
      <w:pPr>
        <w:shd w:fill="F2F2F2" w:val="clear"/>
        <w:spacing w:after="0"/>
      </w:pPr>
      <w:r>
        <w:rPr>
          <w:rFonts w:ascii="Consolas" w:cs="Consolas" w:eastAsia="Consolas" w:hAnsi="Consolas"/>
          <w:sz w:val="17"/>
          <w:szCs w:val="17"/>
        </w:rPr>
        <w:t xml:space="preserve">"""</w:t>
      </w:r>
    </w:p>
    <w:p>
      <w:pPr>
        <w:shd w:fill="F2F2F2" w:val="clear"/>
        <w:spacing w:after="0"/>
      </w:pPr>
      <w:r>
        <w:rPr>
          <w:rFonts w:ascii="Consolas" w:cs="Consolas" w:eastAsia="Consolas" w:hAnsi="Consolas"/>
          <w:sz w:val="17"/>
          <w:szCs w:val="17"/>
        </w:rPr>
        <w:t xml:space="preserve">MONGO_URI       = os.getenv("MONGO_URI", "mongodb://mongo:27017/gymdb")</w:t>
      </w:r>
    </w:p>
    <w:p>
      <w:pPr>
        <w:shd w:fill="F2F2F2" w:val="clear"/>
        <w:spacing w:after="0"/>
      </w:pPr>
      <w:r>
        <w:rPr>
          <w:rFonts w:ascii="Consolas" w:cs="Consolas" w:eastAsia="Consolas" w:hAnsi="Consolas"/>
          <w:sz w:val="17"/>
          <w:szCs w:val="17"/>
        </w:rPr>
        <w:t xml:space="preserve">MONGO_DB        = os.getenv("MONGO_DB", "gymdb")</w:t>
      </w:r>
    </w:p>
    <w:p>
      <w:pPr>
        <w:shd w:fill="F2F2F2" w:val="clear"/>
        <w:spacing w:after="0"/>
      </w:pPr>
      <w:r>
        <w:rPr>
          <w:rFonts w:ascii="Consolas" w:cs="Consolas" w:eastAsia="Consolas" w:hAnsi="Consolas"/>
          <w:sz w:val="17"/>
          <w:szCs w:val="17"/>
        </w:rPr>
        <w:t xml:space="preserve">CACHE_TTL_HOURS = int(os.getenv("ANALYTICS_CACHE_TTL_HOURS", "24"))</w:t>
      </w:r>
    </w:p>
    <w:p>
      <w:pPr>
        <w:spacing w:after="120"/>
      </w:pPr>
      <w:r>
        <w:t xml:space="preserve"/>
      </w:r>
    </w:p>
    <w:p>
      <w:pPr>
        <w:spacing w:after="120"/>
      </w:pPr>
      <w:r>
        <w:t xml:space="preserve">El costo de la decisión es renunciar al procesamiento distribuido; el beneficio es un TCO radicalmente menor y una operación más simple. Para el volumen de datos por gimnasio (miles de registros, no millones), scikit-learn in-process es la elección correcta; el patrón MapReduce se conserva vía aggregation pipeline para las cargas de agregación.</w:t>
      </w:r>
    </w:p>
    <w:p>
      <w:pPr>
        <w:pStyle w:val="Heading2"/>
      </w:pPr>
      <w:r>
        <w:t xml:space="preserve">7.2 LLM local con Ollama</w:t>
      </w:r>
    </w:p>
    <w:p>
      <w:pPr>
        <w:spacing w:after="120"/>
      </w:pPr>
      <w:r>
        <w:t xml:space="preserve">Para el AI ETL se reemplazó el SDK de un proveedor externo por Ollama ejecutando phi3:mini dentro del propio stack Docker. Beneficios estratégicos: privacidad (los documentos del gimnasio nunca salen del servidor), costo marginal cero por inferencia, y operación sin conectividad externa. Contrapartida gestionada: tiempos de respuesta mayores (timeout ampliado a 270 s) y un healthcheck con periodo de arranque de 90 s.</w:t>
      </w:r>
    </w:p>
    <w:p>
      <w:pPr>
        <w:pStyle w:val="Heading2"/>
      </w:pPr>
      <w:r>
        <w:t xml:space="preserve">7.3 Persistencia políglota y multi-tenancy</w:t>
      </w:r>
    </w:p>
    <w:p>
      <w:pPr>
        <w:spacing w:after="120"/>
      </w:pPr>
      <w:r>
        <w:t xml:space="preserve">PostgreSQL concentra el dominio transaccional (usuarios, gimnasios, suscripciones, catálogo de ejercicios con scoping por entrenador — migración 009) y MongoDB (base gymdb) el dominio analítico y de series de tiempo. Todo análisis se acota por id_gimnasio extraído del JWT; cuando el rol es Entrenador, el helper _trainer_scope() restringe adicionalmente a sus miembros asignados. Este doble scoping garantiza el aislamiento entre tenants sin duplicar infraestructura por cliente.</w:t>
      </w:r>
    </w:p>
    <w:p>
      <w:pPr>
        <w:pStyle w:val="Heading2"/>
      </w:pPr>
      <w:r>
        <w:t xml:space="preserve">7.4 Caché analítico como decisión de capacidad</w:t>
      </w:r>
    </w:p>
    <w:p>
      <w:pPr>
        <w:spacing w:after="120"/>
      </w:pPr>
      <w:r>
        <w:t xml:space="preserve">Cada modelo persiste coeficientes y resultados en la colección analytics_cache con TTL de 24 horas por defecto. Estratégicamente esto convierte cargas de ML potencialmente costosas en lecturas sub-segundo, dimensiona la demanda (gestión de la demanda ITIL) y hace predecible el consumo de CPU/RAM del VPS.</w:t>
      </w:r>
    </w:p>
    <w:p>
      <w:pPr>
        <w:pStyle w:val="Heading1"/>
      </w:pPr>
      <w:r>
        <w:t xml:space="preserve">8. Alineación con la Estrategia del Servicio (ITIL)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Proceso ITIL</w:t>
            </w:r>
          </w:p>
        </w:tc>
        <w:tc>
          <w:tcPr>
            <w:tcW w:type="dxa" w:w="616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Materialización en GymPro</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Gestión del portafolio</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Catálogo de análisis (sección 5) con criterio de entrada: pregunta de negocio verificable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Gestión financiera</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Stack sin licencias ni APIs de pago: scikit-learn, MongoDB, Ollama local; VPS único de 8 GB</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Gestión de la demanda</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Caché TTL + re-entrenamiento bajo demanda (POST /train) en lugar de jobs periódicos costosos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Gestión de relaciones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Salidas en lenguaje no técnico para dueños y entrenadores (adopción del servicio)</w:t>
            </w:r>
          </w:p>
        </w:tc>
      </w:tr>
    </w:tbl>
    <w:p>
      <w:pPr>
        <w:pStyle w:val="Heading1"/>
      </w:pPr>
      <w:r>
        <w:t xml:space="preserve">9. Riesgos y supuestos</w:t>
      </w:r>
    </w:p>
    <w:p>
      <w:pPr>
        <w:pStyle w:val="ListParagraph"/>
        <w:numPr>
          <w:ilvl w:val="0"/>
          <w:numId w:val="2"/>
        </w:numPr>
        <w:spacing w:after="80"/>
      </w:pPr>
      <w:r>
        <w:t xml:space="preserve">Volumen: el diseño in-process asume decenas de miles de registros por gimnasio; un crecimiento de dos órdenes de magnitud requeriría revisar la estrategia (worker dedicado o motor distribuido).</w:t>
      </w:r>
    </w:p>
    <w:p>
      <w:pPr>
        <w:pStyle w:val="ListParagraph"/>
        <w:numPr>
          <w:ilvl w:val="0"/>
          <w:numId w:val="2"/>
        </w:numPr>
        <w:spacing w:after="80"/>
      </w:pPr>
      <w:r>
        <w:t xml:space="preserve">Calidad de datos: las predicciones dependen de la captura operativa (asistencias y mediciones); el diseño mitiga con normalizaciones defensivas (Manual II).</w:t>
      </w:r>
    </w:p>
    <w:p>
      <w:pPr>
        <w:pStyle w:val="ListParagraph"/>
        <w:numPr>
          <w:ilvl w:val="0"/>
          <w:numId w:val="2"/>
        </w:numPr>
        <w:spacing w:after="80"/>
      </w:pPr>
      <w:r>
        <w:t xml:space="preserve">Etiquetado heurístico: el riesgo de abandono usa una regla de negocio como etiqueta (&gt;21 días sin asistir o membresía vencida); es un supuesto documentado y ajustable.</w:t>
      </w:r>
    </w:p>
    <w:p>
      <w:pPr>
        <w:pStyle w:val="ListParagraph"/>
        <w:numPr>
          <w:ilvl w:val="0"/>
          <w:numId w:val="2"/>
        </w:numPr>
        <w:spacing w:after="80"/>
      </w:pPr>
      <w:r>
        <w:t xml:space="preserve">LLM local: phi3:mini es suficiente para extracción estructurada con prompts estrictos; documentos muy irregulares caen primero al parser determinístico y luego a revisión manual en el preview.</w:t>
      </w:r>
    </w:p>
    <w:p>
      <w:pPr>
        <w:pStyle w:val="Heading1"/>
      </w:pPr>
      <w:r>
        <w:t xml:space="preserve">10. Evolución prevista del portafolio analítico</w:t>
      </w:r>
    </w:p>
    <w:p>
      <w:pPr>
        <w:spacing w:after="120"/>
      </w:pPr>
      <w:r>
        <w:t xml:space="preserve">La estrategia contempla una evolución incremental, priorizada por valor y trazada como issues en el repositorio:</w:t>
      </w:r>
    </w:p>
    <w:p>
      <w:pPr>
        <w:pStyle w:val="ListParagraph"/>
        <w:numPr>
          <w:ilvl w:val="0"/>
          <w:numId w:val="2"/>
        </w:numPr>
        <w:spacing w:after="80"/>
      </w:pPr>
      <w:r>
        <w:t xml:space="preserve">Enriquecer el modelo de churn con features de engagement (uso de rutinas, interacción con el entrenador) además de asistencia y pagos.</w:t>
      </w:r>
    </w:p>
    <w:p>
      <w:pPr>
        <w:pStyle w:val="ListParagraph"/>
        <w:numPr>
          <w:ilvl w:val="0"/>
          <w:numId w:val="2"/>
        </w:numPr>
        <w:spacing w:after="80"/>
      </w:pPr>
      <w:r>
        <w:t xml:space="preserve">Forecast de ingresos por serie de tiempo sobre la base del MapReduce mensual existente.</w:t>
      </w:r>
    </w:p>
    <w:p>
      <w:pPr>
        <w:pStyle w:val="ListParagraph"/>
        <w:numPr>
          <w:ilvl w:val="0"/>
          <w:numId w:val="2"/>
        </w:numPr>
        <w:spacing w:after="80"/>
      </w:pPr>
      <w:r>
        <w:t xml:space="preserve">Métricas de calidad de datos como KPI operativo (porcentaje de miembros con mediciones recientes).</w:t>
      </w:r>
    </w:p>
    <w:p>
      <w:pPr>
        <w:pStyle w:val="ListParagraph"/>
        <w:numPr>
          <w:ilvl w:val="0"/>
          <w:numId w:val="2"/>
        </w:numPr>
        <w:spacing w:after="80"/>
      </w:pPr>
      <w:r>
        <w:t xml:space="preserve">Evaluación periódica del modelo LLM local frente a alternativas de mayor capacidad conforme el hardware lo permita.</w:t>
      </w:r>
    </w:p>
    <w:p>
      <w:pPr>
        <w:pStyle w:val="Heading1"/>
      </w:pPr>
      <w:r>
        <w:t xml:space="preserve">11. Referencias</w:t>
      </w:r>
    </w:p>
    <w:p>
      <w:pPr>
        <w:pStyle w:val="ListParagraph"/>
        <w:numPr>
          <w:ilvl w:val="0"/>
          <w:numId w:val="2"/>
        </w:numPr>
        <w:spacing w:after="80"/>
      </w:pPr>
      <w:r>
        <w:t xml:space="preserve">Repositorio: github.com/francisco-J-perez-M/SistemaGYM · rama saas.</w:t>
      </w:r>
    </w:p>
    <w:p>
      <w:pPr>
        <w:pStyle w:val="ListParagraph"/>
        <w:numPr>
          <w:ilvl w:val="0"/>
          <w:numId w:val="2"/>
        </w:numPr>
        <w:spacing w:after="80"/>
      </w:pPr>
      <w:r>
        <w:t xml:space="preserve">Código base: api/app/routes/ia/, api/app/utils/etl_ollama.py.</w:t>
      </w:r>
    </w:p>
    <w:p>
      <w:pPr>
        <w:pStyle w:val="ListParagraph"/>
        <w:numPr>
          <w:ilvl w:val="0"/>
          <w:numId w:val="2"/>
        </w:numPr>
        <w:spacing w:after="80"/>
      </w:pPr>
      <w:r>
        <w:t xml:space="preserve">Documentos relacionados: Manuales Técnicos II a V; GymPro ITIL 1 — Estrategia del Servicio; GymPro_Pipeline_de_Datos.docx.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GymPro · Documentación ITIL · Página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B2" w:sz="4" w:space="1"/>
      </w:pBdr>
    </w:pPr>
    <w:r>
      <w:rPr>
        <w:color w:val="666666"/>
        <w:sz w:val="18"/>
        <w:szCs w:val="18"/>
      </w:rPr>
      <w:t xml:space="preserve">Manual Técnico I — Introducción al análisis de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6FB2"/>
      <w:sz w:val="30"/>
      <w:szCs w:val="30"/>
    </w:rPr>
  </w:style>
  <w:style w:type="paragraph" w:styleId="Heading2">
    <w:name w:val="Heading 2"/>
    <w:basedOn w:val="Normal"/>
    <w:next w:val="Normal"/>
    <w:qFormat/>
    <w:pPr>
      <w:spacing w:after="120" w:before="20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2026-07-09T19:23:34.786Z</dcterms:created>
  <dcterms:modified xsi:type="dcterms:W3CDTF">2026-07-09T19:23:34.790Z</dcterms:modified>
</cp:coreProperties>
</file>

<file path=docProps/custom.xml><?xml version="1.0" encoding="utf-8"?>
<Properties xmlns="http://schemas.openxmlformats.org/officeDocument/2006/custom-properties" xmlns:vt="http://schemas.openxmlformats.org/officeDocument/2006/docPropsVTypes"/>
</file>