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3.3  Gestión de Activos del Servicio y de Configuraciones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Activos del Servicio y de Configuraciones»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Mantiene información precisa sobre los activos y los elementos de configuración (CI) y sus relaciones en un sistema de gestión de la configuración.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Los elementos de configuración de GymPro están declarados como código: docker-compose.yml define servicios, imágenes versionadas, redes y volúmenes; requirements.txt y package.json fijan dependencias exactas. El repositorio actúa como CMDB de facto.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docker-compose.yml como definición versionada de la infraestructura (IaC).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Dependencias ancladas a versión (postgres:16, mongo:7, scikit-learn==1.5.2).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Volúmenes nombrados (pg_data, mongo_data, ollama_models) como activos persistentes.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Activos del Servicio y de Configuraciones» aporta valor a GymPro al </w:t>
      </w:r>
      <w:r>
        <w:rPr>
          <w:sz w:val="22"/>
          <w:szCs w:val="22"/>
        </w:rPr>
        <w:t xml:space="preserve">conocer con precisión qué compone el servicio y cómo se relacionan sus piezas.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3.3 Gestión de Activos del Servicio y de Configuraciones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2026-06-20T03:31:06.294Z</dcterms:created>
  <dcterms:modified xsi:type="dcterms:W3CDTF">2026-06-20T03:31:06.294Z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