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5"/>
        <w:pBdr>
          <w:top w:val="none" w:color="000000" w:sz="4" w:space="0"/>
          <w:left w:val="none" w:color="000000" w:sz="4" w:space="0"/>
          <w:bottom w:val="none" w:color="000000" w:sz="4" w:space="0"/>
          <w:right w:val="none" w:color="000000" w:sz="4" w:space="0"/>
        </w:pBdr>
        <w:shd w:val="clear" w:color="f7f7f5" w:fill="f7f7f5"/>
        <w:spacing w:after="270" w:before="0" w:line="336"/>
        <w:ind w:right="0" w:firstLine="0" w:left="-15"/>
        <w:rPr/>
      </w:pPr>
      <w:r>
        <w:rPr>
          <w:rFonts w:ascii="Arial" w:hAnsi="Arial" w:eastAsia="Arial" w:cs="Arial"/>
          <w:color w:val="151618"/>
        </w:rPr>
        <w:t xml:space="preserve">Introduction</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Interacting with GCP or integrating Terraform deployments securely and efficiently into your CI/CD pipeline requires careful consideration, especially regarding authentication and permissions.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Direct Workload Identity Federation offers secure way to authenticate applications without relying on long-lived service account keys. By leveraging Workload Identity Federation, we can grant GitHub Actions access to Google Cloud (GCP) resources, minimizin</w:t>
      </w:r>
      <w:r>
        <w:rPr>
          <w:rFonts w:ascii="Arial" w:hAnsi="Arial" w:eastAsia="Arial" w:cs="Arial"/>
          <w:color w:val="151618"/>
          <w:sz w:val="30"/>
        </w:rPr>
        <w:t xml:space="preserve">g security risks and improving operational efficiency. This blog post explores why using Workload Identity Federation is important, the role of GitHub in modern DevOps practices, and how to use GitHub Actions to interact with GCP securely.</w:t>
      </w:r>
      <w:r/>
    </w:p>
    <w:p>
      <w:pPr>
        <w:pBdr>
          <w:top w:val="none" w:color="000000" w:sz="4" w:space="0"/>
          <w:left w:val="none" w:color="000000" w:sz="4" w:space="0"/>
          <w:bottom w:val="none" w:color="000000" w:sz="4" w:space="0"/>
          <w:right w:val="none" w:color="000000" w:sz="4" w:space="0"/>
        </w:pBdr>
        <w:shd w:val="clear" w:color="f7f7f5" w:fill="f7f7f5"/>
        <w:spacing w:after="600" w:before="600" w:line="0"/>
        <w:ind w:right="0" w:firstLine="0" w:left="0"/>
        <w:jc w:val="center"/>
        <w:rPr/>
      </w:pPr>
      <w:r>
        <mc:AlternateContent>
          <mc:Choice Requires="wpg">
            <w:drawing>
              <wp:inline xmlns:wp="http://schemas.openxmlformats.org/drawingml/2006/wordprocessingDrawing" distT="0" distB="0" distL="0" distR="0">
                <wp:extent cx="5940425" cy="189796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076" name=""/>
                        <pic:cNvPicPr>
                          <a:picLocks noChangeAspect="1"/>
                        </pic:cNvPicPr>
                        <pic:nvPr/>
                      </pic:nvPicPr>
                      <pic:blipFill>
                        <a:blip r:embed="rId9"/>
                        <a:stretch/>
                      </pic:blipFill>
                      <pic:spPr bwMode="auto">
                        <a:xfrm>
                          <a:off x="0" y="0"/>
                          <a:ext cx="5940424" cy="1897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49.45pt;mso-wrap-distance-left:0.00pt;mso-wrap-distance-top:0.00pt;mso-wrap-distance-right:0.00pt;mso-wrap-distance-bottom:0.00pt;z-index:1;" stroked="false">
                <v:imagedata r:id="rId9" o:title=""/>
                <o:lock v:ext="edit" rotation="t"/>
              </v:shape>
            </w:pict>
          </mc:Fallback>
        </mc:AlternateContent>
      </w:r>
      <w:r/>
    </w:p>
    <w:p>
      <w:pPr>
        <w:pStyle w:val="15"/>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Why Use Direct Workload Identity Federation?</w:t>
      </w:r>
      <w:r/>
    </w:p>
    <w:p>
      <w:pPr>
        <w:pStyle w:val="17"/>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Principles of Workload Identity Federation</w:t>
      </w:r>
      <w:r/>
    </w:p>
    <w:p>
      <w:pPr>
        <w:pStyle w:val="621"/>
        <w:numPr>
          <w:ilvl w:val="0"/>
          <w:numId w:val="1"/>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Security: Traditional methods of authentication often involve distributing and managing long-lived credentials, which can pose significant security risks if compromised. Workload Identity Federation eliminates the need for these credentials by allowing sho</w:t>
      </w:r>
      <w:r>
        <w:rPr>
          <w:rFonts w:ascii="Arial" w:hAnsi="Arial" w:eastAsia="Arial" w:cs="Arial"/>
          <w:color w:val="151618"/>
          <w:sz w:val="30"/>
        </w:rPr>
        <w:t xml:space="preserve">rt-lived tokens issued by an identity provider (like GitHub) to be exchanged for GCP access tokens.</w:t>
      </w:r>
      <w:r/>
    </w:p>
    <w:p>
      <w:pPr>
        <w:pStyle w:val="621"/>
        <w:numPr>
          <w:ilvl w:val="0"/>
          <w:numId w:val="1"/>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Scalability: As teams grow and projects scale, managing and rotating service account keys becomes cumbersome. Workload Identity Federation simplifies this by centralizing authentication management, making it easier to scale operations without compromising </w:t>
      </w:r>
      <w:r>
        <w:rPr>
          <w:rFonts w:ascii="Arial" w:hAnsi="Arial" w:eastAsia="Arial" w:cs="Arial"/>
          <w:color w:val="151618"/>
          <w:sz w:val="30"/>
        </w:rPr>
        <w:t xml:space="preserve">security.</w:t>
      </w:r>
      <w:r/>
    </w:p>
    <w:p>
      <w:pPr>
        <w:pStyle w:val="621"/>
        <w:numPr>
          <w:ilvl w:val="0"/>
          <w:numId w:val="1"/>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Compliance: Regulatory requirements often mandate stringent controls over access management. Workload Identity Federation provides a robust framework for enforcing access policies and maintaining audit trails, helping organizations stay compliant with indu</w:t>
      </w:r>
      <w:r>
        <w:rPr>
          <w:rFonts w:ascii="Arial" w:hAnsi="Arial" w:eastAsia="Arial" w:cs="Arial"/>
          <w:color w:val="151618"/>
          <w:sz w:val="30"/>
        </w:rPr>
        <w:t xml:space="preserve">stry standards.</w:t>
      </w:r>
      <w:r/>
    </w:p>
    <w:p>
      <w:pPr>
        <w:pStyle w:val="15"/>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The Role of GitHub in Modern DevOps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GitHub is a cornerstone of modern DevOps practices, offering a comprehensive platform for version control, collaboration, and continuous integration/continuous deployment (CI/CD). GitHub Actions, its integrated CI/CD service, enables developers to automate</w:t>
      </w:r>
      <w:r>
        <w:rPr>
          <w:rFonts w:ascii="Arial" w:hAnsi="Arial" w:eastAsia="Arial" w:cs="Arial"/>
          <w:color w:val="151618"/>
          <w:sz w:val="30"/>
        </w:rPr>
        <w:t xml:space="preserve"> workflows directly within their repositories.</w:t>
      </w:r>
      <w:r/>
    </w:p>
    <w:p>
      <w:pPr>
        <w:pStyle w:val="17"/>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Advantages of Using GitHub Actions</w:t>
      </w:r>
      <w:r/>
    </w:p>
    <w:p>
      <w:pPr>
        <w:pStyle w:val="621"/>
        <w:numPr>
          <w:ilvl w:val="0"/>
          <w:numId w:val="2"/>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Centralized Management: GitHub Actions allows you to manage all CI/CD workflows in a single location, streamlining the development process and ensuring that all changes are tracked and auditable.</w:t>
      </w:r>
      <w:r/>
    </w:p>
    <w:p>
      <w:pPr>
        <w:pStyle w:val="621"/>
        <w:numPr>
          <w:ilvl w:val="0"/>
          <w:numId w:val="2"/>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Security and Compliance: By using GitHub Actions in combination with Workload Identity Federation, you can avoid distributing sensitive credentials. This setup ensures that only authorized workflows can interact with your cloud resources, enhancing securit</w:t>
      </w:r>
      <w:r>
        <w:rPr>
          <w:rFonts w:ascii="Arial" w:hAnsi="Arial" w:eastAsia="Arial" w:cs="Arial"/>
          <w:color w:val="151618"/>
          <w:sz w:val="30"/>
        </w:rPr>
        <w:t xml:space="preserve">y and compliance.</w:t>
      </w:r>
      <w:r/>
    </w:p>
    <w:p>
      <w:pPr>
        <w:pStyle w:val="621"/>
        <w:numPr>
          <w:ilvl w:val="0"/>
          <w:numId w:val="2"/>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Automation and Efficiency: Automating deployments through GitHub Actions reduces manual intervention, minimizes errors, and accelerates the delivery of features and updates.</w:t>
      </w:r>
      <w:r/>
    </w:p>
    <w:p>
      <w:pPr>
        <w:pStyle w:val="15"/>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Centralized Deployments with GitHub Actions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Centralizing deployments through GitHub Actions ensures that all changes to your infrastructure are managed through code reviews and automated workflows, eliminating the risks associated with "clickops" (manual operations via the cloud console). This appro</w:t>
      </w:r>
      <w:r>
        <w:rPr>
          <w:rFonts w:ascii="Arial" w:hAnsi="Arial" w:eastAsia="Arial" w:cs="Arial"/>
          <w:color w:val="151618"/>
          <w:sz w:val="30"/>
        </w:rPr>
        <w:t xml:space="preserve">ach promotes a disciplined and auditable deployment process.</w:t>
      </w:r>
      <w:r/>
    </w:p>
    <w:p>
      <w:pPr>
        <w:pStyle w:val="17"/>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Setting Up Workload Identity Federation</w: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Create a Workload Identity Pool and Provider</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In GCP, create a Workload Identity Pool and Provider to link GitHub as an identity provider.</w:t>
      </w:r>
      <w:r/>
    </w:p>
    <w:p>
      <w:pPr>
        <w:pBdr>
          <w:top w:val="none" w:color="000000" w:sz="4" w:space="0"/>
          <w:left w:val="none" w:color="000000" w:sz="4" w:space="0"/>
          <w:bottom w:val="none" w:color="000000" w:sz="4" w:space="0"/>
          <w:right w:val="none" w:color="000000" w:sz="4" w:space="0"/>
        </w:pBdr>
        <w:shd w:val="clear" w:color="f7f7f5" w:fill="f7f7f5"/>
        <w:spacing w:line="0" w:lineRule="atLeast"/>
        <w:ind w:right="0" w:firstLine="0" w:left="0"/>
        <w:jc w:val="center"/>
        <w:rPr/>
      </w:pPr>
      <w:r>
        <mc:AlternateContent>
          <mc:Choice Requires="wpg">
            <w:drawing>
              <wp:inline xmlns:wp="http://schemas.openxmlformats.org/drawingml/2006/wordprocessingDrawing" distT="0" distB="0" distL="0" distR="0">
                <wp:extent cx="5940425" cy="33414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8534" name=""/>
                        <pic:cNvPicPr>
                          <a:picLocks noChangeAspect="1"/>
                        </pic:cNvPicPr>
                        <pic:nvPr/>
                      </pic:nvPicPr>
                      <pic:blipFill>
                        <a:blip r:embed="rId10"/>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63.11pt;mso-wrap-distance-left:0.00pt;mso-wrap-distance-top:0.00pt;mso-wrap-distance-right:0.00pt;mso-wrap-distance-bottom:0.00pt;z-index:1;" stroked="false">
                <v:imagedata r:id="rId10" o:title=""/>
                <o:lock v:ext="edit" rotation="t"/>
              </v:shape>
            </w:pict>
          </mc:Fallback>
        </mc:AlternateConten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Add a provider to the pool</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We need to set the issuer of the token to </w:t>
      </w:r>
      <w:r>
        <w:rPr>
          <w:rFonts w:ascii="Courier New" w:hAnsi="Courier New" w:eastAsia="Courier New" w:cs="Courier New"/>
          <w:color w:val="151618"/>
          <w:sz w:val="26"/>
        </w:rPr>
        <w:t xml:space="preserve">https://token.actions.githubusercontent.com</w:t>
      </w:r>
      <w:r>
        <w:rPr>
          <w:rFonts w:ascii="Arial" w:hAnsi="Arial" w:eastAsia="Arial" w:cs="Arial"/>
          <w:color w:val="151618"/>
          <w:sz w:val="30"/>
        </w:rPr>
        <w:t xml:space="preserve">. This ensures that the tokens are correctly identified as coming from GitHub Actions.</w:t>
      </w:r>
      <w:r/>
    </w:p>
    <w:p>
      <w:pPr>
        <w:pBdr>
          <w:top w:val="none" w:color="000000" w:sz="4" w:space="0"/>
          <w:left w:val="none" w:color="000000" w:sz="4" w:space="0"/>
          <w:bottom w:val="none" w:color="000000" w:sz="4" w:space="0"/>
          <w:right w:val="none" w:color="000000" w:sz="4" w:space="0"/>
        </w:pBdr>
        <w:shd w:val="clear" w:color="f7f7f5" w:fill="f7f7f5"/>
        <w:spacing w:after="600" w:before="600" w:line="0"/>
        <w:ind w:right="0" w:firstLine="0" w:left="0"/>
        <w:jc w:val="center"/>
        <w:rPr/>
      </w:pPr>
      <w:r>
        <mc:AlternateContent>
          <mc:Choice Requires="wpg">
            <w:drawing>
              <wp:inline xmlns:wp="http://schemas.openxmlformats.org/drawingml/2006/wordprocessingDrawing" distT="0" distB="0" distL="0" distR="0">
                <wp:extent cx="5940425" cy="33414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1720" name=""/>
                        <pic:cNvPicPr>
                          <a:picLocks noChangeAspect="1"/>
                        </pic:cNvPicPr>
                        <pic:nvPr/>
                      </pic:nvPicPr>
                      <pic:blipFill>
                        <a:blip r:embed="rId11"/>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1" o:title=""/>
                <o:lock v:ext="edit" rotation="t"/>
              </v:shape>
            </w:pict>
          </mc:Fallback>
        </mc:AlternateConten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Configure provider attributes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We can choose which attributes from the GitHub token to retain and map to the GCP token. This allows us to define the information passed between GitHub and GCP during authentication.</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It's essential to set a robust authentication condition to ensure security. For instance, you can configure the condition to </w:t>
      </w:r>
      <w:r>
        <w:rPr>
          <w:rFonts w:ascii="Courier New" w:hAnsi="Courier New" w:eastAsia="Courier New" w:cs="Courier New"/>
          <w:color w:val="151618"/>
          <w:sz w:val="26"/>
        </w:rPr>
        <w:t xml:space="preserve">assertion.repository_owner == 'AlexanderHose'</w:t>
      </w:r>
      <w:r>
        <w:rPr>
          <w:rFonts w:ascii="Arial" w:hAnsi="Arial" w:eastAsia="Arial" w:cs="Arial"/>
          <w:color w:val="151618"/>
          <w:sz w:val="30"/>
        </w:rPr>
        <w:t xml:space="preserve">. This ensures that only tokens from specified repository owners or organizations are allowed. This condition helps in restricting access and enhancing security by limiting the scope of valid tokens.</w:t>
      </w:r>
      <w:r/>
    </w:p>
    <w:p>
      <w:pPr>
        <w:pBdr>
          <w:top w:val="none" w:color="000000" w:sz="4" w:space="0"/>
          <w:left w:val="none" w:color="000000" w:sz="4" w:space="0"/>
          <w:bottom w:val="none" w:color="000000" w:sz="4" w:space="0"/>
          <w:right w:val="none" w:color="000000" w:sz="4" w:space="0"/>
        </w:pBdr>
        <w:shd w:val="clear" w:color="f7f7f5" w:fill="f7f7f5"/>
        <w:spacing w:after="600" w:before="600" w:line="0"/>
        <w:ind w:right="0" w:firstLine="0" w:left="0"/>
        <w:jc w:val="center"/>
        <w:rPr/>
      </w:pPr>
      <w:r>
        <mc:AlternateContent>
          <mc:Choice Requires="wpg">
            <w:drawing>
              <wp:inline xmlns:wp="http://schemas.openxmlformats.org/drawingml/2006/wordprocessingDrawing" distT="0" distB="0" distL="0" distR="0">
                <wp:extent cx="5940425" cy="334148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12706" name=""/>
                        <pic:cNvPicPr>
                          <a:picLocks noChangeAspect="1"/>
                        </pic:cNvPicPr>
                        <pic:nvPr/>
                      </pic:nvPicPr>
                      <pic:blipFill>
                        <a:blip r:embed="rId12"/>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63.11pt;mso-wrap-distance-left:0.00pt;mso-wrap-distance-top:0.00pt;mso-wrap-distance-right:0.00pt;mso-wrap-distance-bottom:0.00pt;z-index:1;" stroked="false">
                <v:imagedata r:id="rId12" o:title=""/>
                <o:lock v:ext="edit" rotation="t"/>
              </v:shape>
            </w:pict>
          </mc:Fallback>
        </mc:AlternateConten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Granting access to GCP resources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To allow access to GCP resources via the Workload Identity Pool, you need to grant the necessary roles to the </w:t>
      </w:r>
      <w:r>
        <w:rPr>
          <w:rFonts w:ascii="Courier New" w:hAnsi="Courier New" w:eastAsia="Courier New" w:cs="Courier New"/>
          <w:color w:val="151618"/>
          <w:sz w:val="26"/>
        </w:rPr>
        <w:t xml:space="preserve">principalSet</w:t>
      </w:r>
      <w:r>
        <w:rPr>
          <w:rFonts w:ascii="Arial" w:hAnsi="Arial" w:eastAsia="Arial" w:cs="Arial"/>
          <w:color w:val="151618"/>
          <w:sz w:val="30"/>
        </w:rPr>
        <w:t xml:space="preserve">. This can be done either through the GCP Console UI or using the </w:t>
      </w:r>
      <w:r>
        <w:rPr>
          <w:rFonts w:ascii="Courier New" w:hAnsi="Courier New" w:eastAsia="Courier New" w:cs="Courier New"/>
          <w:color w:val="151618"/>
          <w:sz w:val="26"/>
        </w:rPr>
        <w:t xml:space="preserve">gcloud</w:t>
      </w:r>
      <w:r>
        <w:rPr>
          <w:rFonts w:ascii="Arial" w:hAnsi="Arial" w:eastAsia="Arial" w:cs="Arial"/>
          <w:color w:val="151618"/>
          <w:sz w:val="30"/>
        </w:rPr>
        <w:t xml:space="preserve"> command-line tool.</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Assign Roles via the UI: Navigate to the GCP service, select the appropriate resource, and add the </w:t>
      </w:r>
      <w:r>
        <w:rPr>
          <w:rFonts w:ascii="Courier New" w:hAnsi="Courier New" w:eastAsia="Courier New" w:cs="Courier New"/>
          <w:color w:val="151618"/>
          <w:sz w:val="26"/>
        </w:rPr>
        <w:t xml:space="preserve">principalSet</w:t>
      </w:r>
      <w:r>
        <w:rPr>
          <w:rFonts w:ascii="Arial" w:hAnsi="Arial" w:eastAsia="Arial" w:cs="Arial"/>
          <w:color w:val="151618"/>
          <w:sz w:val="30"/>
        </w:rPr>
        <w:t xml:space="preserve"> with the necessary roles in the permissions section.</w:t>
      </w:r>
      <w:r/>
    </w:p>
    <w:p>
      <w:pPr>
        <w:pBdr>
          <w:top w:val="none" w:color="000000" w:sz="4" w:space="0"/>
          <w:left w:val="none" w:color="000000" w:sz="4" w:space="0"/>
          <w:bottom w:val="none" w:color="000000" w:sz="4" w:space="0"/>
          <w:right w:val="none" w:color="000000" w:sz="4" w:space="0"/>
        </w:pBdr>
        <w:shd w:val="clear" w:color="f7f7f5" w:fill="f7f7f5"/>
        <w:spacing w:after="600" w:before="600" w:line="0"/>
        <w:ind w:right="0" w:firstLine="0" w:left="0"/>
        <w:jc w:val="center"/>
        <w:rPr/>
      </w:pPr>
      <w:r>
        <mc:AlternateContent>
          <mc:Choice Requires="wpg">
            <w:drawing>
              <wp:inline xmlns:wp="http://schemas.openxmlformats.org/drawingml/2006/wordprocessingDrawing" distT="0" distB="0" distL="0" distR="0">
                <wp:extent cx="5940425" cy="33414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0269" name=""/>
                        <pic:cNvPicPr>
                          <a:picLocks noChangeAspect="1"/>
                        </pic:cNvPicPr>
                        <pic:nvPr/>
                      </pic:nvPicPr>
                      <pic:blipFill>
                        <a:blip r:embed="rId13"/>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3.11pt;mso-wrap-distance-left:0.00pt;mso-wrap-distance-top:0.00pt;mso-wrap-distance-right:0.00pt;mso-wrap-distance-bottom:0.00pt;z-index:1;" stroked="false">
                <v:imagedata r:id="rId13"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Using the </w:t>
      </w:r>
      <w:r>
        <w:rPr>
          <w:rFonts w:ascii="Courier New" w:hAnsi="Courier New" w:eastAsia="Courier New" w:cs="Courier New"/>
          <w:color w:val="151618"/>
          <w:sz w:val="26"/>
        </w:rPr>
        <w:t xml:space="preserve">gcloud</w:t>
      </w:r>
      <w:r>
        <w:rPr>
          <w:rFonts w:ascii="Arial" w:hAnsi="Arial" w:eastAsia="Arial" w:cs="Arial"/>
          <w:color w:val="151618"/>
          <w:sz w:val="30"/>
        </w:rPr>
        <w:t xml:space="preserve"> CLI: You can also grant roles using the following command:</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000000"/>
          <w:highlight w:val="none"/>
        </w:rPr>
        <w:t xml:space="preserve">gcloud secrets add-iam-policy-binding </w:t>
      </w:r>
      <w:r>
        <w:rPr>
          <w:rFonts w:ascii="Consolas" w:hAnsi="Consolas" w:eastAsia="Consolas" w:cs="Consolas"/>
          <w:color w:val="669900"/>
          <w:sz w:val="23"/>
          <w:highlight w:val="none"/>
        </w:rPr>
        <w:t xml:space="preserve">"my-secret"</w:t>
      </w:r>
      <w:r>
        <w:rPr>
          <w:rFonts w:ascii="Consolas" w:hAnsi="Consolas" w:eastAsia="Consolas" w:cs="Consolas"/>
          <w:color w:val="000000"/>
          <w:highlight w:val="none"/>
        </w:rPr>
        <w:t xml:space="preserve">  </w:t>
      </w:r>
      <w:r>
        <w:rPr>
          <w:rFonts w:ascii="Consolas" w:hAnsi="Consolas" w:eastAsia="Consolas" w:cs="Consolas"/>
          <w:color w:val="ee9900"/>
          <w:sz w:val="23"/>
          <w:highlight w:val="none"/>
        </w:rPr>
        <w:t xml:space="preserve">--project</w:t>
      </w:r>
      <w:r>
        <w:rPr>
          <w:rFonts w:ascii="Consolas" w:hAnsi="Consolas" w:eastAsia="Consolas" w:cs="Consolas"/>
          <w:color w:val="9a6e3a"/>
          <w:sz w:val="23"/>
          <w:highlight w:val="none"/>
        </w:rPr>
        <w:t xml:space="preserve">=</w:t>
      </w:r>
      <w:r>
        <w:rPr>
          <w:rFonts w:ascii="Consolas" w:hAnsi="Consolas" w:eastAsia="Consolas" w:cs="Consolas"/>
          <w:color w:val="669900"/>
          <w:sz w:val="23"/>
          <w:highlight w:val="none"/>
        </w:rPr>
        <w:t xml:space="preserve">"&lt;ProjectName&gt;"</w:t>
      </w:r>
      <w:r>
        <w:rPr>
          <w:rFonts w:ascii="Consolas" w:hAnsi="Consolas" w:eastAsia="Consolas" w:cs="Consolas"/>
          <w:color w:val="000000"/>
          <w:highlight w:val="none"/>
        </w:rPr>
        <w:t xml:space="preserve"> </w:t>
      </w:r>
      <w:r>
        <w:rPr>
          <w:rFonts w:ascii="Consolas" w:hAnsi="Consolas" w:eastAsia="Consolas" w:cs="Consolas"/>
          <w:color w:val="ee9900"/>
          <w:sz w:val="23"/>
          <w:highlight w:val="none"/>
        </w:rPr>
        <w:t xml:space="preserve">--role</w:t>
      </w:r>
      <w:r>
        <w:rPr>
          <w:rFonts w:ascii="Consolas" w:hAnsi="Consolas" w:eastAsia="Consolas" w:cs="Consolas"/>
          <w:color w:val="9a6e3a"/>
          <w:sz w:val="23"/>
          <w:highlight w:val="none"/>
        </w:rPr>
        <w:t xml:space="preserve">=</w:t>
      </w:r>
      <w:r>
        <w:rPr>
          <w:rFonts w:ascii="Consolas" w:hAnsi="Consolas" w:eastAsia="Consolas" w:cs="Consolas"/>
          <w:color w:val="669900"/>
          <w:sz w:val="23"/>
          <w:highlight w:val="none"/>
        </w:rPr>
        <w:t xml:space="preserve">"roles/secretmanager.secretAccessor"</w:t>
      </w:r>
      <w:r>
        <w:rPr>
          <w:rFonts w:ascii="Consolas" w:hAnsi="Consolas" w:eastAsia="Consolas" w:cs="Consolas"/>
          <w:color w:val="000000"/>
          <w:highlight w:val="none"/>
        </w:rPr>
        <w:t xml:space="preserve"> </w:t>
      </w:r>
      <w:r>
        <w:rPr>
          <w:rFonts w:ascii="Consolas" w:hAnsi="Consolas" w:eastAsia="Consolas" w:cs="Consolas"/>
          <w:color w:val="ee9900"/>
          <w:sz w:val="23"/>
          <w:highlight w:val="none"/>
        </w:rPr>
        <w:t xml:space="preserve">--member</w:t>
      </w:r>
      <w:r>
        <w:rPr>
          <w:rFonts w:ascii="Consolas" w:hAnsi="Consolas" w:eastAsia="Consolas" w:cs="Consolas"/>
          <w:color w:val="9a6e3a"/>
          <w:sz w:val="23"/>
          <w:highlight w:val="none"/>
        </w:rPr>
        <w:t xml:space="preserve">=</w:t>
      </w:r>
      <w:r>
        <w:rPr>
          <w:rFonts w:ascii="Consolas" w:hAnsi="Consolas" w:eastAsia="Consolas" w:cs="Consolas"/>
          <w:color w:val="669900"/>
          <w:sz w:val="23"/>
          <w:highlight w:val="none"/>
        </w:rPr>
        <w:t xml:space="preserve">"principalSet://iam.googleapis.com/projects/&lt;ProjectID&gt;/locations/global/workloadIdentityPools/&lt;ProviderName&gt;/attribute.repository/&lt;GitHubName&gt;/&lt;RepositoryName&gt;"</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Service Availability: Not all GCP services support </w:t>
      </w:r>
      <w:r>
        <w:rPr>
          <w:rFonts w:ascii="Courier New" w:hAnsi="Courier New" w:eastAsia="Courier New" w:cs="Courier New"/>
          <w:color w:val="151618"/>
          <w:sz w:val="26"/>
        </w:rPr>
        <w:t xml:space="preserve">principalSet</w:t>
      </w:r>
      <w:r>
        <w:rPr>
          <w:rFonts w:ascii="Arial" w:hAnsi="Arial" w:eastAsia="Arial" w:cs="Arial"/>
          <w:color w:val="151618"/>
          <w:sz w:val="30"/>
        </w:rPr>
        <w:t xml:space="preserve"> directly. For services that do not, you will need to use a service account in conjunction with Workload Identity Federation.</w: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Understanding the Difference Between Principal and PrincipalSet</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Understanding the distinction between </w:t>
      </w:r>
      <w:r>
        <w:rPr>
          <w:rFonts w:ascii="Courier New" w:hAnsi="Courier New" w:eastAsia="Courier New" w:cs="Courier New"/>
          <w:color w:val="151618"/>
          <w:sz w:val="26"/>
        </w:rPr>
        <w:t xml:space="preserve">principal</w:t>
      </w:r>
      <w:r>
        <w:rPr>
          <w:rFonts w:ascii="Arial" w:hAnsi="Arial" w:eastAsia="Arial" w:cs="Arial"/>
          <w:color w:val="151618"/>
          <w:sz w:val="30"/>
        </w:rPr>
        <w:t xml:space="preserve"> and </w:t>
      </w:r>
      <w:r>
        <w:rPr>
          <w:rFonts w:ascii="Courier New" w:hAnsi="Courier New" w:eastAsia="Courier New" w:cs="Courier New"/>
          <w:color w:val="151618"/>
          <w:sz w:val="26"/>
        </w:rPr>
        <w:t xml:space="preserve">principalSet</w:t>
      </w:r>
      <w:r>
        <w:rPr>
          <w:rFonts w:ascii="Arial" w:hAnsi="Arial" w:eastAsia="Arial" w:cs="Arial"/>
          <w:color w:val="151618"/>
          <w:sz w:val="30"/>
        </w:rPr>
        <w:t xml:space="preserve"> is crucial for designing effective and secure access policies. These concepts define how identities are granted permissions to access resources, but they operate at different levels of granularity and flexibility.</w:t>
      </w:r>
      <w:r/>
    </w:p>
    <w:p>
      <w:pPr>
        <w:pStyle w:val="21"/>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Principal</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A </w:t>
      </w:r>
      <w:r>
        <w:rPr>
          <w:rFonts w:ascii="Courier New" w:hAnsi="Courier New" w:eastAsia="Courier New" w:cs="Courier New"/>
          <w:color w:val="151618"/>
          <w:sz w:val="26"/>
        </w:rPr>
        <w:t xml:space="preserve">principal</w:t>
      </w:r>
      <w:r>
        <w:rPr>
          <w:rFonts w:ascii="Arial" w:hAnsi="Arial" w:eastAsia="Arial" w:cs="Arial"/>
          <w:color w:val="151618"/>
          <w:sz w:val="30"/>
        </w:rPr>
        <w:t xml:space="preserve"> is a single identity that can be granted roles to access GCP resources. This identity can take several forms, including a user, service account, group, or domain. For example, a principal could be a specific user (</w:t>
      </w:r>
      <w:r>
        <w:rPr>
          <w:rFonts w:ascii="Courier New" w:hAnsi="Courier New" w:eastAsia="Courier New" w:cs="Courier New"/>
          <w:color w:val="151618"/>
          <w:sz w:val="26"/>
        </w:rPr>
        <w:t xml:space="preserve">user:alice@example.com</w:t>
      </w:r>
      <w:r>
        <w:rPr>
          <w:rFonts w:ascii="Arial" w:hAnsi="Arial" w:eastAsia="Arial" w:cs="Arial"/>
          <w:color w:val="151618"/>
          <w:sz w:val="30"/>
        </w:rPr>
        <w:t xml:space="preserve">), a service account (</w:t>
      </w:r>
      <w:r>
        <w:rPr>
          <w:rFonts w:ascii="Courier New" w:hAnsi="Courier New" w:eastAsia="Courier New" w:cs="Courier New"/>
          <w:color w:val="151618"/>
          <w:sz w:val="26"/>
        </w:rPr>
        <w:t xml:space="preserve">serviceAccount:my-service-account@my-project.iam.gserviceaccount.com</w:t>
      </w:r>
      <w:r>
        <w:rPr>
          <w:rFonts w:ascii="Arial" w:hAnsi="Arial" w:eastAsia="Arial" w:cs="Arial"/>
          <w:color w:val="151618"/>
          <w:sz w:val="30"/>
        </w:rPr>
        <w:t xml:space="preserve">), a group (</w:t>
      </w:r>
      <w:r>
        <w:rPr>
          <w:rFonts w:ascii="Courier New" w:hAnsi="Courier New" w:eastAsia="Courier New" w:cs="Courier New"/>
          <w:color w:val="151618"/>
          <w:sz w:val="26"/>
        </w:rPr>
        <w:t xml:space="preserve">group:admins@example.com</w:t>
      </w:r>
      <w:r>
        <w:rPr>
          <w:rFonts w:ascii="Arial" w:hAnsi="Arial" w:eastAsia="Arial" w:cs="Arial"/>
          <w:color w:val="151618"/>
          <w:sz w:val="30"/>
        </w:rPr>
        <w:t xml:space="preserve">), or an entire domain (</w:t>
      </w:r>
      <w:r>
        <w:rPr>
          <w:rFonts w:ascii="Courier New" w:hAnsi="Courier New" w:eastAsia="Courier New" w:cs="Courier New"/>
          <w:color w:val="151618"/>
          <w:sz w:val="26"/>
        </w:rPr>
        <w:t xml:space="preserve">domain:example.com</w:t>
      </w:r>
      <w:r>
        <w:rPr>
          <w:rFonts w:ascii="Arial" w:hAnsi="Arial" w:eastAsia="Arial" w:cs="Arial"/>
          <w:color w:val="151618"/>
          <w:sz w:val="30"/>
        </w:rPr>
        <w:t xml:space="preserve">). Principals are used when you want to grant permissions to specific, individual identities. This approach ensures tight control over access, as each identity must be explicitly defined.</w:t>
      </w:r>
      <w:r/>
    </w:p>
    <w:p>
      <w:pPr>
        <w:pStyle w:val="21"/>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PrincipalSet</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In contrast, a </w:t>
      </w:r>
      <w:r>
        <w:rPr>
          <w:rFonts w:ascii="Courier New" w:hAnsi="Courier New" w:eastAsia="Courier New" w:cs="Courier New"/>
          <w:color w:val="151618"/>
          <w:sz w:val="26"/>
        </w:rPr>
        <w:t xml:space="preserve">principalSet</w:t>
      </w:r>
      <w:r>
        <w:rPr>
          <w:rFonts w:ascii="Arial" w:hAnsi="Arial" w:eastAsia="Arial" w:cs="Arial"/>
          <w:color w:val="151618"/>
          <w:sz w:val="30"/>
        </w:rPr>
        <w:t xml:space="preserve"> is a collection of principals grouped together based on specific attributes or conditions. This concept allows you to define broader access policies that apply to multiple principals sharing common characteristics. PrincipalSets are particularly useful fo</w:t>
      </w:r>
      <w:r>
        <w:rPr>
          <w:rFonts w:ascii="Arial" w:hAnsi="Arial" w:eastAsia="Arial" w:cs="Arial"/>
          <w:color w:val="151618"/>
          <w:sz w:val="30"/>
        </w:rPr>
        <w:t xml:space="preserve">r federated identities, such as those coming from an external identity provider like GitHub Actions. For instance, a principalSet might be configured to include all identities from a particular GitHub repository using a workload identity pool (</w:t>
      </w:r>
      <w:r>
        <w:rPr>
          <w:rFonts w:ascii="Courier New" w:hAnsi="Courier New" w:eastAsia="Courier New" w:cs="Courier New"/>
          <w:color w:val="151618"/>
          <w:sz w:val="26"/>
        </w:rPr>
        <w:t xml:space="preserve">principalSet://iam.googleapis.com/projects/&lt;ProjectName&gt;/locations/global/workloadIdentityPools/&lt;ProviderName&gt;/attribute.repository/&lt;GitHubName&gt;/&lt;RepositoryName&gt;</w:t>
      </w:r>
      <w:r>
        <w:rPr>
          <w:rFonts w:ascii="Arial" w:hAnsi="Arial" w:eastAsia="Arial" w:cs="Arial"/>
          <w:color w:val="151618"/>
          <w:sz w:val="30"/>
        </w:rPr>
        <w:t xml:space="preserve">). This approach is more flexible than using individual principals, as it dynamically includes multiple identities based on the specified attributes.</w:t>
      </w:r>
      <w:r/>
    </w:p>
    <w:p>
      <w:pPr>
        <w:pStyle w:val="17"/>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Setup GitHub Actions Workflow</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Integrating GitHub Actions with GCP allows you to automate various tasks, such as retrieving secrets, which is essential for maintaining security and efficiency in your development workflow. This method ensures centralized and controlled access management,</w:t>
      </w:r>
      <w:r>
        <w:rPr>
          <w:rFonts w:ascii="Arial" w:hAnsi="Arial" w:eastAsia="Arial" w:cs="Arial"/>
          <w:color w:val="151618"/>
          <w:sz w:val="30"/>
        </w:rPr>
        <w:t xml:space="preserve"> reducing the risks associated with manual operations.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Here's the complete GitHub Actions workflow configuration:</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Deploy code to GCP  </w:t>
      </w:r>
      <w:r>
        <w:rPr>
          <w:rFonts w:ascii="Consolas" w:hAnsi="Consolas" w:eastAsia="Consolas" w:cs="Consolas"/>
          <w:color w:val="0077aa"/>
          <w:sz w:val="23"/>
          <w:highlight w:val="none"/>
        </w:rPr>
        <w:t xml:space="preserve">on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push</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branches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"main"</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pull_request</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branches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"main"</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workflow_dispatch</w:t>
      </w:r>
      <w:r>
        <w:rPr>
          <w:rFonts w:ascii="Consolas" w:hAnsi="Consolas" w:eastAsia="Consolas" w:cs="Consolas"/>
          <w:color w:val="999999"/>
          <w:sz w:val="23"/>
          <w:highlight w:val="none"/>
        </w:rPr>
        <w:t xml:space="preserve">:</w:t>
      </w:r>
      <w:r>
        <w:rPr>
          <w:rFonts w:ascii="Consolas" w:hAnsi="Consolas" w:eastAsia="Consolas" w:cs="Consolas"/>
          <w:color w:val="0077aa"/>
          <w:sz w:val="23"/>
          <w:highlight w:val="none"/>
        </w:rPr>
        <w:t xml:space="preserve">jobs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build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runs-on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ubuntu</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latest      </w:t>
      </w:r>
      <w:r>
        <w:rPr>
          <w:rFonts w:ascii="Consolas" w:hAnsi="Consolas" w:eastAsia="Consolas" w:cs="Consolas"/>
          <w:color w:val="0077aa"/>
          <w:sz w:val="23"/>
          <w:highlight w:val="none"/>
        </w:rPr>
        <w:t xml:space="preserve">permissions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id-token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write       </w:t>
      </w:r>
      <w:r>
        <w:rPr>
          <w:rFonts w:ascii="Consolas" w:hAnsi="Consolas" w:eastAsia="Consolas" w:cs="Consolas"/>
          <w:color w:val="0077aa"/>
          <w:sz w:val="23"/>
          <w:highlight w:val="none"/>
        </w:rPr>
        <w:t xml:space="preserve">contents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read      </w:t>
      </w:r>
      <w:r>
        <w:rPr>
          <w:rFonts w:ascii="Consolas" w:hAnsi="Consolas" w:eastAsia="Consolas" w:cs="Consolas"/>
          <w:color w:val="0077aa"/>
          <w:sz w:val="23"/>
          <w:highlight w:val="none"/>
        </w:rPr>
        <w:t xml:space="preserve">steps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'Checkout code'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'actions/checkout@v2'</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'Authenticate with GCP'</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id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auth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'google-github-actions/auth@v2'</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with</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project_id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'security-alexanderhose'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workload_identity_provider</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'projects/243190957191/locations/global/workloadIdentityPools/github-actions-provider/providers/github-actions-pool'</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'Set up Cloud SDK'</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'google-github-actions/setup-gcloud@v2'</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'Describe Secrets'</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run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gcloud secrets describe "my-secret" --project="security-alexanderhose"</w: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rFonts w:ascii="Arial" w:hAnsi="Arial" w:eastAsia="Arial" w:cs="Arial"/>
        </w:rPr>
      </w:pPr>
      <w:r>
        <w:rPr>
          <w:rFonts w:ascii="Arial" w:hAnsi="Arial" w:eastAsia="Arial" w:cs="Arial"/>
          <w:color w:val="151618"/>
          <w:highlight w:val="none"/>
        </w:rPr>
      </w:r>
      <w:r>
        <w:rPr>
          <w:rFonts w:ascii="Arial" w:hAnsi="Arial" w:eastAsia="Arial" w:cs="Arial"/>
          <w:color w:val="151618"/>
          <w:highlight w:val="none"/>
        </w:rP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rFonts w:ascii="Arial" w:hAnsi="Arial" w:eastAsia="Arial" w:cs="Arial"/>
          <w:color w:val="151618"/>
          <w:highlight w:val="none"/>
        </w:rPr>
      </w:pPr>
      <w:r>
        <w:rPr>
          <w:rFonts w:ascii="Arial" w:hAnsi="Arial" w:eastAsia="Arial" w:cs="Arial"/>
          <w:color w:val="151618"/>
        </w:rPr>
        <w:t xml:space="preserve">Detailed Breakdown of the Workflow</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The workflow is configured to run on several triggers:</w:t>
      </w:r>
      <w:r/>
    </w:p>
    <w:p>
      <w:pPr>
        <w:pStyle w:val="621"/>
        <w:numPr>
          <w:ilvl w:val="0"/>
          <w:numId w:val="3"/>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Push: Triggers the workflow on pushes to the </w:t>
      </w:r>
      <w:r>
        <w:rPr>
          <w:rFonts w:ascii="Courier New" w:hAnsi="Courier New" w:eastAsia="Courier New" w:cs="Courier New"/>
          <w:color w:val="151618"/>
          <w:sz w:val="26"/>
        </w:rPr>
        <w:t xml:space="preserve">main</w:t>
      </w:r>
      <w:r>
        <w:rPr>
          <w:rFonts w:ascii="Arial" w:hAnsi="Arial" w:eastAsia="Arial" w:cs="Arial"/>
          <w:color w:val="151618"/>
          <w:sz w:val="30"/>
        </w:rPr>
        <w:t xml:space="preserve"> branch.</w:t>
      </w:r>
      <w:r/>
    </w:p>
    <w:p>
      <w:pPr>
        <w:pStyle w:val="621"/>
        <w:numPr>
          <w:ilvl w:val="0"/>
          <w:numId w:val="3"/>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Pull Request: Triggers the workflow on pull request events targeting the </w:t>
      </w:r>
      <w:r>
        <w:rPr>
          <w:rFonts w:ascii="Courier New" w:hAnsi="Courier New" w:eastAsia="Courier New" w:cs="Courier New"/>
          <w:color w:val="151618"/>
          <w:sz w:val="26"/>
        </w:rPr>
        <w:t xml:space="preserve">main</w:t>
      </w:r>
      <w:r>
        <w:rPr>
          <w:rFonts w:ascii="Arial" w:hAnsi="Arial" w:eastAsia="Arial" w:cs="Arial"/>
          <w:color w:val="151618"/>
          <w:sz w:val="30"/>
        </w:rPr>
        <w:t xml:space="preserve"> branch.</w:t>
      </w:r>
      <w:r/>
    </w:p>
    <w:p>
      <w:pPr>
        <w:pStyle w:val="621"/>
        <w:numPr>
          <w:ilvl w:val="0"/>
          <w:numId w:val="3"/>
        </w:numPr>
        <w:pBdr>
          <w:top w:val="none" w:color="000000" w:sz="4" w:space="0"/>
          <w:left w:val="none" w:color="000000" w:sz="4" w:space="0"/>
          <w:bottom w:val="none" w:color="000000" w:sz="4" w:space="0"/>
          <w:right w:val="none" w:color="000000" w:sz="4" w:space="0"/>
        </w:pBdr>
        <w:spacing w:after="150"/>
        <w:ind w:right="0"/>
        <w:rPr/>
      </w:pPr>
      <w:r>
        <w:rPr>
          <w:rFonts w:ascii="Arial" w:hAnsi="Arial" w:eastAsia="Arial" w:cs="Arial"/>
          <w:color w:val="151618"/>
          <w:sz w:val="30"/>
        </w:rPr>
        <w:t xml:space="preserve">Manual Trigger: Allows the workflow to be triggered manually from the Actions tab in GitHub.</w:t>
      </w:r>
      <w:r/>
    </w:p>
    <w:p>
      <w:pPr>
        <w:pStyle w:val="21"/>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Job Configuration</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The workflow contains a single job named </w:t>
      </w:r>
      <w:r>
        <w:rPr>
          <w:rFonts w:ascii="Courier New" w:hAnsi="Courier New" w:eastAsia="Courier New" w:cs="Courier New"/>
          <w:color w:val="151618"/>
          <w:sz w:val="26"/>
        </w:rPr>
        <w:t xml:space="preserve">build</w:t>
      </w:r>
      <w:r>
        <w:rPr>
          <w:rFonts w:ascii="Arial" w:hAnsi="Arial" w:eastAsia="Arial" w:cs="Arial"/>
          <w:color w:val="151618"/>
          <w:sz w:val="30"/>
        </w:rPr>
        <w:t xml:space="preserve">, which runs on an </w:t>
      </w:r>
      <w:r>
        <w:rPr>
          <w:rFonts w:ascii="Courier New" w:hAnsi="Courier New" w:eastAsia="Courier New" w:cs="Courier New"/>
          <w:color w:val="151618"/>
          <w:sz w:val="26"/>
        </w:rPr>
        <w:t xml:space="preserve">ubuntu-latest</w:t>
      </w:r>
      <w:r>
        <w:rPr>
          <w:rFonts w:ascii="Arial" w:hAnsi="Arial" w:eastAsia="Arial" w:cs="Arial"/>
          <w:color w:val="151618"/>
          <w:sz w:val="30"/>
        </w:rPr>
        <w:t xml:space="preserve"> runner. The job requires permissions to write ID tokens and read repository contents.</w:t>
      </w:r>
      <w:r/>
    </w:p>
    <w:p>
      <w:pPr>
        <w:pStyle w:val="21"/>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Steps in the Workflow</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Checkout Code: This step uses the </w:t>
      </w:r>
      <w:r>
        <w:rPr>
          <w:rFonts w:ascii="Courier New" w:hAnsi="Courier New" w:eastAsia="Courier New" w:cs="Courier New"/>
          <w:color w:val="151618"/>
          <w:sz w:val="26"/>
        </w:rPr>
        <w:t xml:space="preserve">actions/checkout@v2</w:t>
      </w:r>
      <w:r>
        <w:rPr>
          <w:rFonts w:ascii="Arial" w:hAnsi="Arial" w:eastAsia="Arial" w:cs="Arial"/>
          <w:color w:val="151618"/>
          <w:sz w:val="30"/>
        </w:rPr>
        <w:t xml:space="preserve"> action to clone the repository, ensuring that the latest code is available for the workflow</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'Checkout code'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'actions/checkout@v2</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Authenticate with GCP: This step uses the </w:t>
      </w:r>
      <w:r>
        <w:rPr>
          <w:rFonts w:ascii="Courier New" w:hAnsi="Courier New" w:eastAsia="Courier New" w:cs="Courier New"/>
          <w:color w:val="151618"/>
          <w:sz w:val="26"/>
        </w:rPr>
        <w:t xml:space="preserve">google-github-actions/auth@v2</w:t>
      </w:r>
      <w:r>
        <w:rPr>
          <w:rFonts w:ascii="Arial" w:hAnsi="Arial" w:eastAsia="Arial" w:cs="Arial"/>
          <w:color w:val="151618"/>
          <w:sz w:val="30"/>
        </w:rPr>
        <w:t xml:space="preserve"> action to authenticate with GCP using Workload Identity Federation. This step requires the project ID and the workload identity provider details.</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'Authenticate with GCP'</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id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auth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'google-github-actions/auth@v2'</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with</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project_id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'security-alexanderhose'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workload_identity_provider</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'projects/243190957191/locations/global/workloadIdentityPools/github-actions-provider/providers/github-actions-pool'</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Set Up Cloud SDK: This step uses the </w:t>
      </w:r>
      <w:r>
        <w:rPr>
          <w:rFonts w:ascii="Courier New" w:hAnsi="Courier New" w:eastAsia="Courier New" w:cs="Courier New"/>
          <w:color w:val="151618"/>
          <w:sz w:val="26"/>
        </w:rPr>
        <w:t xml:space="preserve">google-github-actions/setup-gcloud@v2</w:t>
      </w:r>
      <w:r>
        <w:rPr>
          <w:rFonts w:ascii="Arial" w:hAnsi="Arial" w:eastAsia="Arial" w:cs="Arial"/>
          <w:color w:val="151618"/>
          <w:sz w:val="30"/>
        </w:rPr>
        <w:t xml:space="preserve"> action to set up the Google Cloud SDK, enabling the use of </w:t>
      </w:r>
      <w:r>
        <w:rPr>
          <w:rFonts w:ascii="Courier New" w:hAnsi="Courier New" w:eastAsia="Courier New" w:cs="Courier New"/>
          <w:color w:val="151618"/>
          <w:sz w:val="26"/>
        </w:rPr>
        <w:t xml:space="preserve">gcloud</w:t>
      </w:r>
      <w:r>
        <w:rPr>
          <w:rFonts w:ascii="Arial" w:hAnsi="Arial" w:eastAsia="Arial" w:cs="Arial"/>
          <w:color w:val="151618"/>
          <w:sz w:val="30"/>
        </w:rPr>
        <w:t xml:space="preserve"> commands in subsequent steps.</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'Set up Cloud SDK'</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uses</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'google-github-actions/setup-gcloud@v2'</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Describe Secrets: This step runs a </w:t>
      </w:r>
      <w:r>
        <w:rPr>
          <w:rFonts w:ascii="Courier New" w:hAnsi="Courier New" w:eastAsia="Courier New" w:cs="Courier New"/>
          <w:color w:val="151618"/>
          <w:sz w:val="26"/>
        </w:rPr>
        <w:t xml:space="preserve">gcloud</w:t>
      </w:r>
      <w:r>
        <w:rPr>
          <w:rFonts w:ascii="Arial" w:hAnsi="Arial" w:eastAsia="Arial" w:cs="Arial"/>
          <w:color w:val="151618"/>
          <w:sz w:val="30"/>
        </w:rPr>
        <w:t xml:space="preserve"> command to describe a secret in Google Cloud Secret Manager. It retrieves the details of the secret named </w:t>
      </w:r>
      <w:r>
        <w:rPr>
          <w:rFonts w:ascii="Courier New" w:hAnsi="Courier New" w:eastAsia="Courier New" w:cs="Courier New"/>
          <w:color w:val="151618"/>
          <w:sz w:val="26"/>
        </w:rPr>
        <w:t xml:space="preserve">my-secret</w:t>
      </w:r>
      <w:r>
        <w:rPr>
          <w:rFonts w:ascii="Arial" w:hAnsi="Arial" w:eastAsia="Arial" w:cs="Arial"/>
          <w:color w:val="151618"/>
          <w:sz w:val="30"/>
        </w:rPr>
        <w:t xml:space="preserve"> in the specified project.</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'Describe Secrets'</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run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gcloud secrets describe "my-secret" --project="security-alexanderhose"</w:t>
      </w:r>
      <w:r/>
    </w:p>
    <w:p>
      <w:pPr>
        <w:pStyle w:val="19"/>
        <w:pBdr>
          <w:top w:val="none" w:color="000000" w:sz="4" w:space="0"/>
          <w:left w:val="none" w:color="000000" w:sz="4" w:space="0"/>
          <w:bottom w:val="none" w:color="000000" w:sz="4" w:space="0"/>
          <w:right w:val="none" w:color="000000" w:sz="4" w:space="0"/>
        </w:pBdr>
        <w:shd w:val="clear" w:color="f7f7f5" w:fill="f7f7f5"/>
        <w:spacing w:after="150" w:line="372"/>
        <w:ind w:right="0" w:firstLine="0" w:left="0"/>
        <w:rPr/>
      </w:pPr>
      <w:r>
        <w:rPr>
          <w:rFonts w:ascii="Arial" w:hAnsi="Arial" w:eastAsia="Arial" w:cs="Arial"/>
          <w:color w:val="151618"/>
        </w:rPr>
        <w:t xml:space="preserve">Debugging OIDC Tokens</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To ensure the OIDC token setup works correctly, you can add a debugging step to print the OIDC token. This should be done temporarily and removed after verification to avoid exposing sensitive information.</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name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'Print OIDC Token'</w:t>
      </w:r>
      <w:r>
        <w:rPr>
          <w:rFonts w:ascii="Consolas" w:hAnsi="Consolas" w:eastAsia="Consolas" w:cs="Consolas"/>
          <w:color w:val="000000"/>
          <w:highlight w:val="none"/>
        </w:rPr>
        <w:t xml:space="preserve">   </w:t>
      </w:r>
      <w:r>
        <w:rPr>
          <w:rFonts w:ascii="Consolas" w:hAnsi="Consolas" w:eastAsia="Consolas" w:cs="Consolas"/>
          <w:color w:val="0077aa"/>
          <w:sz w:val="23"/>
          <w:highlight w:val="none"/>
        </w:rPr>
        <w:t xml:space="preserve">run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9999"/>
          <w:sz w:val="23"/>
          <w:highlight w:val="none"/>
        </w:rPr>
        <w:t xml:space="preserve">|</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echo "Retrieving OIDC Token..."</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TOKEN=$(curl -s -H "Authorization: Bearer $ACTIONS_ID_TOKEN_REQUEST_TOKEN" "$ACTIONS_ID_TOKEN_REQUEST_URL" | jq -r .value)</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echo "OIDC Token: $TOKEN"</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echo "Decoded Token:"</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669900"/>
          <w:sz w:val="23"/>
          <w:highlight w:val="none"/>
        </w:rPr>
        <w:t xml:space="preserve">    echo $TOKEN | cut -d '.' -f2 | base64 --decode | jq .</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This debugging step helps you verify that the authentication process is working correctly by displaying the OIDC token and its decoded content. A sample token would look like this:</w:t>
      </w:r>
      <w:r/>
    </w:p>
    <w:p>
      <w:pPr>
        <w:pBdr>
          <w:top w:val="none" w:color="000000" w:sz="4" w:space="0"/>
          <w:left w:val="none" w:color="000000" w:sz="4" w:space="0"/>
          <w:bottom w:val="none" w:color="000000" w:sz="4" w:space="0"/>
          <w:right w:val="none" w:color="000000" w:sz="4" w:space="0"/>
        </w:pBdr>
        <w:shd w:val="clear" w:color="f5f2f0" w:fill="f5f2f0"/>
        <w:spacing w:line="360"/>
        <w:ind w:right="0" w:firstLine="0" w:left="0"/>
        <w:rPr/>
      </w:pP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"jti"</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"f11937de-d4a9-463e-8170-b6eefd034d43"</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"sub"</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"repo:AlexanderHose/gcp-deployment:ref:refs/heads/main"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"aud"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"https://github.com/AlexanderHose"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"refs/heads/main"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"sha"</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"355243140d9a50cf2e275f89114174d123e349e0"</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"repository"</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"AlexanderHose/gcp-deployment"</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"repository_owner"</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"AlexanderHose"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"repository_owner_id"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"12799633"</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"run_id"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"10237897672"</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"run_number"</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"11"</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"run_attempt"</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"1"</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"repository_visibility"</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"private"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"repository_id"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"834791668"</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"actor_id"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"12799633"</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"actor"</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"AlexanderHose"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"workflow"</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"Deploy code to GCP"</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"head_ref"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"base_ref"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"event_name"</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"push"</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"ref_protected"</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"false"</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"ref_type"</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"branch"</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"workflow_ref"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"AlexanderHose/gcp-deployment/.github/workflows/gcp-terraform.yml@refs/heads/main"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"workflow_sha"</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"355243140d9a50cf2e275f89114174d123e349e0"</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"job_workflow_ref"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"AlexanderHose/gcp-deployment/.github/workflows/gcp-terraform.yml@refs/heads/main"</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"job_workflow_sha"</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"355243140d9a50cf2e275f89114174d123e349e0"</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"runner_environment"</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"github-hosted"</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"iss"</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669900"/>
          <w:sz w:val="23"/>
          <w:highlight w:val="none"/>
        </w:rPr>
        <w:t xml:space="preserve">"https://token.actions.githubusercontent.com"</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"nbf"</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1722790588</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"exp"</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1722791488</w:t>
      </w:r>
      <w:r>
        <w:rPr>
          <w:rFonts w:ascii="Consolas" w:hAnsi="Consolas" w:eastAsia="Consolas" w:cs="Consolas"/>
          <w:color w:val="999999"/>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"iat"</w:t>
      </w:r>
      <w:r>
        <w:rPr>
          <w:rFonts w:ascii="Consolas" w:hAnsi="Consolas" w:eastAsia="Consolas" w:cs="Consolas"/>
          <w:color w:val="9a6e3a"/>
          <w:sz w:val="23"/>
          <w:highlight w:val="none"/>
        </w:rPr>
        <w:t xml:space="preserve">:</w:t>
      </w:r>
      <w:r>
        <w:rPr>
          <w:rFonts w:ascii="Consolas" w:hAnsi="Consolas" w:eastAsia="Consolas" w:cs="Consolas"/>
          <w:color w:val="000000"/>
          <w:highlight w:val="none"/>
        </w:rPr>
        <w:t xml:space="preserve"> </w:t>
      </w:r>
      <w:r>
        <w:rPr>
          <w:rFonts w:ascii="Consolas" w:hAnsi="Consolas" w:eastAsia="Consolas" w:cs="Consolas"/>
          <w:color w:val="990055"/>
          <w:sz w:val="23"/>
          <w:highlight w:val="none"/>
        </w:rPr>
        <w:t xml:space="preserve">1722791188</w:t>
      </w:r>
      <w:r>
        <w:rPr>
          <w:rFonts w:ascii="Consolas" w:hAnsi="Consolas" w:eastAsia="Consolas" w:cs="Consolas"/>
          <w:color w:val="999999"/>
          <w:sz w:val="23"/>
          <w:highlight w:val="none"/>
        </w:rPr>
        <w:t xml:space="preserve">}</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After setting up your workflow, running it successfully will result in a series of green checkmarks in the Actions tab of your GitHub repository. Below is a screenshot showing a successful run of the pipeline, which includes the steps for checking out the </w:t>
      </w:r>
      <w:r>
        <w:rPr>
          <w:rFonts w:ascii="Arial" w:hAnsi="Arial" w:eastAsia="Arial" w:cs="Arial"/>
          <w:color w:val="151618"/>
          <w:sz w:val="30"/>
        </w:rPr>
        <w:t xml:space="preserve">code, authenticating with GCP, setting up the Cloud SDK, and describing the secret.</w:t>
      </w:r>
      <w:r/>
    </w:p>
    <w:p>
      <w:pPr>
        <w:pBdr>
          <w:top w:val="none" w:color="000000" w:sz="4" w:space="0"/>
          <w:left w:val="none" w:color="000000" w:sz="4" w:space="0"/>
          <w:bottom w:val="none" w:color="000000" w:sz="4" w:space="0"/>
          <w:right w:val="none" w:color="000000" w:sz="4" w:space="0"/>
        </w:pBdr>
        <w:shd w:val="clear" w:color="f7f7f5" w:fill="f7f7f5"/>
        <w:spacing w:after="600" w:before="600" w:line="0"/>
        <w:ind w:right="0" w:firstLine="0" w:left="0"/>
        <w:jc w:val="center"/>
        <w:rPr/>
      </w:pPr>
      <w:r>
        <mc:AlternateContent>
          <mc:Choice Requires="wpg">
            <w:drawing>
              <wp:inline xmlns:wp="http://schemas.openxmlformats.org/drawingml/2006/wordprocessingDrawing" distT="0" distB="0" distL="0" distR="0">
                <wp:extent cx="5940425" cy="334148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0476" name=""/>
                        <pic:cNvPicPr>
                          <a:picLocks noChangeAspect="1"/>
                        </pic:cNvPicPr>
                        <pic:nvPr/>
                      </pic:nvPicPr>
                      <pic:blipFill>
                        <a:blip r:embed="rId14"/>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63.11pt;mso-wrap-distance-left:0.00pt;mso-wrap-distance-top:0.00pt;mso-wrap-distance-right:0.00pt;mso-wrap-distance-bottom:0.00pt;z-index:1;" stroked="false">
                <v:imagedata r:id="rId14" o:title=""/>
                <o:lock v:ext="edit" rotation="t"/>
              </v:shape>
            </w:pict>
          </mc:Fallback>
        </mc:AlternateContent>
      </w:r>
      <w:r/>
    </w:p>
    <w:p>
      <w:pPr>
        <w:pStyle w:val="17"/>
        <w:pBdr>
          <w:top w:val="none" w:color="000000" w:sz="4" w:space="0"/>
          <w:left w:val="none" w:color="000000" w:sz="4" w:space="0"/>
          <w:bottom w:val="none" w:color="000000" w:sz="4" w:space="0"/>
          <w:right w:val="none" w:color="000000" w:sz="4" w:space="0"/>
        </w:pBdr>
        <w:shd w:val="clear" w:color="f7f7f5" w:fill="f7f7f5"/>
        <w:spacing w:after="270" w:line="336"/>
        <w:ind w:right="0" w:firstLine="0" w:left="-15"/>
        <w:rPr/>
      </w:pPr>
      <w:r>
        <w:rPr>
          <w:rFonts w:ascii="Arial" w:hAnsi="Arial" w:eastAsia="Arial" w:cs="Arial"/>
          <w:color w:val="151618"/>
        </w:rPr>
        <w:t xml:space="preserve">Conclusion 🎓</w:t>
      </w:r>
      <w:r/>
    </w:p>
    <w:p>
      <w:pPr>
        <w:pBdr>
          <w:top w:val="none" w:color="000000" w:sz="4" w:space="0"/>
          <w:left w:val="none" w:color="000000" w:sz="4" w:space="0"/>
          <w:bottom w:val="none" w:color="000000" w:sz="4" w:space="0"/>
          <w:right w:val="none" w:color="000000" w:sz="4" w:space="0"/>
        </w:pBdr>
        <w:shd w:val="clear" w:color="f7f7f5" w:fill="f7f7f5"/>
        <w:spacing w:after="450" w:before="0" w:line="389"/>
        <w:ind w:right="0" w:firstLine="0" w:left="0"/>
        <w:rPr/>
      </w:pPr>
      <w:r>
        <w:rPr>
          <w:rFonts w:ascii="Arial" w:hAnsi="Arial" w:eastAsia="Arial" w:cs="Arial"/>
          <w:color w:val="151618"/>
          <w:sz w:val="30"/>
        </w:rPr>
        <w:t xml:space="preserve">This GitHub Actions workflow centralizes and automates the retrieval of secrets from GCP, enhancing security and efficiency by leveraging Workload Identity Federation. This approach mitigates the risks associated with manual operations and ensures a stream</w:t>
      </w:r>
      <w:r>
        <w:rPr>
          <w:rFonts w:ascii="Arial" w:hAnsi="Arial" w:eastAsia="Arial" w:cs="Arial"/>
          <w:color w:val="151618"/>
          <w:sz w:val="30"/>
        </w:rPr>
        <w:t xml:space="preserve">lined, secure workflow, aligning with best practices for modern DevOps processes. Moreover, the same principles and configurations can be extended to deploy code to GCP, providing a robust and scalable solution for CI/CD pipelines.</w:t>
      </w:r>
      <w:r/>
    </w:p>
    <w:p>
      <w:pPr>
        <w:pBdr/>
        <w:spacing/>
        <w:ind/>
        <w:rPr/>
      </w:pPr>
      <w:r/>
      <w:r/>
    </w:p>
    <w:sectPr>
      <w:footnotePr/>
      <w:endnotePr/>
      <w:type w:val="nextPage"/>
      <w:pgSz w:h="16838" w:orient="landscape"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Arial" w:hAnsi="Arial" w:eastAsia="Arial" w:cs="Arial"/>
        <w:color w:val="151618"/>
        <w:sz w:val="30"/>
      </w:rPr>
      <w:start w:val="1"/>
      <w:suff w:val="space"/>
    </w:lvl>
    <w:lvl w:ilvl="1">
      <w:isLgl w:val="false"/>
      <w:lvlJc w:val="right"/>
      <w:lvlText w:val="%2."/>
      <w:numFmt w:val="decimal"/>
      <w:pPr>
        <w:pBdr/>
        <w:spacing/>
        <w:ind w:hanging="360" w:left="1429"/>
      </w:pPr>
      <w:rPr/>
      <w:start w:val="1"/>
      <w:suff w:val="space"/>
    </w:lvl>
    <w:lvl w:ilvl="2">
      <w:isLgl w:val="false"/>
      <w:lvlJc w:val="right"/>
      <w:lvlText w:val="%3."/>
      <w:numFmt w:val="decimal"/>
      <w:pPr>
        <w:pBdr/>
        <w:spacing/>
        <w:ind w:hanging="180" w:left="2149"/>
      </w:pPr>
      <w:rPr/>
      <w:start w:val="1"/>
      <w:suff w:val="space"/>
    </w:lvl>
    <w:lvl w:ilvl="3">
      <w:isLgl w:val="false"/>
      <w:lvlJc w:val="right"/>
      <w:lvlText w:val="%4."/>
      <w:numFmt w:val="decimal"/>
      <w:pPr>
        <w:pBdr/>
        <w:spacing/>
        <w:ind w:hanging="360" w:left="2869"/>
      </w:pPr>
      <w:rPr/>
      <w:start w:val="1"/>
      <w:suff w:val="space"/>
    </w:lvl>
    <w:lvl w:ilvl="4">
      <w:isLgl w:val="false"/>
      <w:lvlJc w:val="right"/>
      <w:lvlText w:val="%5."/>
      <w:numFmt w:val="decimal"/>
      <w:pPr>
        <w:pBdr/>
        <w:spacing/>
        <w:ind w:hanging="360" w:left="3589"/>
      </w:pPr>
      <w:rPr/>
      <w:start w:val="1"/>
      <w:suff w:val="space"/>
    </w:lvl>
    <w:lvl w:ilvl="5">
      <w:isLgl w:val="false"/>
      <w:lvlJc w:val="right"/>
      <w:lvlText w:val="%6."/>
      <w:numFmt w:val="decimal"/>
      <w:pPr>
        <w:pBdr/>
        <w:spacing/>
        <w:ind w:hanging="180" w:left="4309"/>
      </w:pPr>
      <w:rPr/>
      <w:start w:val="1"/>
      <w:suff w:val="space"/>
    </w:lvl>
    <w:lvl w:ilvl="6">
      <w:isLgl w:val="false"/>
      <w:lvlJc w:val="right"/>
      <w:lvlText w:val="%7."/>
      <w:numFmt w:val="decimal"/>
      <w:pPr>
        <w:pBdr/>
        <w:spacing/>
        <w:ind w:hanging="360" w:left="5029"/>
      </w:pPr>
      <w:rPr/>
      <w:start w:val="1"/>
      <w:suff w:val="space"/>
    </w:lvl>
    <w:lvl w:ilvl="7">
      <w:isLgl w:val="false"/>
      <w:lvlJc w:val="right"/>
      <w:lvlText w:val="%8."/>
      <w:numFmt w:val="decimal"/>
      <w:pPr>
        <w:pBdr/>
        <w:spacing/>
        <w:ind w:hanging="360" w:left="5749"/>
      </w:pPr>
      <w:rPr/>
      <w:start w:val="1"/>
      <w:suff w:val="space"/>
    </w:lvl>
    <w:lvl w:ilvl="8">
      <w:isLgl w:val="false"/>
      <w:lvlJc w:val="right"/>
      <w:lvlText w:val="%9."/>
      <w:numFmt w:val="decimal"/>
      <w:pPr>
        <w:pBdr/>
        <w:spacing/>
        <w:ind w:hanging="180" w:left="6469"/>
      </w:pPr>
      <w:rPr/>
      <w:start w:val="1"/>
      <w:suff w:val="space"/>
    </w:lvl>
  </w:abstractNum>
  <w:abstractNum w:abstractNumId="1">
    <w:lvl w:ilvl="0">
      <w:isLgl w:val="false"/>
      <w:lvlJc w:val="right"/>
      <w:lvlText w:val="%1."/>
      <w:numFmt w:val="decimal"/>
      <w:pPr>
        <w:pBdr/>
        <w:spacing/>
        <w:ind w:hanging="360" w:left="709"/>
      </w:pPr>
      <w:rPr>
        <w:rFonts w:ascii="Arial" w:hAnsi="Arial" w:eastAsia="Arial" w:cs="Arial"/>
        <w:color w:val="151618"/>
        <w:sz w:val="30"/>
      </w:rPr>
      <w:start w:val="1"/>
      <w:suff w:val="space"/>
    </w:lvl>
    <w:lvl w:ilvl="1">
      <w:isLgl w:val="false"/>
      <w:lvlJc w:val="right"/>
      <w:lvlText w:val="%2."/>
      <w:numFmt w:val="decimal"/>
      <w:pPr>
        <w:pBdr/>
        <w:spacing/>
        <w:ind w:hanging="360" w:left="1429"/>
      </w:pPr>
      <w:rPr/>
      <w:start w:val="1"/>
      <w:suff w:val="space"/>
    </w:lvl>
    <w:lvl w:ilvl="2">
      <w:isLgl w:val="false"/>
      <w:lvlJc w:val="right"/>
      <w:lvlText w:val="%3."/>
      <w:numFmt w:val="decimal"/>
      <w:pPr>
        <w:pBdr/>
        <w:spacing/>
        <w:ind w:hanging="180" w:left="2149"/>
      </w:pPr>
      <w:rPr/>
      <w:start w:val="1"/>
      <w:suff w:val="space"/>
    </w:lvl>
    <w:lvl w:ilvl="3">
      <w:isLgl w:val="false"/>
      <w:lvlJc w:val="right"/>
      <w:lvlText w:val="%4."/>
      <w:numFmt w:val="decimal"/>
      <w:pPr>
        <w:pBdr/>
        <w:spacing/>
        <w:ind w:hanging="360" w:left="2869"/>
      </w:pPr>
      <w:rPr/>
      <w:start w:val="1"/>
      <w:suff w:val="space"/>
    </w:lvl>
    <w:lvl w:ilvl="4">
      <w:isLgl w:val="false"/>
      <w:lvlJc w:val="right"/>
      <w:lvlText w:val="%5."/>
      <w:numFmt w:val="decimal"/>
      <w:pPr>
        <w:pBdr/>
        <w:spacing/>
        <w:ind w:hanging="360" w:left="3589"/>
      </w:pPr>
      <w:rPr/>
      <w:start w:val="1"/>
      <w:suff w:val="space"/>
    </w:lvl>
    <w:lvl w:ilvl="5">
      <w:isLgl w:val="false"/>
      <w:lvlJc w:val="right"/>
      <w:lvlText w:val="%6."/>
      <w:numFmt w:val="decimal"/>
      <w:pPr>
        <w:pBdr/>
        <w:spacing/>
        <w:ind w:hanging="180" w:left="4309"/>
      </w:pPr>
      <w:rPr/>
      <w:start w:val="1"/>
      <w:suff w:val="space"/>
    </w:lvl>
    <w:lvl w:ilvl="6">
      <w:isLgl w:val="false"/>
      <w:lvlJc w:val="right"/>
      <w:lvlText w:val="%7."/>
      <w:numFmt w:val="decimal"/>
      <w:pPr>
        <w:pBdr/>
        <w:spacing/>
        <w:ind w:hanging="360" w:left="5029"/>
      </w:pPr>
      <w:rPr/>
      <w:start w:val="1"/>
      <w:suff w:val="space"/>
    </w:lvl>
    <w:lvl w:ilvl="7">
      <w:isLgl w:val="false"/>
      <w:lvlJc w:val="right"/>
      <w:lvlText w:val="%8."/>
      <w:numFmt w:val="decimal"/>
      <w:pPr>
        <w:pBdr/>
        <w:spacing/>
        <w:ind w:hanging="360" w:left="5749"/>
      </w:pPr>
      <w:rPr/>
      <w:start w:val="1"/>
      <w:suff w:val="space"/>
    </w:lvl>
    <w:lvl w:ilvl="8">
      <w:isLgl w:val="false"/>
      <w:lvlJc w:val="right"/>
      <w:lvlText w:val="%9."/>
      <w:numFmt w:val="decimal"/>
      <w:pPr>
        <w:pBdr/>
        <w:spacing/>
        <w:ind w:hanging="180" w:left="6469"/>
      </w:pPr>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color w:val="151618"/>
        <w:sz w:val="30"/>
      </w:rPr>
      <w:start w:val="1"/>
      <w:suff w:val="space"/>
    </w:lvl>
    <w:lvl w:ilvl="1">
      <w:isLgl w:val="false"/>
      <w:lvlJc w:val="left"/>
      <w:lvlText w:val="·"/>
      <w:numFmt w:val="bullet"/>
      <w:pPr>
        <w:pBdr/>
        <w:spacing/>
        <w:ind w:hanging="360" w:left="1429"/>
      </w:pPr>
      <w:rPr>
        <w:rFonts w:hint="default" w:ascii="Symbol" w:hAnsi="Symbol" w:eastAsia="Symbol" w:cs="Symbol"/>
        <w:color w:val="151618"/>
        <w:sz w:val="30"/>
      </w:rPr>
      <w:start w:val="1"/>
      <w:suff w:val="space"/>
    </w:lvl>
    <w:lvl w:ilvl="2">
      <w:isLgl w:val="false"/>
      <w:lvlJc w:val="left"/>
      <w:lvlText w:val="·"/>
      <w:numFmt w:val="bullet"/>
      <w:pPr>
        <w:pBdr/>
        <w:spacing/>
        <w:ind w:hanging="360" w:left="2149"/>
      </w:pPr>
      <w:rPr>
        <w:rFonts w:hint="default" w:ascii="Symbol" w:hAnsi="Symbol" w:eastAsia="Symbol" w:cs="Symbol"/>
        <w:color w:val="151618"/>
        <w:sz w:val="30"/>
      </w:rPr>
      <w:start w:val="1"/>
      <w:suff w:val="space"/>
    </w:lvl>
    <w:lvl w:ilvl="3">
      <w:isLgl w:val="false"/>
      <w:lvlJc w:val="left"/>
      <w:lvlText w:val="·"/>
      <w:numFmt w:val="bullet"/>
      <w:pPr>
        <w:pBdr/>
        <w:spacing/>
        <w:ind w:hanging="360" w:left="2869"/>
      </w:pPr>
      <w:rPr>
        <w:rFonts w:hint="default" w:ascii="Symbol" w:hAnsi="Symbol" w:eastAsia="Symbol" w:cs="Symbol"/>
        <w:color w:val="151618"/>
        <w:sz w:val="30"/>
      </w:rPr>
      <w:start w:val="1"/>
      <w:suff w:val="space"/>
    </w:lvl>
    <w:lvl w:ilvl="4">
      <w:isLgl w:val="false"/>
      <w:lvlJc w:val="left"/>
      <w:lvlText w:val="·"/>
      <w:numFmt w:val="bullet"/>
      <w:pPr>
        <w:pBdr/>
        <w:spacing/>
        <w:ind w:hanging="360" w:left="3589"/>
      </w:pPr>
      <w:rPr>
        <w:rFonts w:hint="default" w:ascii="Symbol" w:hAnsi="Symbol" w:eastAsia="Symbol" w:cs="Symbol"/>
        <w:color w:val="151618"/>
        <w:sz w:val="30"/>
      </w:rPr>
      <w:start w:val="1"/>
      <w:suff w:val="space"/>
    </w:lvl>
    <w:lvl w:ilvl="5">
      <w:isLgl w:val="false"/>
      <w:lvlJc w:val="left"/>
      <w:lvlText w:val="·"/>
      <w:numFmt w:val="bullet"/>
      <w:pPr>
        <w:pBdr/>
        <w:spacing/>
        <w:ind w:hanging="360" w:left="4309"/>
      </w:pPr>
      <w:rPr>
        <w:rFonts w:hint="default" w:ascii="Symbol" w:hAnsi="Symbol" w:eastAsia="Symbol" w:cs="Symbol"/>
        <w:color w:val="151618"/>
        <w:sz w:val="30"/>
      </w:rPr>
      <w:start w:val="1"/>
      <w:suff w:val="space"/>
    </w:lvl>
    <w:lvl w:ilvl="6">
      <w:isLgl w:val="false"/>
      <w:lvlJc w:val="left"/>
      <w:lvlText w:val="·"/>
      <w:numFmt w:val="bullet"/>
      <w:pPr>
        <w:pBdr/>
        <w:spacing/>
        <w:ind w:hanging="360" w:left="5029"/>
      </w:pPr>
      <w:rPr>
        <w:rFonts w:hint="default" w:ascii="Symbol" w:hAnsi="Symbol" w:eastAsia="Symbol" w:cs="Symbol"/>
        <w:color w:val="151618"/>
        <w:sz w:val="30"/>
      </w:rPr>
      <w:start w:val="1"/>
      <w:suff w:val="space"/>
    </w:lvl>
    <w:lvl w:ilvl="7">
      <w:isLgl w:val="false"/>
      <w:lvlJc w:val="left"/>
      <w:lvlText w:val="·"/>
      <w:numFmt w:val="bullet"/>
      <w:pPr>
        <w:pBdr/>
        <w:spacing/>
        <w:ind w:hanging="360" w:left="5749"/>
      </w:pPr>
      <w:rPr>
        <w:rFonts w:hint="default" w:ascii="Symbol" w:hAnsi="Symbol" w:eastAsia="Symbol" w:cs="Symbol"/>
        <w:color w:val="151618"/>
        <w:sz w:val="30"/>
      </w:rPr>
      <w:start w:val="1"/>
      <w:suff w:val="space"/>
    </w:lvl>
    <w:lvl w:ilvl="8">
      <w:isLgl w:val="false"/>
      <w:lvlJc w:val="left"/>
      <w:lvlText w:val="·"/>
      <w:numFmt w:val="bullet"/>
      <w:pPr>
        <w:pBdr/>
        <w:spacing/>
        <w:ind w:hanging="360" w:left="6469"/>
      </w:pPr>
      <w:rPr>
        <w:rFonts w:hint="default" w:ascii="Symbol" w:hAnsi="Symbol" w:eastAsia="Symbol" w:cs="Symbol"/>
        <w:color w:val="151618"/>
        <w:sz w:val="30"/>
      </w:rPr>
      <w:start w:val="1"/>
      <w:suff w:val="space"/>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17"/>
    <w:next w:val="617"/>
    <w:link w:val="14"/>
    <w:uiPriority w:val="9"/>
    <w:qFormat/>
    <w:pPr>
      <w:keepNext w:val="true"/>
      <w:keepLines w:val="true"/>
      <w:pBdr/>
      <w:spacing w:after="200" w:before="480"/>
      <w:ind/>
      <w:outlineLvl w:val="0"/>
    </w:pPr>
    <w:rPr>
      <w:rFonts w:ascii="Arial" w:hAnsi="Arial" w:eastAsia="Arial" w:cs="Arial"/>
      <w:sz w:val="40"/>
      <w:szCs w:val="40"/>
    </w:rPr>
  </w:style>
  <w:style w:type="character" w:styleId="14">
    <w:name w:val="Heading 1 Char"/>
    <w:basedOn w:val="11"/>
    <w:link w:val="13"/>
    <w:uiPriority w:val="9"/>
    <w:pPr>
      <w:pBdr/>
      <w:spacing/>
      <w:ind/>
    </w:pPr>
    <w:rPr>
      <w:rFonts w:ascii="Arial" w:hAnsi="Arial" w:eastAsia="Arial" w:cs="Arial"/>
      <w:sz w:val="40"/>
      <w:szCs w:val="40"/>
    </w:rPr>
  </w:style>
  <w:style w:type="paragraph" w:styleId="15">
    <w:name w:val="Heading 2"/>
    <w:basedOn w:val="617"/>
    <w:next w:val="617"/>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11"/>
    <w:link w:val="15"/>
    <w:uiPriority w:val="9"/>
    <w:pPr>
      <w:pBdr/>
      <w:spacing/>
      <w:ind/>
    </w:pPr>
    <w:rPr>
      <w:rFonts w:ascii="Arial" w:hAnsi="Arial" w:eastAsia="Arial" w:cs="Arial"/>
      <w:sz w:val="34"/>
    </w:rPr>
  </w:style>
  <w:style w:type="paragraph" w:styleId="17">
    <w:name w:val="Heading 3"/>
    <w:basedOn w:val="617"/>
    <w:next w:val="617"/>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11"/>
    <w:link w:val="17"/>
    <w:uiPriority w:val="9"/>
    <w:pPr>
      <w:pBdr/>
      <w:spacing/>
      <w:ind/>
    </w:pPr>
    <w:rPr>
      <w:rFonts w:ascii="Arial" w:hAnsi="Arial" w:eastAsia="Arial" w:cs="Arial"/>
      <w:sz w:val="30"/>
      <w:szCs w:val="30"/>
    </w:rPr>
  </w:style>
  <w:style w:type="paragraph" w:styleId="19">
    <w:name w:val="Heading 4"/>
    <w:basedOn w:val="617"/>
    <w:next w:val="617"/>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11"/>
    <w:link w:val="19"/>
    <w:uiPriority w:val="9"/>
    <w:pPr>
      <w:pBdr/>
      <w:spacing/>
      <w:ind/>
    </w:pPr>
    <w:rPr>
      <w:rFonts w:ascii="Arial" w:hAnsi="Arial" w:eastAsia="Arial" w:cs="Arial"/>
      <w:b/>
      <w:bCs/>
      <w:sz w:val="26"/>
      <w:szCs w:val="26"/>
    </w:rPr>
  </w:style>
  <w:style w:type="paragraph" w:styleId="21">
    <w:name w:val="Heading 5"/>
    <w:basedOn w:val="617"/>
    <w:next w:val="61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1"/>
    <w:link w:val="21"/>
    <w:uiPriority w:val="9"/>
    <w:pPr>
      <w:pBdr/>
      <w:spacing/>
      <w:ind/>
    </w:pPr>
    <w:rPr>
      <w:rFonts w:ascii="Arial" w:hAnsi="Arial" w:eastAsia="Arial" w:cs="Arial"/>
      <w:b/>
      <w:bCs/>
      <w:sz w:val="24"/>
      <w:szCs w:val="24"/>
    </w:rPr>
  </w:style>
  <w:style w:type="paragraph" w:styleId="23">
    <w:name w:val="Heading 6"/>
    <w:basedOn w:val="617"/>
    <w:next w:val="61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1"/>
    <w:link w:val="23"/>
    <w:uiPriority w:val="9"/>
    <w:pPr>
      <w:pBdr/>
      <w:spacing/>
      <w:ind/>
    </w:pPr>
    <w:rPr>
      <w:rFonts w:ascii="Arial" w:hAnsi="Arial" w:eastAsia="Arial" w:cs="Arial"/>
      <w:b/>
      <w:bCs/>
      <w:sz w:val="22"/>
      <w:szCs w:val="22"/>
    </w:rPr>
  </w:style>
  <w:style w:type="paragraph" w:styleId="25">
    <w:name w:val="Heading 7"/>
    <w:basedOn w:val="617"/>
    <w:next w:val="61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1"/>
    <w:link w:val="25"/>
    <w:uiPriority w:val="9"/>
    <w:pPr>
      <w:pBdr/>
      <w:spacing/>
      <w:ind/>
    </w:pPr>
    <w:rPr>
      <w:rFonts w:ascii="Arial" w:hAnsi="Arial" w:eastAsia="Arial" w:cs="Arial"/>
      <w:b/>
      <w:bCs/>
      <w:i/>
      <w:iCs/>
      <w:sz w:val="22"/>
      <w:szCs w:val="22"/>
    </w:rPr>
  </w:style>
  <w:style w:type="paragraph" w:styleId="27">
    <w:name w:val="Heading 8"/>
    <w:basedOn w:val="617"/>
    <w:next w:val="61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1"/>
    <w:link w:val="27"/>
    <w:uiPriority w:val="9"/>
    <w:pPr>
      <w:pBdr/>
      <w:spacing/>
      <w:ind/>
    </w:pPr>
    <w:rPr>
      <w:rFonts w:ascii="Arial" w:hAnsi="Arial" w:eastAsia="Arial" w:cs="Arial"/>
      <w:i/>
      <w:iCs/>
      <w:sz w:val="22"/>
      <w:szCs w:val="22"/>
    </w:rPr>
  </w:style>
  <w:style w:type="paragraph" w:styleId="29">
    <w:name w:val="Heading 9"/>
    <w:basedOn w:val="617"/>
    <w:next w:val="61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1"/>
    <w:link w:val="29"/>
    <w:uiPriority w:val="9"/>
    <w:pPr>
      <w:pBdr/>
      <w:spacing/>
      <w:ind/>
    </w:pPr>
    <w:rPr>
      <w:rFonts w:ascii="Arial" w:hAnsi="Arial" w:eastAsia="Arial" w:cs="Arial"/>
      <w:i/>
      <w:iCs/>
      <w:sz w:val="21"/>
      <w:szCs w:val="21"/>
    </w:rPr>
  </w:style>
  <w:style w:type="paragraph" w:styleId="34">
    <w:name w:val="Title"/>
    <w:basedOn w:val="617"/>
    <w:next w:val="617"/>
    <w:link w:val="35"/>
    <w:uiPriority w:val="10"/>
    <w:qFormat/>
    <w:pPr>
      <w:pBdr/>
      <w:spacing w:after="200" w:before="300"/>
      <w:ind/>
      <w:contextualSpacing w:val="true"/>
    </w:pPr>
    <w:rPr>
      <w:sz w:val="48"/>
      <w:szCs w:val="48"/>
    </w:rPr>
  </w:style>
  <w:style w:type="character" w:styleId="35">
    <w:name w:val="Title Char"/>
    <w:basedOn w:val="11"/>
    <w:link w:val="34"/>
    <w:uiPriority w:val="10"/>
    <w:pPr>
      <w:pBdr/>
      <w:spacing/>
      <w:ind/>
    </w:pPr>
    <w:rPr>
      <w:sz w:val="48"/>
      <w:szCs w:val="48"/>
    </w:rPr>
  </w:style>
  <w:style w:type="paragraph" w:styleId="36">
    <w:name w:val="Subtitle"/>
    <w:basedOn w:val="617"/>
    <w:next w:val="617"/>
    <w:link w:val="37"/>
    <w:uiPriority w:val="11"/>
    <w:qFormat/>
    <w:pPr>
      <w:pBdr/>
      <w:spacing w:after="200" w:before="200"/>
      <w:ind/>
    </w:pPr>
    <w:rPr>
      <w:sz w:val="24"/>
      <w:szCs w:val="24"/>
    </w:rPr>
  </w:style>
  <w:style w:type="character" w:styleId="37">
    <w:name w:val="Subtitle Char"/>
    <w:basedOn w:val="11"/>
    <w:link w:val="36"/>
    <w:uiPriority w:val="11"/>
    <w:pPr>
      <w:pBdr/>
      <w:spacing/>
      <w:ind/>
    </w:pPr>
    <w:rPr>
      <w:sz w:val="24"/>
      <w:szCs w:val="24"/>
    </w:rPr>
  </w:style>
  <w:style w:type="paragraph" w:styleId="38">
    <w:name w:val="Quote"/>
    <w:basedOn w:val="617"/>
    <w:next w:val="61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17"/>
    <w:next w:val="61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11"/>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11"/>
    <w:link w:val="44"/>
    <w:uiPriority w:val="99"/>
    <w:pPr>
      <w:pBdr/>
      <w:spacing/>
      <w:ind/>
    </w:pPr>
  </w:style>
  <w:style w:type="paragraph" w:styleId="46">
    <w:name w:val="Caption"/>
    <w:basedOn w:val="617"/>
    <w:next w:val="617"/>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8">
    <w:name w:val="Table Grid"/>
    <w:basedOn w:val="61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1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148">
    <w:name w:val="List Table 7 Colorful - Accent 2"/>
    <w:basedOn w:val="6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149">
    <w:name w:val="List Table 7 Colorful - Accent 3"/>
    <w:basedOn w:val="6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151">
    <w:name w:val="List Table 7 Colorful - Accent 5"/>
    <w:basedOn w:val="6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152">
    <w:name w:val="List Table 7 Colorful - Accent 6"/>
    <w:basedOn w:val="6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153">
    <w:name w:val="Lined - Accent"/>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11"/>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11"/>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style>
  <w:style w:type="table" w:styleId="6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19" w:default="1">
    <w:name w:val="No List"/>
    <w:uiPriority w:val="99"/>
    <w:semiHidden/>
    <w:unhideWhenUsed/>
    <w:pPr>
      <w:pBdr/>
      <w:spacing/>
      <w:ind/>
    </w:pPr>
  </w:style>
  <w:style w:type="paragraph" w:styleId="620">
    <w:name w:val="No Spacing"/>
    <w:basedOn w:val="617"/>
    <w:uiPriority w:val="1"/>
    <w:qFormat/>
    <w:pPr>
      <w:pBdr/>
      <w:spacing w:after="0" w:line="240" w:lineRule="auto"/>
      <w:ind/>
    </w:pPr>
  </w:style>
  <w:style w:type="paragraph" w:styleId="621">
    <w:name w:val="List Paragraph"/>
    <w:basedOn w:val="617"/>
    <w:uiPriority w:val="34"/>
    <w:qFormat/>
    <w:pPr>
      <w:pBdr/>
      <w:spacing/>
      <w:ind w:left="720"/>
      <w:contextualSpacing w:val="true"/>
    </w:pPr>
  </w:style>
  <w:style w:type="character" w:styleId="626"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ONLYOFFICE/7.5.1.23</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2025-01-24T17:18:35Z</dcterms:modified>
</cp:coreProperties>
</file>