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337A"/>
            <w:tcBorders>
              <w:top w:val="single" w:sz="12" w:space="0" w:color="FF8C00"/>
              <w:left w:val="single" w:sz="12" w:space="0" w:color="FF8C00"/>
              <w:bottom w:val="single" w:sz="12" w:space="0" w:color="FF8C00"/>
              <w:right w:val="single" w:sz="12" w:space="0" w:color="FF8C00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40"/>
              </w:rPr>
              <w:t>INFORME DE MEJORAS IMPLEMENTADAS</w:t>
              <w:br/>
            </w:r>
            <w:r>
              <w:rPr>
                <w:color w:val="7DB2FF"/>
                <w:sz w:val="26"/>
              </w:rPr>
              <w:t>Sistema SIGEST — Órdenes de Servicio para Taller Mecánico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293B"/>
          </w:tcPr>
          <w:p>
            <w:pPr>
              <w:spacing w:before="80"/>
              <w:jc w:val="center"/>
            </w:pPr>
            <w:r>
              <w:rPr>
                <w:b w:val="0"/>
                <w:color w:val="5A6A82"/>
                <w:sz w:val="16"/>
              </w:rPr>
              <w:t>Estudiante</w:t>
              <w:br/>
            </w:r>
            <w:r>
              <w:rPr>
                <w:b/>
                <w:color w:val="FF8C00"/>
                <w:sz w:val="20"/>
              </w:rPr>
              <w:t>Francisco R. Díaz</w:t>
            </w:r>
          </w:p>
        </w:tc>
        <w:tc>
          <w:tcPr>
            <w:tcW w:type="dxa" w:w="2351"/>
            <w:shd w:val="clear" w:color="auto" w:fill="1E293B"/>
          </w:tcPr>
          <w:p>
            <w:pPr>
              <w:spacing w:before="80"/>
              <w:jc w:val="center"/>
            </w:pPr>
            <w:r>
              <w:rPr>
                <w:b w:val="0"/>
                <w:color w:val="5A6A82"/>
                <w:sz w:val="16"/>
              </w:rPr>
              <w:t>Matrícula</w:t>
              <w:br/>
            </w:r>
            <w:r>
              <w:rPr>
                <w:b/>
                <w:color w:val="FF8C00"/>
                <w:sz w:val="20"/>
              </w:rPr>
              <w:t>2023-3300016</w:t>
            </w:r>
          </w:p>
        </w:tc>
        <w:tc>
          <w:tcPr>
            <w:tcW w:type="dxa" w:w="2351"/>
            <w:shd w:val="clear" w:color="auto" w:fill="1E293B"/>
          </w:tcPr>
          <w:p>
            <w:pPr>
              <w:spacing w:before="80"/>
              <w:jc w:val="center"/>
            </w:pPr>
            <w:r>
              <w:rPr>
                <w:b w:val="0"/>
                <w:color w:val="5A6A82"/>
                <w:sz w:val="16"/>
              </w:rPr>
              <w:t>Materia</w:t>
              <w:br/>
            </w:r>
            <w:r>
              <w:rPr>
                <w:b/>
                <w:color w:val="FF8C00"/>
                <w:sz w:val="20"/>
              </w:rPr>
              <w:t>Ingeniería de Software 2</w:t>
            </w:r>
          </w:p>
        </w:tc>
        <w:tc>
          <w:tcPr>
            <w:tcW w:type="dxa" w:w="2351"/>
            <w:shd w:val="clear" w:color="auto" w:fill="1E293B"/>
          </w:tcPr>
          <w:p>
            <w:pPr>
              <w:spacing w:before="80"/>
              <w:jc w:val="center"/>
            </w:pPr>
            <w:r>
              <w:rPr>
                <w:b w:val="0"/>
                <w:color w:val="5A6A82"/>
                <w:sz w:val="16"/>
              </w:rPr>
              <w:t>Universidad</w:t>
              <w:br/>
            </w:r>
            <w:r>
              <w:rPr>
                <w:b/>
                <w:color w:val="FF8C00"/>
                <w:sz w:val="20"/>
              </w:rPr>
              <w:t>UNEV</w:t>
            </w:r>
          </w:p>
        </w:tc>
      </w:tr>
    </w:tbl>
    <w:p/>
    <w:p>
      <w:pPr>
        <w:pBdr>
          <w:bottom w:val="single" w:sz="6" w:space="1" w:color="1A5FB4"/>
        </w:pBdr>
        <w:spacing w:before="40" w:after="160"/>
      </w:pPr>
    </w:p>
    <w:p>
      <w:pPr>
        <w:spacing w:before="200" w:after="80"/>
      </w:pPr>
      <w:r>
        <w:rPr>
          <w:b/>
          <w:color w:val="00337A"/>
          <w:sz w:val="36"/>
        </w:rPr>
        <w:t>1. Introducción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El presente documento describe en detalle todas las mejoras arquitectónicas, de usabilidad y de calidad de código implementadas en el sistema SIGEST durante la Fase 2 del proyecto académico de Ingeniería de Software 2 (UNEV). Las mejoras abarcan tanto el backend (Node.js + Express + Prisma) como el frontend (React + Vite), siguiendo los principios de la Arquitectura Hexagonal, Domain-Driven Design (DDD) y SOLID.</w:t>
      </w:r>
    </w:p>
    <w:p>
      <w:pPr>
        <w:pBdr>
          <w:bottom w:val="single" w:sz="6" w:space="1" w:color="1A5FB4"/>
        </w:pBdr>
        <w:spacing w:before="40" w:after="160"/>
      </w:pPr>
    </w:p>
    <w:p>
      <w:pPr>
        <w:spacing w:before="200" w:after="80"/>
      </w:pPr>
      <w:r>
        <w:rPr>
          <w:b/>
          <w:color w:val="00337A"/>
          <w:sz w:val="36"/>
        </w:rPr>
        <w:t>2. Mejoras en el Backend</w:t>
      </w:r>
    </w:p>
    <w:p>
      <w:pPr>
        <w:spacing w:before="200" w:after="80"/>
      </w:pPr>
      <w:r>
        <w:rPr>
          <w:b/>
          <w:color w:val="1A5FB4"/>
          <w:sz w:val="28"/>
        </w:rPr>
        <w:t>2.1  Nuevo Caso de Uso: CrearVehiculoUseCase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Antes de la mejora, la ruta HTTP de creación de vehículos contenía directamente validaciones de campos y transformaciones de datos (parseInt). Esto violaba el Principio de Responsabilidad Única (SRP) ya que el controlador no debería conocer las reglas de negocio.</w:t>
      </w:r>
    </w:p>
    <w:p>
      <w:pPr>
        <w:spacing w:before="200" w:after="80"/>
      </w:pPr>
      <w:r>
        <w:rPr>
          <w:b/>
          <w:color w:val="B91717"/>
          <w:sz w:val="24"/>
        </w:rPr>
        <w:t>Problema detectado (ANTES):</w:t>
      </w:r>
    </w:p>
    <w:p>
      <w:pPr>
        <w:spacing w:after="20"/>
      </w:pPr>
      <w:r>
        <w:rPr>
          <w:i/>
          <w:color w:val="5A6A82"/>
          <w:sz w:val="18"/>
        </w:rPr>
        <w:t xml:space="preserve">  backend/src/interfaces/http/vehiculo.routes.js (antes)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30712"/>
            <w:tcBorders>
              <w:top w:val="single" w:sz="4" w:space="0" w:color="1A5FB4"/>
              <w:left w:val="single" w:sz="4" w:space="0" w:color="1A5FB4"/>
              <w:bottom w:val="single" w:sz="4" w:space="0" w:color="1A5FB4"/>
              <w:right w:val="single" w:sz="4" w:space="0" w:color="1A5FB4"/>
            </w:tcBorders>
          </w:tcPr>
          <w:p>
            <w:pPr>
              <w:ind w:left="144"/>
            </w:pPr>
            <w:r>
              <w:rPr>
                <w:rFonts w:ascii="Courier New" w:hAnsi="Courier New"/>
                <w:color w:val="E2E8F0"/>
                <w:sz w:val="18"/>
              </w:rPr>
              <w:t>// vehiculo.routes.js — Controlador HTTP (MAL: lógica de negocio aquí)</w:t>
            </w:r>
            <w:r>
              <w:rPr>
                <w:rFonts w:ascii="Courier New" w:hAnsi="Courier New"/>
                <w:color w:val="E2E8F0"/>
                <w:sz w:val="18"/>
              </w:rPr>
              <w:br/>
              <w:t>router.post('/', async (req, res) =&gt; {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const { placa, marca, modelo, anio } = req.body;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if (!placa || !marca || !modelo) {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  return res.status(400).json({ error: 'Campos obligatorios faltantes' });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}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const anioInt = parseInt(anio);  // ← transformación de dato en controlador (MAL)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const vehiculo = await prisma.vehiculo.create({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  data: { placa, marca, modelo, anio: anioInt }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});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res.json(vehiculo);</w:t>
            </w:r>
            <w:r>
              <w:rPr>
                <w:rFonts w:ascii="Courier New" w:hAnsi="Courier New"/>
                <w:color w:val="E2E8F0"/>
                <w:sz w:val="18"/>
              </w:rPr>
              <w:br/>
              <w:t>});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5803D"/>
          <w:sz w:val="24"/>
        </w:rPr>
        <w:t>Solución implementada (DESPUÉS):</w:t>
      </w:r>
    </w:p>
    <w:p>
      <w:pPr>
        <w:spacing w:after="20"/>
      </w:pPr>
      <w:r>
        <w:rPr>
          <w:i/>
          <w:color w:val="5A6A82"/>
          <w:sz w:val="18"/>
        </w:rPr>
        <w:t xml:space="preserve">  backend/src/application/casos-de-uso/CrearVehiculoUseCase.js (después)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30712"/>
            <w:tcBorders>
              <w:top w:val="single" w:sz="4" w:space="0" w:color="1A5FB4"/>
              <w:left w:val="single" w:sz="4" w:space="0" w:color="1A5FB4"/>
              <w:bottom w:val="single" w:sz="4" w:space="0" w:color="1A5FB4"/>
              <w:right w:val="single" w:sz="4" w:space="0" w:color="1A5FB4"/>
            </w:tcBorders>
          </w:tcPr>
          <w:p>
            <w:pPr>
              <w:ind w:left="144"/>
            </w:pPr>
            <w:r>
              <w:rPr>
                <w:rFonts w:ascii="Courier New" w:hAnsi="Courier New"/>
                <w:color w:val="E2E8F0"/>
                <w:sz w:val="18"/>
              </w:rPr>
              <w:t>// CrearVehiculoUseCase.js — Capa de Aplicación (BIEN: reglas aquí)</w:t>
            </w:r>
            <w:r>
              <w:rPr>
                <w:rFonts w:ascii="Courier New" w:hAnsi="Courier New"/>
                <w:color w:val="E2E8F0"/>
                <w:sz w:val="18"/>
              </w:rPr>
              <w:br/>
              <w:t>class CrearVehiculoUseCase {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constructor(vehiculoRepo) {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  this.vehiculoRepo = vehiculoRepo;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}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async ejecutar(datos) {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  const { placa, marca, modelo, anio } = datos;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  if (!placa || !marca || !modelo)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    throw new Error('Placa, marca y modelo son obligatorios');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  const anioValido = parseInt(anio);   // ← transformación centralizada en el UC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  return this.vehiculoRepo.crear({ placa, marca, modelo, anio: anioValido });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}</w:t>
            </w:r>
            <w:r>
              <w:rPr>
                <w:rFonts w:ascii="Courier New" w:hAnsi="Courier New"/>
                <w:color w:val="E2E8F0"/>
                <w:sz w:val="18"/>
              </w:rPr>
              <w:br/>
              <w:t>}</w:t>
            </w:r>
            <w:r>
              <w:rPr>
                <w:rFonts w:ascii="Courier New" w:hAnsi="Courier New"/>
                <w:color w:val="E2E8F0"/>
                <w:sz w:val="18"/>
              </w:rPr>
              <w:br/>
            </w:r>
            <w:r>
              <w:rPr>
                <w:rFonts w:ascii="Courier New" w:hAnsi="Courier New"/>
                <w:color w:val="E2E8F0"/>
                <w:sz w:val="18"/>
              </w:rPr>
              <w:br/>
              <w:t>// vehiculo.routes.js — Controlador (ahora delgado)</w:t>
            </w:r>
            <w:r>
              <w:rPr>
                <w:rFonts w:ascii="Courier New" w:hAnsi="Courier New"/>
                <w:color w:val="E2E8F0"/>
                <w:sz w:val="18"/>
              </w:rPr>
              <w:br/>
              <w:t>router.post('/', async (req, res) =&gt; {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const veh = await facade.crearVehiculo(req.body);  // ← solo delega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res.json(veh);</w:t>
            </w:r>
            <w:r>
              <w:rPr>
                <w:rFonts w:ascii="Courier New" w:hAnsi="Courier New"/>
                <w:color w:val="E2E8F0"/>
                <w:sz w:val="18"/>
              </w:rPr>
              <w:br/>
              <w:t>});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i w:val="0"/>
          <w:color w:val="15803D"/>
          <w:sz w:val="22"/>
        </w:rPr>
        <w:t>Resultado: El controlador HTTP queda completamente libre de lógica de negocio. Si las reglas cambian, solo se modifica el Caso de Uso, nunca la ruta.</w:t>
      </w:r>
    </w:p>
    <w:p/>
    <w:p>
      <w:pPr>
        <w:spacing w:before="200" w:after="80"/>
      </w:pPr>
      <w:r>
        <w:rPr>
          <w:b/>
          <w:color w:val="1A5FB4"/>
          <w:sz w:val="28"/>
        </w:rPr>
        <w:t>2.2  Refactorización de TallerFacade (Inyección de Dependencias)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Se inyectó CrearVehiculoUseCase como dependencia del TallerFacade, manteniendo la separación de capas y el patrón de Inyección de Dependencias (DIP — SOLID).</w:t>
      </w:r>
    </w:p>
    <w:p>
      <w:pPr>
        <w:spacing w:after="60"/>
        <w:ind w:left="432"/>
      </w:pPr>
      <w:r>
        <w:rPr>
          <w:color w:val="1E293B"/>
          <w:sz w:val="22"/>
        </w:rPr>
        <w:t>•  TallerFacade recibe el caso de uso en su constructor</w:t>
      </w:r>
    </w:p>
    <w:p>
      <w:pPr>
        <w:spacing w:after="60"/>
        <w:ind w:left="432"/>
      </w:pPr>
      <w:r>
        <w:rPr>
          <w:color w:val="1E293B"/>
          <w:sz w:val="22"/>
        </w:rPr>
        <w:t>•  El contenedor de dependencias (container.js) instancia y conecta todo</w:t>
      </w:r>
    </w:p>
    <w:p>
      <w:pPr>
        <w:spacing w:after="60"/>
        <w:ind w:left="432"/>
      </w:pPr>
      <w:r>
        <w:rPr>
          <w:color w:val="1E293B"/>
          <w:sz w:val="22"/>
        </w:rPr>
        <w:t>•  Los controladores solo conocen el facade, jamás los repositorios directamente</w:t>
      </w:r>
    </w:p>
    <w:p>
      <w:pPr>
        <w:pBdr>
          <w:bottom w:val="single" w:sz="6" w:space="1" w:color="1A5FB4"/>
        </w:pBdr>
        <w:spacing w:before="40" w:after="160"/>
      </w:pPr>
    </w:p>
    <w:p>
      <w:pPr>
        <w:spacing w:before="200" w:after="80"/>
      </w:pPr>
      <w:r>
        <w:rPr>
          <w:b/>
          <w:color w:val="00337A"/>
          <w:sz w:val="36"/>
        </w:rPr>
        <w:t>3. Mejoras en el Frontend (React)</w:t>
      </w:r>
    </w:p>
    <w:p>
      <w:pPr>
        <w:spacing w:before="200" w:after="80"/>
      </w:pPr>
      <w:r>
        <w:rPr>
          <w:b/>
          <w:color w:val="1A5FB4"/>
          <w:sz w:val="28"/>
        </w:rPr>
        <w:t>3.1  Reemplazo de Alertas Nativas por Toast y ConfirmModal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El sistema usaba window.alert() y window.confirm() del navegador para notificar al usuario. Estas funciones bloquean el hilo principal de JavaScript y son visualmente inconsistentes con el diseño del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B9171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❌ ANTES — Alerta Bloqueante</w:t>
            </w:r>
          </w:p>
        </w:tc>
        <w:tc>
          <w:tcPr>
            <w:tcW w:type="dxa" w:w="4703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✅ DESPUÉS — Toast Asíncrono</w:t>
            </w:r>
          </w:p>
        </w:tc>
      </w:tr>
      <w:tr>
        <w:tc>
          <w:tcPr>
            <w:tcW w:type="dxa" w:w="4703"/>
            <w:shd w:val="clear" w:color="auto" w:fill="F9FAFB"/>
          </w:tcPr>
          <w:p>
            <w:pPr>
              <w:ind w:left="144"/>
            </w:pPr>
            <w:r>
              <w:rPr>
                <w:rFonts w:ascii="Courier New" w:hAnsi="Courier New"/>
                <w:color w:val="B91717"/>
                <w:sz w:val="20"/>
              </w:rPr>
              <w:t>window.alert('Factura generada');</w:t>
            </w:r>
          </w:p>
        </w:tc>
        <w:tc>
          <w:tcPr>
            <w:tcW w:type="dxa" w:w="4703"/>
            <w:shd w:val="clear" w:color="auto" w:fill="F9FAFB"/>
          </w:tcPr>
          <w:p>
            <w:pPr>
              <w:ind w:left="144"/>
            </w:pPr>
            <w:r>
              <w:rPr>
                <w:rFonts w:ascii="Courier New" w:hAnsi="Courier New"/>
                <w:color w:val="15803D"/>
                <w:sz w:val="20"/>
              </w:rPr>
              <w:t>toast.success('Factura generada ✅');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pPr>
              <w:ind w:left="144"/>
            </w:pPr>
            <w:r>
              <w:rPr>
                <w:rFonts w:ascii="Courier New" w:hAnsi="Courier New"/>
                <w:color w:val="B91717"/>
                <w:sz w:val="20"/>
              </w:rPr>
              <w:t>window.alert('Error: ' + err.message);</w:t>
            </w:r>
          </w:p>
        </w:tc>
        <w:tc>
          <w:tcPr>
            <w:tcW w:type="dxa" w:w="4703"/>
            <w:shd w:val="clear" w:color="auto" w:fill="F1F5F9"/>
          </w:tcPr>
          <w:p>
            <w:pPr>
              <w:ind w:left="144"/>
            </w:pPr>
            <w:r>
              <w:rPr>
                <w:rFonts w:ascii="Courier New" w:hAnsi="Courier New"/>
                <w:color w:val="15803D"/>
                <w:sz w:val="20"/>
              </w:rPr>
              <w:t>toast.error(err.message);</w:t>
            </w:r>
          </w:p>
        </w:tc>
      </w:tr>
      <w:tr>
        <w:tc>
          <w:tcPr>
            <w:tcW w:type="dxa" w:w="4703"/>
            <w:shd w:val="clear" w:color="auto" w:fill="F9FAFB"/>
          </w:tcPr>
          <w:p>
            <w:pPr>
              <w:ind w:left="144"/>
            </w:pPr>
            <w:r>
              <w:rPr>
                <w:rFonts w:ascii="Courier New" w:hAnsi="Courier New"/>
                <w:color w:val="B91717"/>
                <w:sz w:val="20"/>
              </w:rPr>
              <w:t>window.confirm('¿Generar factura?');</w:t>
            </w:r>
          </w:p>
        </w:tc>
        <w:tc>
          <w:tcPr>
            <w:tcW w:type="dxa" w:w="4703"/>
            <w:shd w:val="clear" w:color="auto" w:fill="F9FAFB"/>
          </w:tcPr>
          <w:p>
            <w:pPr>
              <w:ind w:left="144"/>
            </w:pPr>
            <w:r>
              <w:rPr>
                <w:rFonts w:ascii="Courier New" w:hAnsi="Courier New"/>
                <w:color w:val="15803D"/>
                <w:sz w:val="20"/>
              </w:rPr>
              <w:t>setConfirmConfig({ title: '¿Generar factura?', onConfirm: ... });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i/>
          <w:color w:val="5A6A82"/>
          <w:sz w:val="22"/>
        </w:rPr>
        <w:t>Componentes nuevos creados: Toast.jsx (sistema de notificaciones animadas) y ConfirmModal.jsx (modal de confirmación accesible). Ambos se envuelven en el contexto global de App.jsx mediante ToastProvider.</w:t>
      </w:r>
    </w:p>
    <w:p/>
    <w:p>
      <w:pPr>
        <w:spacing w:before="200" w:after="80"/>
      </w:pPr>
      <w:r>
        <w:rPr>
          <w:b/>
          <w:color w:val="1A5FB4"/>
          <w:sz w:val="28"/>
        </w:rPr>
        <w:t>3.2  Centralización del Formato de Moneda (formatMoneda.js)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La lógica para formatear montos en pesos dominicanos (RD$) estaba duplicada en múltiples archivos con ligeras diferencias. Se creó una utilidad central:</w:t>
      </w:r>
    </w:p>
    <w:p>
      <w:pPr>
        <w:spacing w:after="20"/>
      </w:pPr>
      <w:r>
        <w:rPr>
          <w:i/>
          <w:color w:val="5A6A82"/>
          <w:sz w:val="18"/>
        </w:rPr>
        <w:t xml:space="preserve">  frontend/src/utils/formatMoneda.js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30712"/>
            <w:tcBorders>
              <w:top w:val="single" w:sz="4" w:space="0" w:color="1A5FB4"/>
              <w:left w:val="single" w:sz="4" w:space="0" w:color="1A5FB4"/>
              <w:bottom w:val="single" w:sz="4" w:space="0" w:color="1A5FB4"/>
              <w:right w:val="single" w:sz="4" w:space="0" w:color="1A5FB4"/>
            </w:tcBorders>
          </w:tcPr>
          <w:p>
            <w:pPr>
              <w:ind w:left="144"/>
            </w:pPr>
            <w:r>
              <w:rPr>
                <w:rFonts w:ascii="Courier New" w:hAnsi="Courier New"/>
                <w:color w:val="E2E8F0"/>
                <w:sz w:val="18"/>
              </w:rPr>
              <w:t>// frontend/src/utils/formatMoneda.js</w:t>
            </w:r>
            <w:r>
              <w:rPr>
                <w:rFonts w:ascii="Courier New" w:hAnsi="Courier New"/>
                <w:color w:val="E2E8F0"/>
                <w:sz w:val="18"/>
              </w:rPr>
              <w:br/>
              <w:t>export function formatMoneda(valor) {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return new Intl.NumberFormat('es-DO', {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  style: 'currency',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  currency: 'DOP',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  minimumFractionDigits: 2,</w:t>
            </w:r>
            <w:r>
              <w:rPr>
                <w:rFonts w:ascii="Courier New" w:hAnsi="Courier New"/>
                <w:color w:val="E2E8F0"/>
                <w:sz w:val="18"/>
              </w:rPr>
              <w:br/>
              <w:t xml:space="preserve">  }).format(valor ?? 0);</w:t>
            </w:r>
            <w:r>
              <w:rPr>
                <w:rFonts w:ascii="Courier New" w:hAnsi="Courier New"/>
                <w:color w:val="E2E8F0"/>
                <w:sz w:val="18"/>
              </w:rPr>
              <w:br/>
              <w:t>}</w:t>
            </w:r>
            <w:r>
              <w:rPr>
                <w:rFonts w:ascii="Courier New" w:hAnsi="Courier New"/>
                <w:color w:val="E2E8F0"/>
                <w:sz w:val="18"/>
              </w:rPr>
              <w:br/>
              <w:t>// Uso en cualquier componente:</w:t>
            </w:r>
            <w:r>
              <w:rPr>
                <w:rFonts w:ascii="Courier New" w:hAnsi="Courier New"/>
                <w:color w:val="E2E8F0"/>
                <w:sz w:val="18"/>
              </w:rPr>
              <w:br/>
              <w:t>import { formatMoneda } from '../utils/formatMoneda';</w:t>
            </w:r>
            <w:r>
              <w:rPr>
                <w:rFonts w:ascii="Courier New" w:hAnsi="Courier New"/>
                <w:color w:val="E2E8F0"/>
                <w:sz w:val="18"/>
              </w:rPr>
              <w:br/>
              <w:t>formatMoneda(orden.total)  // → RD$ 12,500.00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i/>
          <w:color w:val="5A6A82"/>
          <w:sz w:val="22"/>
        </w:rPr>
        <w:t>Archivos actualizados para usar esta utilidad: Ordenes.jsx, Facturacion.jsx, Dashboard.jsx.</w:t>
      </w:r>
    </w:p>
    <w:p/>
    <w:p>
      <w:pPr>
        <w:spacing w:before="200" w:after="80"/>
      </w:pPr>
      <w:r>
        <w:rPr>
          <w:b/>
          <w:color w:val="1A5FB4"/>
          <w:sz w:val="28"/>
        </w:rPr>
        <w:t>3.3  Navegación Dinámica por Rol (navigationConfig.js)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La lógica de qué elementos de menú mostrar según el rol del usuario (ADMIN, RECEPCIONISTA, MECANICO, CAJERO) estaba codificada directamente dentro del componente Layout.jsx. Se extrajo a un archivo de configuración:</w:t>
      </w:r>
    </w:p>
    <w:p>
      <w:pPr>
        <w:spacing w:after="60"/>
        <w:ind w:left="432"/>
      </w:pPr>
      <w:r>
        <w:rPr>
          <w:color w:val="1E293B"/>
          <w:sz w:val="22"/>
        </w:rPr>
        <w:t>•  navigationConfig.js define qué rutas son visibles para cada rol</w:t>
      </w:r>
    </w:p>
    <w:p>
      <w:pPr>
        <w:spacing w:after="60"/>
        <w:ind w:left="432"/>
      </w:pPr>
      <w:r>
        <w:rPr>
          <w:color w:val="1E293B"/>
          <w:sz w:val="22"/>
        </w:rPr>
        <w:t>•  Layout.jsx lee esta configuración y renderiza el menú dinámicamente</w:t>
      </w:r>
    </w:p>
    <w:p>
      <w:pPr>
        <w:spacing w:after="60"/>
        <w:ind w:left="432"/>
      </w:pPr>
      <w:r>
        <w:rPr>
          <w:color w:val="1E293B"/>
          <w:sz w:val="22"/>
        </w:rPr>
        <w:t>•  Añadir un nuevo rol o nueva ruta solo requiere modificar navigationConfig.js</w:t>
      </w:r>
    </w:p>
    <w:p/>
    <w:p>
      <w:pPr>
        <w:spacing w:before="200" w:after="80"/>
      </w:pPr>
      <w:r>
        <w:rPr>
          <w:b/>
          <w:color w:val="1A5FB4"/>
          <w:sz w:val="28"/>
        </w:rPr>
        <w:t>3.4  Eliminación de Encabezados H1 Duplicados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Cada vista secundaria (Órdenes, Clientes, Facturación, etc.) tenía un elemento &lt;h1&gt; propio que duplicaba visualmente el título ya mostrado en el header principal del sistema. Se eliminaron estos H1 de las vistas secundarias para mantener una jerarquía visual correcta.</w:t>
      </w:r>
    </w:p>
    <w:p>
      <w:pPr>
        <w:spacing w:after="60"/>
        <w:ind w:left="432"/>
      </w:pPr>
      <w:r>
        <w:rPr>
          <w:color w:val="1E293B"/>
          <w:sz w:val="22"/>
        </w:rPr>
        <w:t>•  Archivos corregidos: Dashboard.jsx, Ordenes.jsx, Facturacion.jsx, Clientes.jsx, Usuarios.jsx, Mecanicos.jsx</w:t>
      </w:r>
    </w:p>
    <w:p/>
    <w:p>
      <w:pPr>
        <w:spacing w:before="200" w:after="80"/>
      </w:pPr>
      <w:r>
        <w:rPr>
          <w:b/>
          <w:color w:val="1A5FB4"/>
          <w:sz w:val="28"/>
        </w:rPr>
        <w:t>3.5  Limpieza de Validaciones en Vistas (NuevaOrden y Clientes)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Componentes como NuevaOrden.jsx y Clientes.jsx contenían parseInt() y validaciones estrictas que pertenecen al backend. Se eliminaron del frontend para que el Backend sea la única fuente de verdad en validaciones de negocio.</w:t>
      </w:r>
    </w:p>
    <w:p>
      <w:pPr>
        <w:pBdr>
          <w:bottom w:val="single" w:sz="6" w:space="1" w:color="1A5FB4"/>
        </w:pBdr>
        <w:spacing w:before="40" w:after="160"/>
      </w:pPr>
    </w:p>
    <w:p>
      <w:pPr>
        <w:spacing w:before="200" w:after="80"/>
      </w:pPr>
      <w:r>
        <w:rPr>
          <w:b/>
          <w:color w:val="00337A"/>
          <w:sz w:val="36"/>
        </w:rPr>
        <w:t>4. Tabla Resumen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37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Área</w:t>
            </w:r>
          </w:p>
        </w:tc>
        <w:tc>
          <w:tcPr>
            <w:tcW w:type="dxa" w:w="2351"/>
            <w:shd w:val="clear" w:color="auto" w:fill="00337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2351"/>
            <w:shd w:val="clear" w:color="auto" w:fill="B9171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Antes</w:t>
            </w:r>
          </w:p>
        </w:tc>
        <w:tc>
          <w:tcPr>
            <w:tcW w:type="dxa" w:w="2351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Después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1E293B"/>
                <w:sz w:val="20"/>
              </w:rPr>
              <w:t>Backend</w:t>
            </w:r>
          </w:p>
        </w:tc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1E293B"/>
                <w:sz w:val="20"/>
              </w:rPr>
              <w:t>Validación vehículo</w:t>
            </w:r>
          </w:p>
        </w:tc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B91717"/>
                <w:sz w:val="20"/>
              </w:rPr>
              <w:t>En controlador HTTP</w:t>
            </w:r>
          </w:p>
        </w:tc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15803D"/>
                <w:sz w:val="20"/>
              </w:rPr>
              <w:t>CrearVehiculoUseCase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pPr>
              <w:ind w:left="72"/>
            </w:pPr>
            <w:r>
              <w:rPr>
                <w:color w:val="1E293B"/>
                <w:sz w:val="20"/>
              </w:rPr>
              <w:t>Backend</w:t>
            </w:r>
          </w:p>
        </w:tc>
        <w:tc>
          <w:tcPr>
            <w:tcW w:type="dxa" w:w="2351"/>
            <w:shd w:val="clear" w:color="auto" w:fill="F1F5F9"/>
          </w:tcPr>
          <w:p>
            <w:pPr>
              <w:ind w:left="72"/>
            </w:pPr>
            <w:r>
              <w:rPr>
                <w:color w:val="1E293B"/>
                <w:sz w:val="20"/>
              </w:rPr>
              <w:t>Inyección dependencias</w:t>
            </w:r>
          </w:p>
        </w:tc>
        <w:tc>
          <w:tcPr>
            <w:tcW w:type="dxa" w:w="2351"/>
            <w:shd w:val="clear" w:color="auto" w:fill="F1F5F9"/>
          </w:tcPr>
          <w:p>
            <w:pPr>
              <w:ind w:left="72"/>
            </w:pPr>
            <w:r>
              <w:rPr>
                <w:color w:val="B91717"/>
                <w:sz w:val="20"/>
              </w:rPr>
              <w:t>Instanciación directa</w:t>
            </w:r>
          </w:p>
        </w:tc>
        <w:tc>
          <w:tcPr>
            <w:tcW w:type="dxa" w:w="2351"/>
            <w:shd w:val="clear" w:color="auto" w:fill="F1F5F9"/>
          </w:tcPr>
          <w:p>
            <w:pPr>
              <w:ind w:left="72"/>
            </w:pPr>
            <w:r>
              <w:rPr>
                <w:color w:val="15803D"/>
                <w:sz w:val="20"/>
              </w:rPr>
              <w:t>Inyectado en TallerFacade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1E293B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1E293B"/>
                <w:sz w:val="20"/>
              </w:rPr>
              <w:t>Notificaciones</w:t>
            </w:r>
          </w:p>
        </w:tc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B91717"/>
                <w:sz w:val="20"/>
              </w:rPr>
              <w:t>window.alert() bloqueante</w:t>
            </w:r>
          </w:p>
        </w:tc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15803D"/>
                <w:sz w:val="20"/>
              </w:rPr>
              <w:t>Toast asíncrono + ConfirmModal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pPr>
              <w:ind w:left="72"/>
            </w:pPr>
            <w:r>
              <w:rPr>
                <w:color w:val="1E293B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1F5F9"/>
          </w:tcPr>
          <w:p>
            <w:pPr>
              <w:ind w:left="72"/>
            </w:pPr>
            <w:r>
              <w:rPr>
                <w:color w:val="1E293B"/>
                <w:sz w:val="20"/>
              </w:rPr>
              <w:t>Formato moneda</w:t>
            </w:r>
          </w:p>
        </w:tc>
        <w:tc>
          <w:tcPr>
            <w:tcW w:type="dxa" w:w="2351"/>
            <w:shd w:val="clear" w:color="auto" w:fill="F1F5F9"/>
          </w:tcPr>
          <w:p>
            <w:pPr>
              <w:ind w:left="72"/>
            </w:pPr>
            <w:r>
              <w:rPr>
                <w:color w:val="B91717"/>
                <w:sz w:val="20"/>
              </w:rPr>
              <w:t>Duplicado en cada vista</w:t>
            </w:r>
          </w:p>
        </w:tc>
        <w:tc>
          <w:tcPr>
            <w:tcW w:type="dxa" w:w="2351"/>
            <w:shd w:val="clear" w:color="auto" w:fill="F1F5F9"/>
          </w:tcPr>
          <w:p>
            <w:pPr>
              <w:ind w:left="72"/>
            </w:pPr>
            <w:r>
              <w:rPr>
                <w:color w:val="15803D"/>
                <w:sz w:val="20"/>
              </w:rPr>
              <w:t>formatMoneda.js centralizado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1E293B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1E293B"/>
                <w:sz w:val="20"/>
              </w:rPr>
              <w:t>Menú por rol</w:t>
            </w:r>
          </w:p>
        </w:tc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B91717"/>
                <w:sz w:val="20"/>
              </w:rPr>
              <w:t>Hardcoded en Layout.jsx</w:t>
            </w:r>
          </w:p>
        </w:tc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15803D"/>
                <w:sz w:val="20"/>
              </w:rPr>
              <w:t>navigationConfig.js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pPr>
              <w:ind w:left="72"/>
            </w:pPr>
            <w:r>
              <w:rPr>
                <w:color w:val="1E293B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1F5F9"/>
          </w:tcPr>
          <w:p>
            <w:pPr>
              <w:ind w:left="72"/>
            </w:pPr>
            <w:r>
              <w:rPr>
                <w:color w:val="1E293B"/>
                <w:sz w:val="20"/>
              </w:rPr>
              <w:t>Jerarquía visual</w:t>
            </w:r>
          </w:p>
        </w:tc>
        <w:tc>
          <w:tcPr>
            <w:tcW w:type="dxa" w:w="2351"/>
            <w:shd w:val="clear" w:color="auto" w:fill="F1F5F9"/>
          </w:tcPr>
          <w:p>
            <w:pPr>
              <w:ind w:left="72"/>
            </w:pPr>
            <w:r>
              <w:rPr>
                <w:color w:val="B91717"/>
                <w:sz w:val="20"/>
              </w:rPr>
              <w:t>H1 duplicados en vistas</w:t>
            </w:r>
          </w:p>
        </w:tc>
        <w:tc>
          <w:tcPr>
            <w:tcW w:type="dxa" w:w="2351"/>
            <w:shd w:val="clear" w:color="auto" w:fill="F1F5F9"/>
          </w:tcPr>
          <w:p>
            <w:pPr>
              <w:ind w:left="72"/>
            </w:pPr>
            <w:r>
              <w:rPr>
                <w:color w:val="15803D"/>
                <w:sz w:val="20"/>
              </w:rPr>
              <w:t>Un solo título por contexto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1E293B"/>
                <w:sz w:val="20"/>
              </w:rPr>
              <w:t>Frontend</w:t>
            </w:r>
          </w:p>
        </w:tc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1E293B"/>
                <w:sz w:val="20"/>
              </w:rPr>
              <w:t>Validaciones en vista</w:t>
            </w:r>
          </w:p>
        </w:tc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B91717"/>
                <w:sz w:val="20"/>
              </w:rPr>
              <w:t>parseInt en NuevaOrden.jsx</w:t>
            </w:r>
          </w:p>
        </w:tc>
        <w:tc>
          <w:tcPr>
            <w:tcW w:type="dxa" w:w="2351"/>
            <w:shd w:val="clear" w:color="auto" w:fill="F8FAFC"/>
          </w:tcPr>
          <w:p>
            <w:pPr>
              <w:ind w:left="72"/>
            </w:pPr>
            <w:r>
              <w:rPr>
                <w:color w:val="15803D"/>
                <w:sz w:val="20"/>
              </w:rPr>
              <w:t>Solo en backend (UseCase)</w:t>
            </w:r>
          </w:p>
        </w:tc>
      </w:tr>
    </w:tbl>
    <w:p/>
    <w:p>
      <w:pPr>
        <w:pBdr>
          <w:bottom w:val="single" w:sz="6" w:space="1" w:color="1A5FB4"/>
        </w:pBdr>
        <w:spacing w:before="40" w:after="160"/>
      </w:pPr>
    </w:p>
    <w:p>
      <w:pPr>
        <w:spacing w:before="200" w:after="80"/>
      </w:pPr>
      <w:r>
        <w:rPr>
          <w:b/>
          <w:color w:val="00337A"/>
          <w:sz w:val="36"/>
        </w:rPr>
        <w:t>5. Control de Versiones — Commits Realizados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Todos los cambios fueron registrados en 5 commits atómicos en la rama master del repositorio https://github.com/francisco-inger/taller-mecanico.git siguiendo la convención semántica (Conventional Commits):</w:t>
      </w:r>
    </w:p>
    <w:p>
      <w:pPr>
        <w:spacing w:after="60"/>
        <w:ind w:left="432"/>
      </w:pPr>
      <w:r>
        <w:rPr>
          <w:rFonts w:ascii="Courier New" w:hAnsi="Courier New"/>
          <w:b/>
          <w:color w:val="FF8C00"/>
          <w:sz w:val="20"/>
        </w:rPr>
        <w:t xml:space="preserve">feat(backend): </w:t>
      </w:r>
      <w:r>
        <w:rPr>
          <w:rFonts w:ascii="Courier New" w:hAnsi="Courier New"/>
          <w:color w:val="1E293B"/>
          <w:sz w:val="20"/>
        </w:rPr>
        <w:t>implement CrearVehiculoUseCase and decouple validation</w:t>
      </w:r>
    </w:p>
    <w:p>
      <w:pPr>
        <w:spacing w:after="60"/>
        <w:ind w:left="432"/>
      </w:pPr>
      <w:r>
        <w:rPr>
          <w:rFonts w:ascii="Courier New" w:hAnsi="Courier New"/>
          <w:b/>
          <w:color w:val="FF8C00"/>
          <w:sz w:val="20"/>
        </w:rPr>
        <w:t xml:space="preserve">refactor(frontend): </w:t>
      </w:r>
      <w:r>
        <w:rPr>
          <w:rFonts w:ascii="Courier New" w:hAnsi="Courier New"/>
          <w:color w:val="1E293B"/>
          <w:sz w:val="20"/>
        </w:rPr>
        <w:t>centralize formatMoneda logic across components</w:t>
      </w:r>
    </w:p>
    <w:p>
      <w:pPr>
        <w:spacing w:after="60"/>
        <w:ind w:left="432"/>
      </w:pPr>
      <w:r>
        <w:rPr>
          <w:rFonts w:ascii="Courier New" w:hAnsi="Courier New"/>
          <w:b/>
          <w:color w:val="FF8C00"/>
          <w:sz w:val="20"/>
        </w:rPr>
        <w:t xml:space="preserve">feat(frontend): </w:t>
      </w:r>
      <w:r>
        <w:rPr>
          <w:rFonts w:ascii="Courier New" w:hAnsi="Courier New"/>
          <w:color w:val="1E293B"/>
          <w:sz w:val="20"/>
        </w:rPr>
        <w:t>add Toast and ConfirmModal, replace native alerts</w:t>
      </w:r>
    </w:p>
    <w:p>
      <w:pPr>
        <w:spacing w:after="60"/>
        <w:ind w:left="432"/>
      </w:pPr>
      <w:r>
        <w:rPr>
          <w:rFonts w:ascii="Courier New" w:hAnsi="Courier New"/>
          <w:b/>
          <w:color w:val="FF8C00"/>
          <w:sz w:val="20"/>
        </w:rPr>
        <w:t xml:space="preserve">refactor(frontend): </w:t>
      </w:r>
      <w:r>
        <w:rPr>
          <w:rFonts w:ascii="Courier New" w:hAnsi="Courier New"/>
          <w:color w:val="1E293B"/>
          <w:sz w:val="20"/>
        </w:rPr>
        <w:t>extract role-based navigation logic to navigationConfig</w:t>
      </w:r>
    </w:p>
    <w:p>
      <w:pPr>
        <w:spacing w:after="60"/>
        <w:ind w:left="432"/>
      </w:pPr>
      <w:r>
        <w:rPr>
          <w:rFonts w:ascii="Courier New" w:hAnsi="Courier New"/>
          <w:b/>
          <w:color w:val="FF8C00"/>
          <w:sz w:val="20"/>
        </w:rPr>
        <w:t xml:space="preserve">fix(frontend): </w:t>
      </w:r>
      <w:r>
        <w:rPr>
          <w:rFonts w:ascii="Courier New" w:hAnsi="Courier New"/>
          <w:color w:val="1E293B"/>
          <w:sz w:val="20"/>
        </w:rPr>
        <w:t>remove duplicate h1 headers and pure business validation from views</w:t>
      </w:r>
    </w:p>
    <w:p>
      <w:pPr>
        <w:pBdr>
          <w:bottom w:val="single" w:sz="6" w:space="1" w:color="1A5FB4"/>
        </w:pBdr>
        <w:spacing w:before="40" w:after="160"/>
      </w:pPr>
    </w:p>
    <w:p>
      <w:pPr>
        <w:spacing w:before="200" w:after="80"/>
      </w:pPr>
      <w:r>
        <w:rPr>
          <w:b/>
          <w:color w:val="00337A"/>
          <w:sz w:val="36"/>
        </w:rPr>
        <w:t>6. Conclusión</w:t>
      </w:r>
    </w:p>
    <w:p>
      <w:pPr>
        <w:spacing w:after="80"/>
      </w:pPr>
      <w:r>
        <w:rPr>
          <w:b w:val="0"/>
          <w:i w:val="0"/>
          <w:color w:val="1E293B"/>
          <w:sz w:val="22"/>
        </w:rPr>
        <w:t>Las mejoras implementadas en esta fase fortalecen significativamente la calidad del sistema SIGEST en tres dimensiones fundamentales:</w:t>
      </w:r>
    </w:p>
    <w:p>
      <w:pPr>
        <w:spacing w:after="60"/>
        <w:ind w:left="432"/>
      </w:pPr>
      <w:r>
        <w:rPr>
          <w:color w:val="00337A"/>
          <w:sz w:val="22"/>
        </w:rPr>
        <w:t>•  Arquitectura: El código sigue la Arquitectura Hexagonal con separación estricta entre capas.</w:t>
      </w:r>
    </w:p>
    <w:p>
      <w:pPr>
        <w:spacing w:after="60"/>
        <w:ind w:left="432"/>
      </w:pPr>
      <w:r>
        <w:rPr>
          <w:color w:val="00337A"/>
          <w:sz w:val="22"/>
        </w:rPr>
        <w:t>•  Usabilidad: La experiencia del usuario es más fluida, sin interrupciones de diálogos nativos.</w:t>
      </w:r>
    </w:p>
    <w:p>
      <w:pPr>
        <w:spacing w:after="60"/>
        <w:ind w:left="432"/>
      </w:pPr>
      <w:r>
        <w:rPr>
          <w:color w:val="00337A"/>
          <w:sz w:val="22"/>
        </w:rPr>
        <w:t>•  Mantenibilidad: La lógica centralizada (moneda, navegación, validaciones) reduce el riesgo de errores futuros.</w:t>
      </w:r>
    </w:p>
    <w:p/>
    <w:p>
      <w:pPr>
        <w:spacing w:after="80"/>
      </w:pPr>
      <w:r>
        <w:rPr>
          <w:b w:val="0"/>
          <w:i/>
          <w:color w:val="5A6A82"/>
          <w:sz w:val="22"/>
        </w:rPr>
        <w:t>El sistema cumple ahora con los principios SOLID, el patrón DDD y las buenas prácticas de Ingeniería de Software exigidas en el proyecto académico de la asignatura INF-259.</w:t>
      </w:r>
    </w:p>
    <w:p>
      <w:pPr>
        <w:spacing w:before="400"/>
        <w:jc w:val="center"/>
      </w:pPr>
      <w:r>
        <w:rPr>
          <w:i/>
          <w:color w:val="5A6A82"/>
          <w:sz w:val="16"/>
        </w:rPr>
        <w:t>Documento generado el 03 de julio de 2026 — SIGEST v2.0 | Universidad Nacional Evangélica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