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40" w:lineRule="auto"/>
        <w:jc w:val="both"/>
        <w:rPr>
          <w:rFonts w:ascii="Work Sans" w:cs="Work Sans" w:eastAsia="Work Sans" w:hAnsi="Work Sans"/>
          <w:b w:val="1"/>
          <w:i w:val="1"/>
          <w:color w:val="232a3c"/>
          <w:sz w:val="124"/>
          <w:szCs w:val="124"/>
        </w:rPr>
      </w:pPr>
      <w:bookmarkStart w:colFirst="0" w:colLast="0" w:name="_7o96u8pzed7w" w:id="0"/>
      <w:bookmarkEnd w:id="0"/>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-771524</wp:posOffset>
            </wp:positionH>
            <wp:positionV relativeFrom="paragraph">
              <wp:posOffset>495300</wp:posOffset>
            </wp:positionV>
            <wp:extent cx="1890713" cy="1413994"/>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6"/>
                    <a:srcRect b="0" l="6083" r="4942" t="7407"/>
                    <a:stretch>
                      <a:fillRect/>
                    </a:stretch>
                  </pic:blipFill>
                  <pic:spPr>
                    <a:xfrm>
                      <a:off x="0" y="0"/>
                      <a:ext cx="1890713" cy="1413994"/>
                    </a:xfrm>
                    <a:prstGeom prst="rect"/>
                    <a:ln/>
                  </pic:spPr>
                </pic:pic>
              </a:graphicData>
            </a:graphic>
          </wp:anchor>
        </w:drawing>
      </w:r>
    </w:p>
    <w:p w:rsidR="00000000" w:rsidDel="00000000" w:rsidP="00000000" w:rsidRDefault="00000000" w:rsidRPr="00000000" w14:paraId="00000002">
      <w:pPr>
        <w:pStyle w:val="Title"/>
        <w:spacing w:after="0" w:line="240" w:lineRule="auto"/>
        <w:jc w:val="both"/>
        <w:rPr>
          <w:rFonts w:ascii="Montserrat" w:cs="Montserrat" w:eastAsia="Montserrat" w:hAnsi="Montserrat"/>
          <w:color w:val="232a3c"/>
          <w:sz w:val="24"/>
          <w:szCs w:val="24"/>
        </w:rPr>
      </w:pPr>
      <w:bookmarkStart w:colFirst="0" w:colLast="0" w:name="_z1tfgr9i9opn" w:id="1"/>
      <w:bookmarkEnd w:id="1"/>
      <w:r w:rsidDel="00000000" w:rsidR="00000000" w:rsidRPr="00000000">
        <w:rPr>
          <w:rFonts w:ascii="Work Sans" w:cs="Work Sans" w:eastAsia="Work Sans" w:hAnsi="Work Sans"/>
          <w:b w:val="1"/>
          <w:i w:val="1"/>
          <w:color w:val="232a3c"/>
          <w:sz w:val="140"/>
          <w:szCs w:val="140"/>
          <w:rtl w:val="0"/>
        </w:rPr>
        <w:t xml:space="preserve">ACME</w:t>
      </w:r>
      <w:r w:rsidDel="00000000" w:rsidR="00000000" w:rsidRPr="00000000">
        <w:rPr>
          <w:rFonts w:ascii="Work Sans" w:cs="Work Sans" w:eastAsia="Work Sans" w:hAnsi="Work Sans"/>
          <w:b w:val="1"/>
          <w:color w:val="232a3c"/>
          <w:sz w:val="120"/>
          <w:szCs w:val="120"/>
          <w:rtl w:val="0"/>
        </w:rPr>
        <w:t xml:space="preserve"> </w:t>
      </w:r>
      <w:r w:rsidDel="00000000" w:rsidR="00000000" w:rsidRPr="00000000">
        <w:rPr>
          <w:rtl w:val="0"/>
        </w:rPr>
      </w:r>
    </w:p>
    <w:p w:rsidR="00000000" w:rsidDel="00000000" w:rsidP="00000000" w:rsidRDefault="00000000" w:rsidRPr="00000000" w14:paraId="00000003">
      <w:pPr>
        <w:pStyle w:val="Heading1"/>
        <w:pBdr>
          <w:top w:color="auto" w:space="0" w:sz="0" w:val="none"/>
          <w:left w:color="auto" w:space="0" w:sz="0" w:val="none"/>
          <w:bottom w:color="auto" w:space="0" w:sz="0" w:val="none"/>
          <w:right w:color="auto" w:space="0" w:sz="0" w:val="none"/>
          <w:between w:color="auto" w:space="0" w:sz="0" w:val="none"/>
        </w:pBdr>
        <w:spacing w:before="200" w:line="360" w:lineRule="auto"/>
        <w:rPr>
          <w:rFonts w:ascii="Work Sans ExtraLight" w:cs="Work Sans ExtraLight" w:eastAsia="Work Sans ExtraLight" w:hAnsi="Work Sans ExtraLight"/>
          <w:b w:val="1"/>
          <w:i w:val="1"/>
          <w:color w:val="666666"/>
          <w:sz w:val="50"/>
          <w:szCs w:val="50"/>
        </w:rPr>
      </w:pPr>
      <w:bookmarkStart w:colFirst="0" w:colLast="0" w:name="_n6arwwmay01c" w:id="2"/>
      <w:bookmarkEnd w:id="2"/>
      <w:r w:rsidDel="00000000" w:rsidR="00000000" w:rsidRPr="00000000">
        <w:rPr>
          <w:rFonts w:ascii="Work Sans ExtraLight" w:cs="Work Sans ExtraLight" w:eastAsia="Work Sans ExtraLight" w:hAnsi="Work Sans ExtraLight"/>
          <w:color w:val="232a3c"/>
          <w:sz w:val="72"/>
          <w:szCs w:val="72"/>
          <w:rtl w:val="0"/>
        </w:rPr>
        <w:t xml:space="preserve">Normativa de ciberseguridad</w:t>
      </w:r>
      <w:r w:rsidDel="00000000" w:rsidR="00000000" w:rsidRPr="00000000">
        <w:rPr>
          <w:rtl w:val="0"/>
        </w:rPr>
      </w:r>
    </w:p>
    <w:p w:rsidR="00000000" w:rsidDel="00000000" w:rsidP="00000000" w:rsidRDefault="00000000" w:rsidRPr="00000000" w14:paraId="00000004">
      <w:pPr>
        <w:rPr>
          <w:rFonts w:ascii="Work Sans ExtraLight" w:cs="Work Sans ExtraLight" w:eastAsia="Work Sans ExtraLight" w:hAnsi="Work Sans ExtraLight"/>
          <w:i w:val="1"/>
          <w:color w:val="666666"/>
          <w:sz w:val="50"/>
          <w:szCs w:val="50"/>
        </w:rPr>
      </w:pPr>
      <w:r w:rsidDel="00000000" w:rsidR="00000000" w:rsidRPr="00000000">
        <w:rPr>
          <w:rFonts w:ascii="Work Sans ExtraLight" w:cs="Work Sans ExtraLight" w:eastAsia="Work Sans ExtraLight" w:hAnsi="Work Sans ExtraLight"/>
          <w:b w:val="1"/>
          <w:i w:val="1"/>
          <w:color w:val="666666"/>
          <w:sz w:val="50"/>
          <w:szCs w:val="50"/>
          <w:rtl w:val="0"/>
        </w:rPr>
        <w:t xml:space="preserve">Legislación para el cumplimiento de la responsabilidad penal</w:t>
      </w:r>
      <w:r w:rsidDel="00000000" w:rsidR="00000000" w:rsidRPr="00000000">
        <w:rPr>
          <w:rtl w:val="0"/>
        </w:rPr>
      </w:r>
    </w:p>
    <w:p w:rsidR="00000000" w:rsidDel="00000000" w:rsidP="00000000" w:rsidRDefault="00000000" w:rsidRPr="00000000" w14:paraId="00000005">
      <w:pPr>
        <w:pStyle w:val="Heading3"/>
        <w:pBdr>
          <w:top w:color="auto" w:space="0" w:sz="0" w:val="none"/>
          <w:left w:color="auto" w:space="0" w:sz="0" w:val="none"/>
          <w:bottom w:color="auto" w:space="0" w:sz="0" w:val="none"/>
          <w:right w:color="auto" w:space="0" w:sz="0" w:val="none"/>
          <w:between w:color="auto" w:space="0" w:sz="0" w:val="none"/>
        </w:pBdr>
        <w:spacing w:after="120" w:before="340" w:line="360" w:lineRule="auto"/>
        <w:rPr>
          <w:rFonts w:ascii="Montserrat" w:cs="Montserrat" w:eastAsia="Montserrat" w:hAnsi="Montserrat"/>
          <w:color w:val="af7b51"/>
          <w:sz w:val="32"/>
          <w:szCs w:val="32"/>
        </w:rPr>
      </w:pPr>
      <w:bookmarkStart w:colFirst="0" w:colLast="0" w:name="_olzdrdxilmy5" w:id="3"/>
      <w:bookmarkEnd w:id="3"/>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before="0" w:line="360" w:lineRule="auto"/>
        <w:rPr>
          <w:rFonts w:ascii="Montserrat" w:cs="Montserrat" w:eastAsia="Montserrat" w:hAnsi="Montserrat"/>
          <w:sz w:val="44"/>
          <w:szCs w:val="44"/>
        </w:rPr>
      </w:pPr>
      <w:r w:rsidDel="00000000" w:rsidR="00000000" w:rsidRPr="00000000">
        <w:rPr>
          <w:rtl w:val="0"/>
        </w:rPr>
      </w:r>
    </w:p>
    <w:p w:rsidR="00000000" w:rsidDel="00000000" w:rsidP="00000000" w:rsidRDefault="00000000" w:rsidRPr="00000000" w14:paraId="00000008">
      <w:pPr>
        <w:spacing w:before="0" w:line="360" w:lineRule="auto"/>
        <w:rPr>
          <w:rFonts w:ascii="Montserrat" w:cs="Montserrat" w:eastAsia="Montserrat" w:hAnsi="Montserrat"/>
          <w:color w:val="232a3c"/>
        </w:rPr>
      </w:pPr>
      <w:r w:rsidDel="00000000" w:rsidR="00000000" w:rsidRPr="00000000">
        <w:br w:type="page"/>
      </w:r>
      <w:r w:rsidDel="00000000" w:rsidR="00000000" w:rsidRPr="00000000">
        <w:rPr>
          <w:rtl w:val="0"/>
        </w:rPr>
      </w:r>
    </w:p>
    <w:p w:rsidR="00000000" w:rsidDel="00000000" w:rsidP="00000000" w:rsidRDefault="00000000" w:rsidRPr="00000000" w14:paraId="00000009">
      <w:pPr>
        <w:spacing w:before="0" w:line="360" w:lineRule="auto"/>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A">
      <w:pPr>
        <w:jc w:val="both"/>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0B">
      <w:pPr>
        <w:pStyle w:val="Heading1"/>
        <w:jc w:val="center"/>
        <w:rPr>
          <w:sz w:val="54"/>
          <w:szCs w:val="54"/>
        </w:rPr>
      </w:pPr>
      <w:bookmarkStart w:colFirst="0" w:colLast="0" w:name="_6lb558fkzw5l" w:id="4"/>
      <w:bookmarkEnd w:id="4"/>
      <w:r w:rsidDel="00000000" w:rsidR="00000000" w:rsidRPr="00000000">
        <w:rPr>
          <w:sz w:val="54"/>
          <w:szCs w:val="54"/>
          <w:rtl w:val="0"/>
        </w:rPr>
        <w:t xml:space="preserve">Índice</w:t>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6arwwmay0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Normativa de ciberseguridad</w:t>
              <w:tab/>
              <w:t xml:space="preserve">0</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lb558fkzw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sdsuu7o58g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Contexto</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q0zlpj4am4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Potenciales delitos del sector de las telecomunicaciones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ge1s6rhdcy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Matriz de riesgo penal</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jme3zehx6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Indicadores de probabilidad</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iyzy4ahkt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para la valoración del impacto</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fuy5s4p3t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Escala de colores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4ubqhimqz2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de potenciales delitos del sector de las Telecomunicaciones</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m5ntukar1m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Matriz de Riesgo Penal ACME</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Style w:val="Heading1"/>
        <w:spacing w:after="80" w:before="320" w:lineRule="auto"/>
        <w:rPr/>
        <w:sectPr>
          <w:headerReference r:id="rId7" w:type="default"/>
          <w:footerReference r:id="rId8" w:type="default"/>
          <w:footerReference r:id="rId9" w:type="first"/>
          <w:pgSz w:h="15840" w:w="12240" w:orient="portrait"/>
          <w:pgMar w:bottom="1440" w:top="1440" w:left="1440" w:right="1440" w:header="720" w:footer="720"/>
          <w:pgNumType w:start="0"/>
          <w:titlePg w:val="1"/>
        </w:sectPr>
      </w:pPr>
      <w:bookmarkStart w:colFirst="0" w:colLast="0" w:name="_s4isbbv9wj7e" w:id="5"/>
      <w:bookmarkEnd w:id="5"/>
      <w:r w:rsidDel="00000000" w:rsidR="00000000" w:rsidRPr="00000000">
        <w:rPr>
          <w:rtl w:val="0"/>
        </w:rPr>
      </w:r>
    </w:p>
    <w:p w:rsidR="00000000" w:rsidDel="00000000" w:rsidP="00000000" w:rsidRDefault="00000000" w:rsidRPr="00000000" w14:paraId="00000017">
      <w:pPr>
        <w:pStyle w:val="Heading1"/>
        <w:spacing w:after="80" w:before="320" w:lineRule="auto"/>
        <w:rPr/>
      </w:pPr>
      <w:bookmarkStart w:colFirst="0" w:colLast="0" w:name="_isdsuu7o58gt" w:id="6"/>
      <w:bookmarkEnd w:id="6"/>
      <w:r w:rsidDel="00000000" w:rsidR="00000000" w:rsidRPr="00000000">
        <w:rPr>
          <w:rtl w:val="0"/>
        </w:rPr>
        <w:t xml:space="preserve">Contexto</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La compañía ACME S.A. Se encarga de proveer servicios de telecomunicaciones enfocados en comunicaciones internacionales tanto a particulares como a empresas. ACME tiene una cartera de 300.000 clientes en España a los que ofrece estos servicios y por los cuales cobra una tarifa media de 23,5 € mensuales. </w:t>
      </w:r>
    </w:p>
    <w:p w:rsidR="00000000" w:rsidDel="00000000" w:rsidP="00000000" w:rsidRDefault="00000000" w:rsidRPr="00000000" w14:paraId="00000019">
      <w:pPr>
        <w:rPr/>
      </w:pPr>
      <w:r w:rsidDel="00000000" w:rsidR="00000000" w:rsidRPr="00000000">
        <w:rPr>
          <w:rtl w:val="0"/>
        </w:rPr>
        <w:t xml:space="preserve">ACME está presente en 32 países, y se aprovecha de esta situación para dar servicio a multinacionales. Durante el año 2022 ACME ha logrado adjudicarse el servicio de telecomunicaciones de todas las embajadas en España.</w:t>
      </w:r>
    </w:p>
    <w:p w:rsidR="00000000" w:rsidDel="00000000" w:rsidP="00000000" w:rsidRDefault="00000000" w:rsidRPr="00000000" w14:paraId="0000001A">
      <w:pPr>
        <w:rPr/>
      </w:pPr>
      <w:r w:rsidDel="00000000" w:rsidR="00000000" w:rsidRPr="00000000">
        <w:rPr>
          <w:rtl w:val="0"/>
        </w:rPr>
        <w:t xml:space="preserve">Uno de sus clientes multinacionales es una entidad bancaria, con un nivel de madurez en seguridad elevado, uno de los requisitos que establece es la certificación ISO27001 en los servicios de comunicaciones.</w:t>
      </w:r>
    </w:p>
    <w:p w:rsidR="00000000" w:rsidDel="00000000" w:rsidP="00000000" w:rsidRDefault="00000000" w:rsidRPr="00000000" w14:paraId="0000001B">
      <w:pPr>
        <w:rPr/>
      </w:pPr>
      <w:r w:rsidDel="00000000" w:rsidR="00000000" w:rsidRPr="00000000">
        <w:rPr>
          <w:rtl w:val="0"/>
        </w:rPr>
        <w:t xml:space="preserve">La sede central de ACME se encuentra en Madrid, fue abierta en el año 2020, sus oficinas cuentan con climatización inteligente, jardines en las azoteas para mejorar la climatización y aprovechar el agua de la lluvia para los riegos de sus zonas verdes y paneles solares para mejorar la eficiencia energética.</w:t>
      </w:r>
    </w:p>
    <w:p w:rsidR="00000000" w:rsidDel="00000000" w:rsidP="00000000" w:rsidRDefault="00000000" w:rsidRPr="00000000" w14:paraId="0000001C">
      <w:pPr>
        <w:rPr/>
      </w:pPr>
      <w:r w:rsidDel="00000000" w:rsidR="00000000" w:rsidRPr="00000000">
        <w:rPr>
          <w:rtl w:val="0"/>
        </w:rPr>
        <w:t xml:space="preserve">Además, parte de los terrenos de la organización, han sido convertidos en parques públicos que pueden ser utilizados por los residentes de la zona, y los accesos por carretera a la zona han sido acondicionados, mejorados y asfaltados.</w:t>
      </w:r>
    </w:p>
    <w:p w:rsidR="00000000" w:rsidDel="00000000" w:rsidP="00000000" w:rsidRDefault="00000000" w:rsidRPr="00000000" w14:paraId="0000001D">
      <w:pPr>
        <w:rPr/>
      </w:pPr>
      <w:r w:rsidDel="00000000" w:rsidR="00000000" w:rsidRPr="00000000">
        <w:rPr>
          <w:rtl w:val="0"/>
        </w:rPr>
        <w:t xml:space="preserve">La dirección de la organización es consciente de que es sujeto obligado para multitud de leyes y normativas. Tras el sistema de gestión de compliance desarrollado en semanas anteriores, ahora la preocupación está enfocada en los riesgos penales, ya que uno de los principales competidores se ha visto envuelto en un escándalo de escuchas y ha sido objeto de sanciones penales considerables.</w:t>
      </w:r>
    </w:p>
    <w:p w:rsidR="00000000" w:rsidDel="00000000" w:rsidP="00000000" w:rsidRDefault="00000000" w:rsidRPr="00000000" w14:paraId="0000001E">
      <w:pPr>
        <w:pStyle w:val="Heading1"/>
        <w:rPr/>
        <w:sectPr>
          <w:type w:val="nextPage"/>
          <w:pgSz w:h="15840" w:w="12240" w:orient="portrait"/>
          <w:pgMar w:bottom="1440" w:top="1440" w:left="1440" w:right="1440" w:header="720" w:footer="720"/>
        </w:sectPr>
      </w:pPr>
      <w:bookmarkStart w:colFirst="0" w:colLast="0" w:name="_f43mq0rgbjn5" w:id="7"/>
      <w:bookmarkEnd w:id="7"/>
      <w:r w:rsidDel="00000000" w:rsidR="00000000" w:rsidRPr="00000000">
        <w:rPr>
          <w:rtl w:val="0"/>
        </w:rPr>
      </w:r>
    </w:p>
    <w:p w:rsidR="00000000" w:rsidDel="00000000" w:rsidP="00000000" w:rsidRDefault="00000000" w:rsidRPr="00000000" w14:paraId="0000001F">
      <w:pPr>
        <w:pStyle w:val="Heading1"/>
        <w:rPr>
          <w:color w:val="6aa84f"/>
        </w:rPr>
      </w:pPr>
      <w:bookmarkStart w:colFirst="0" w:colLast="0" w:name="_xq0zlpj4am4w" w:id="8"/>
      <w:bookmarkEnd w:id="8"/>
      <w:r w:rsidDel="00000000" w:rsidR="00000000" w:rsidRPr="00000000">
        <w:rPr>
          <w:rtl w:val="0"/>
        </w:rPr>
        <w:t xml:space="preserve">Potenciales d</w:t>
      </w:r>
      <w:r w:rsidDel="00000000" w:rsidR="00000000" w:rsidRPr="00000000">
        <w:rPr>
          <w:rtl w:val="0"/>
        </w:rPr>
        <w:t xml:space="preserve">elitos del sector de las telecomunicaciones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spacing w:before="0" w:line="240" w:lineRule="auto"/>
              <w:rPr/>
            </w:pPr>
            <w:r w:rsidDel="00000000" w:rsidR="00000000" w:rsidRPr="00000000">
              <w:rPr>
                <w:rtl w:val="0"/>
              </w:rPr>
              <w:t xml:space="preserve">Delitos contra la intimidad, allanamiento informático y otros delitos informáticos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spacing w:before="0" w:line="240" w:lineRule="auto"/>
              <w:rPr/>
            </w:pPr>
            <w:r w:rsidDel="00000000" w:rsidR="00000000" w:rsidRPr="00000000">
              <w:rPr>
                <w:rtl w:val="0"/>
              </w:rPr>
              <w:t xml:space="preserve">Estafas y fraudes.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spacing w:before="0" w:line="240" w:lineRule="auto"/>
              <w:rPr/>
            </w:pPr>
            <w:r w:rsidDel="00000000" w:rsidR="00000000" w:rsidRPr="00000000">
              <w:rPr>
                <w:rtl w:val="0"/>
              </w:rPr>
              <w:t xml:space="preserve">Daños informáticos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spacing w:before="0" w:line="240" w:lineRule="auto"/>
              <w:rPr/>
            </w:pPr>
            <w:r w:rsidDel="00000000" w:rsidR="00000000" w:rsidRPr="00000000">
              <w:rPr>
                <w:rtl w:val="0"/>
              </w:rPr>
              <w:t xml:space="preserve">Delitos contra la propiedad intelectual e industrial, el mercado y los consumidores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spacing w:before="0" w:line="240" w:lineRule="auto"/>
              <w:rPr/>
            </w:pPr>
            <w:r w:rsidDel="00000000" w:rsidR="00000000" w:rsidRPr="00000000">
              <w:rPr>
                <w:rtl w:val="0"/>
              </w:rPr>
              <w:t xml:space="preserve">Blanqueo de capitales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spacing w:before="0" w:line="240" w:lineRule="auto"/>
              <w:rPr/>
            </w:pPr>
            <w:r w:rsidDel="00000000" w:rsidR="00000000" w:rsidRPr="00000000">
              <w:rPr>
                <w:rtl w:val="0"/>
              </w:rPr>
              <w:t xml:space="preserve">Financiación ilegal de partidos políticos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spacing w:before="0" w:line="240" w:lineRule="auto"/>
              <w:rPr/>
            </w:pPr>
            <w:r w:rsidDel="00000000" w:rsidR="00000000" w:rsidRPr="00000000">
              <w:rPr>
                <w:rtl w:val="0"/>
              </w:rPr>
              <w:t xml:space="preserve">Cohecho</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before="0" w:line="240" w:lineRule="auto"/>
              <w:rPr/>
            </w:pPr>
            <w:r w:rsidDel="00000000" w:rsidR="00000000" w:rsidRPr="00000000">
              <w:rPr>
                <w:rtl w:val="0"/>
              </w:rPr>
              <w:t xml:space="preserve">Delitos contra la Hacienda Pública y la Seguridad Social</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spacing w:before="0" w:line="240" w:lineRule="auto"/>
              <w:rPr/>
            </w:pPr>
            <w:r w:rsidDel="00000000" w:rsidR="00000000" w:rsidRPr="00000000">
              <w:rPr>
                <w:rtl w:val="0"/>
              </w:rPr>
              <w:t xml:space="preserve">Delitos contra el medio ambiente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before="0" w:line="240" w:lineRule="auto"/>
              <w:rPr/>
            </w:pPr>
            <w:r w:rsidDel="00000000" w:rsidR="00000000" w:rsidRPr="00000000">
              <w:rPr>
                <w:rtl w:val="0"/>
              </w:rPr>
              <w:t xml:space="preserve">Delitos contra la salud pública</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spacing w:before="0" w:line="240" w:lineRule="auto"/>
              <w:rPr/>
            </w:pPr>
            <w:r w:rsidDel="00000000" w:rsidR="00000000" w:rsidRPr="00000000">
              <w:rPr>
                <w:rtl w:val="0"/>
              </w:rPr>
              <w:t xml:space="preserve">Tráfico de influencias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spacing w:before="0" w:line="240" w:lineRule="auto"/>
              <w:rPr/>
            </w:pPr>
            <w:r w:rsidDel="00000000" w:rsidR="00000000" w:rsidRPr="00000000">
              <w:rPr>
                <w:rtl w:val="0"/>
              </w:rPr>
              <w:t xml:space="preserve">Alteración de precios en concursos y subastas públicas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before="0" w:line="240" w:lineRule="auto"/>
              <w:rPr/>
            </w:pPr>
            <w:r w:rsidDel="00000000" w:rsidR="00000000" w:rsidRPr="00000000">
              <w:rPr>
                <w:rtl w:val="0"/>
              </w:rPr>
              <w:t xml:space="preserve">Negativas a actuaciones inspectoras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spacing w:before="0" w:line="240" w:lineRule="auto"/>
              <w:rPr/>
            </w:pPr>
            <w:r w:rsidDel="00000000" w:rsidR="00000000" w:rsidRPr="00000000">
              <w:rPr>
                <w:rtl w:val="0"/>
              </w:rPr>
              <w:t xml:space="preserve">Contra los derechos de los trabajadores</w:t>
            </w:r>
          </w:p>
        </w:tc>
      </w:tr>
    </w:tbl>
    <w:p w:rsidR="00000000" w:rsidDel="00000000" w:rsidP="00000000" w:rsidRDefault="00000000" w:rsidRPr="00000000" w14:paraId="0000002E">
      <w:pPr>
        <w:spacing w:before="200" w:lineRule="auto"/>
        <w:jc w:val="both"/>
        <w:rPr/>
      </w:pPr>
      <w:r w:rsidDel="00000000" w:rsidR="00000000" w:rsidRPr="00000000">
        <w:rPr>
          <w:rtl w:val="0"/>
        </w:rPr>
      </w:r>
    </w:p>
    <w:p w:rsidR="00000000" w:rsidDel="00000000" w:rsidP="00000000" w:rsidRDefault="00000000" w:rsidRPr="00000000" w14:paraId="0000002F">
      <w:pPr>
        <w:pStyle w:val="Heading1"/>
        <w:rPr/>
      </w:pPr>
      <w:bookmarkStart w:colFirst="0" w:colLast="0" w:name="_fge1s6rhdcyw" w:id="9"/>
      <w:bookmarkEnd w:id="9"/>
      <w:r w:rsidDel="00000000" w:rsidR="00000000" w:rsidRPr="00000000">
        <w:rPr>
          <w:rtl w:val="0"/>
        </w:rPr>
        <w:t xml:space="preserve">Matriz de riesgo penal</w:t>
      </w:r>
    </w:p>
    <w:p w:rsidR="00000000" w:rsidDel="00000000" w:rsidP="00000000" w:rsidRDefault="00000000" w:rsidRPr="00000000" w14:paraId="00000030">
      <w:pPr>
        <w:pStyle w:val="Heading2"/>
        <w:rPr/>
      </w:pPr>
      <w:bookmarkStart w:colFirst="0" w:colLast="0" w:name="_1jme3zehx6ut" w:id="10"/>
      <w:bookmarkEnd w:id="10"/>
      <w:r w:rsidDel="00000000" w:rsidR="00000000" w:rsidRPr="00000000">
        <w:rPr>
          <w:rtl w:val="0"/>
        </w:rPr>
        <w:t xml:space="preserve">Indicadores de probabilidad</w:t>
      </w:r>
    </w:p>
    <w:p w:rsidR="00000000" w:rsidDel="00000000" w:rsidP="00000000" w:rsidRDefault="00000000" w:rsidRPr="00000000" w14:paraId="00000031">
      <w:pPr>
        <w:spacing w:before="200" w:lineRule="auto"/>
        <w:jc w:val="both"/>
        <w:rPr/>
      </w:pPr>
      <w:r w:rsidDel="00000000" w:rsidR="00000000" w:rsidRPr="00000000">
        <w:rPr/>
        <w:drawing>
          <wp:inline distB="114300" distT="114300" distL="114300" distR="114300">
            <wp:extent cx="6153150" cy="1562100"/>
            <wp:effectExtent b="0" l="0" r="0" t="0"/>
            <wp:docPr id="3" name="image1.png"/>
            <a:graphic>
              <a:graphicData uri="http://schemas.openxmlformats.org/drawingml/2006/picture">
                <pic:pic>
                  <pic:nvPicPr>
                    <pic:cNvPr id="0" name="image1.png"/>
                    <pic:cNvPicPr preferRelativeResize="0"/>
                  </pic:nvPicPr>
                  <pic:blipFill>
                    <a:blip r:embed="rId10"/>
                    <a:srcRect b="5607" l="1642" r="1908" t="17757"/>
                    <a:stretch>
                      <a:fillRect/>
                    </a:stretch>
                  </pic:blipFill>
                  <pic:spPr>
                    <a:xfrm>
                      <a:off x="0" y="0"/>
                      <a:ext cx="61531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rPr/>
      </w:pPr>
      <w:bookmarkStart w:colFirst="0" w:colLast="0" w:name="_ciyzy4ahktm8" w:id="11"/>
      <w:bookmarkEnd w:id="11"/>
      <w:r w:rsidDel="00000000" w:rsidR="00000000" w:rsidRPr="00000000">
        <w:rPr>
          <w:rtl w:val="0"/>
        </w:rPr>
        <w:t xml:space="preserve">Criterios para la v</w:t>
      </w:r>
      <w:r w:rsidDel="00000000" w:rsidR="00000000" w:rsidRPr="00000000">
        <w:rPr>
          <w:rtl w:val="0"/>
        </w:rPr>
        <w:t xml:space="preserve">aloración del impacto</w:t>
      </w:r>
    </w:p>
    <w:p w:rsidR="00000000" w:rsidDel="00000000" w:rsidP="00000000" w:rsidRDefault="00000000" w:rsidRPr="00000000" w14:paraId="00000033">
      <w:pPr>
        <w:spacing w:before="200" w:lineRule="auto"/>
        <w:jc w:val="both"/>
        <w:rPr/>
      </w:pPr>
      <w:r w:rsidDel="00000000" w:rsidR="00000000" w:rsidRPr="00000000">
        <w:rPr/>
        <w:drawing>
          <wp:inline distB="114300" distT="114300" distL="114300" distR="114300">
            <wp:extent cx="6077718" cy="1905316"/>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077718" cy="190531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2"/>
        <w:rPr/>
      </w:pPr>
      <w:bookmarkStart w:colFirst="0" w:colLast="0" w:name="_ffuy5s4p3tj5" w:id="12"/>
      <w:bookmarkEnd w:id="12"/>
      <w:r w:rsidDel="00000000" w:rsidR="00000000" w:rsidRPr="00000000">
        <w:rPr>
          <w:rtl w:val="0"/>
        </w:rPr>
        <w:t xml:space="preserve">Escala de colores</w:t>
      </w:r>
      <w:r w:rsidDel="00000000" w:rsidR="00000000" w:rsidRPr="00000000">
        <w:rPr>
          <w:rtl w:val="0"/>
        </w:rPr>
      </w:r>
    </w:p>
    <w:p w:rsidR="00000000" w:rsidDel="00000000" w:rsidP="00000000" w:rsidRDefault="00000000" w:rsidRPr="00000000" w14:paraId="00000035">
      <w:pPr>
        <w:spacing w:after="240" w:before="0" w:line="360" w:lineRule="auto"/>
        <w:jc w:val="left"/>
        <w:rPr>
          <w:rFonts w:ascii="Work Sans" w:cs="Work Sans" w:eastAsia="Work Sans" w:hAnsi="Work Sans"/>
        </w:rPr>
      </w:pPr>
      <w:r w:rsidDel="00000000" w:rsidR="00000000" w:rsidRPr="00000000">
        <w:rPr>
          <w:rFonts w:ascii="Work Sans" w:cs="Work Sans" w:eastAsia="Work Sans" w:hAnsi="Work Sans"/>
        </w:rPr>
        <w:drawing>
          <wp:inline distB="114300" distT="114300" distL="114300" distR="114300">
            <wp:extent cx="5943600" cy="22479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247900"/>
                    </a:xfrm>
                    <a:prstGeom prst="rect"/>
                    <a:ln/>
                  </pic:spPr>
                </pic:pic>
              </a:graphicData>
            </a:graphic>
          </wp:inline>
        </w:drawing>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710"/>
        <w:gridCol w:w="1290"/>
        <w:gridCol w:w="1530"/>
        <w:gridCol w:w="1305"/>
        <w:gridCol w:w="1560"/>
        <w:tblGridChange w:id="0">
          <w:tblGrid>
            <w:gridCol w:w="1965"/>
            <w:gridCol w:w="1710"/>
            <w:gridCol w:w="1290"/>
            <w:gridCol w:w="1530"/>
            <w:gridCol w:w="1305"/>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Muy alta</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5</w:t>
            </w:r>
          </w:p>
        </w:tc>
        <w:tc>
          <w:tcPr>
            <w:shd w:fill="980000"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15</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20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Alta</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8</w:t>
            </w:r>
          </w:p>
        </w:tc>
        <w:tc>
          <w:tcPr>
            <w:shd w:fill="980000"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12</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16</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Moderada</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w:t>
            </w:r>
          </w:p>
        </w:tc>
        <w:tc>
          <w:tcPr>
            <w:shd w:fill="980000"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9</w:t>
            </w:r>
          </w:p>
        </w:tc>
        <w:tc>
          <w:tcPr>
            <w:shd w:fill="980000"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12</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Baja</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8</w:t>
            </w:r>
          </w:p>
        </w:tc>
        <w:tc>
          <w:tcPr>
            <w:shd w:fill="980000"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Muy Baja</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5</w:t>
            </w:r>
          </w:p>
        </w:tc>
      </w:tr>
      <w:tr>
        <w:trPr>
          <w:cantSplit w:val="0"/>
          <w:tblHeader w:val="0"/>
        </w:trPr>
        <w:tc>
          <w:tcPr>
            <w:tcBorders>
              <w:bottom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Probabilidad</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5</w:t>
            </w:r>
          </w:p>
        </w:tc>
      </w:tr>
      <w:tr>
        <w:trPr>
          <w:cantSplit w:val="0"/>
          <w:trHeight w:val="510" w:hRule="atLeast"/>
          <w:tblHeader w:val="0"/>
        </w:trPr>
        <w:tc>
          <w:tcPr>
            <w:vMerge w:val="restart"/>
            <w:tcBorders>
              <w:top w:color="434343" w:space="0" w:sz="8" w:val="single"/>
              <w:left w:color="ffffff"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jc w:val="center"/>
              <w:rPr>
                <w:rFonts w:ascii="Comfortaa" w:cs="Comfortaa" w:eastAsia="Comfortaa" w:hAnsi="Comforta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Muy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Muy alto</w:t>
            </w:r>
          </w:p>
        </w:tc>
      </w:tr>
      <w:tr>
        <w:trPr>
          <w:cantSplit w:val="0"/>
          <w:trHeight w:val="510" w:hRule="atLeast"/>
          <w:tblHeader w:val="0"/>
        </w:trPr>
        <w:tc>
          <w:tcPr>
            <w:vMerge w:val="continue"/>
            <w:tcBorders>
              <w:top w:color="434343" w:space="0" w:sz="8" w:val="single"/>
              <w:left w:color="ffffff" w:space="0" w:sz="8" w:val="single"/>
              <w:bottom w:color="ffffff"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before="0" w:line="240" w:lineRule="auto"/>
              <w:ind w:left="0" w:firstLine="0"/>
              <w:jc w:val="center"/>
              <w:rPr>
                <w:rFonts w:ascii="Comfortaa" w:cs="Comfortaa" w:eastAsia="Comfortaa" w:hAnsi="Comfortaa"/>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Impacto</w:t>
            </w:r>
          </w:p>
        </w:tc>
      </w:tr>
    </w:tbl>
    <w:p w:rsidR="00000000" w:rsidDel="00000000" w:rsidP="00000000" w:rsidRDefault="00000000" w:rsidRPr="00000000" w14:paraId="00000066">
      <w:pPr>
        <w:spacing w:after="240" w:before="0" w:line="360" w:lineRule="auto"/>
        <w:jc w:val="left"/>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7">
      <w:pPr>
        <w:pStyle w:val="Heading1"/>
        <w:spacing w:after="240" w:before="0" w:line="360" w:lineRule="auto"/>
        <w:jc w:val="left"/>
        <w:rPr/>
      </w:pPr>
      <w:bookmarkStart w:colFirst="0" w:colLast="0" w:name="_m4ubqhimqz2r" w:id="13"/>
      <w:bookmarkEnd w:id="13"/>
      <w:r w:rsidDel="00000000" w:rsidR="00000000" w:rsidRPr="00000000">
        <w:rPr>
          <w:rtl w:val="0"/>
        </w:rPr>
        <w:t xml:space="preserve">Análisis de potenciales delitos del sector de las Telecomunicaciones </w:t>
      </w:r>
    </w:p>
    <w:tbl>
      <w:tblPr>
        <w:tblStyle w:val="Table3"/>
        <w:tblW w:w="13320.0" w:type="dxa"/>
        <w:jc w:val="left"/>
        <w:tblLayout w:type="fixed"/>
        <w:tblLook w:val="0600"/>
      </w:tblPr>
      <w:tblGrid>
        <w:gridCol w:w="4395"/>
        <w:gridCol w:w="2505"/>
        <w:gridCol w:w="2730"/>
        <w:gridCol w:w="3690"/>
        <w:tblGridChange w:id="0">
          <w:tblGrid>
            <w:gridCol w:w="4395"/>
            <w:gridCol w:w="2505"/>
            <w:gridCol w:w="2730"/>
            <w:gridCol w:w="3690"/>
          </w:tblGrid>
        </w:tblGridChange>
      </w:tblGrid>
      <w:tr>
        <w:trPr>
          <w:cantSplit w:val="0"/>
          <w:trHeight w:val="830" w:hRule="atLeast"/>
          <w:tblHeader w:val="0"/>
        </w:trPr>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8">
            <w:pPr>
              <w:spacing w:after="240" w:before="0" w:line="360" w:lineRule="auto"/>
              <w:jc w:val="center"/>
              <w:rPr>
                <w:rFonts w:ascii="Lora" w:cs="Lora" w:eastAsia="Lora" w:hAnsi="Lora"/>
              </w:rPr>
            </w:pPr>
            <w:r w:rsidDel="00000000" w:rsidR="00000000" w:rsidRPr="00000000">
              <w:rPr>
                <w:rFonts w:ascii="Lora" w:cs="Lora" w:eastAsia="Lora" w:hAnsi="Lora"/>
                <w:b w:val="1"/>
                <w:rtl w:val="0"/>
              </w:rPr>
              <w:t xml:space="preserve">Delito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9">
            <w:pPr>
              <w:spacing w:after="240" w:before="0" w:line="360" w:lineRule="auto"/>
              <w:jc w:val="center"/>
              <w:rPr>
                <w:rFonts w:ascii="Lora" w:cs="Lora" w:eastAsia="Lora" w:hAnsi="Lora"/>
              </w:rPr>
            </w:pPr>
            <w:r w:rsidDel="00000000" w:rsidR="00000000" w:rsidRPr="00000000">
              <w:rPr>
                <w:rFonts w:ascii="Lora" w:cs="Lora" w:eastAsia="Lora" w:hAnsi="Lora"/>
                <w:b w:val="1"/>
                <w:rtl w:val="0"/>
              </w:rPr>
              <w:t xml:space="preserve">Probabilidad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A">
            <w:pPr>
              <w:spacing w:after="240" w:before="0" w:line="360" w:lineRule="auto"/>
              <w:jc w:val="center"/>
              <w:rPr>
                <w:rFonts w:ascii="Lora" w:cs="Lora" w:eastAsia="Lora" w:hAnsi="Lora"/>
              </w:rPr>
            </w:pPr>
            <w:r w:rsidDel="00000000" w:rsidR="00000000" w:rsidRPr="00000000">
              <w:rPr>
                <w:rFonts w:ascii="Lora" w:cs="Lora" w:eastAsia="Lora" w:hAnsi="Lora"/>
                <w:b w:val="1"/>
                <w:rtl w:val="0"/>
              </w:rPr>
              <w:t xml:space="preserve">Impacto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B">
            <w:pPr>
              <w:spacing w:after="240" w:before="0" w:line="360" w:lineRule="auto"/>
              <w:jc w:val="center"/>
              <w:rPr>
                <w:rFonts w:ascii="Lora" w:cs="Lora" w:eastAsia="Lora" w:hAnsi="Lora"/>
              </w:rPr>
            </w:pPr>
            <w:r w:rsidDel="00000000" w:rsidR="00000000" w:rsidRPr="00000000">
              <w:rPr>
                <w:rFonts w:ascii="Lora" w:cs="Lora" w:eastAsia="Lora" w:hAnsi="Lora"/>
                <w:b w:val="1"/>
                <w:rtl w:val="0"/>
              </w:rPr>
              <w:t xml:space="preserve">Riesgo</w:t>
            </w:r>
            <w:r w:rsidDel="00000000" w:rsidR="00000000" w:rsidRPr="00000000">
              <w:rPr>
                <w:rtl w:val="0"/>
              </w:rPr>
            </w:r>
          </w:p>
        </w:tc>
      </w:tr>
      <w:tr>
        <w:trPr>
          <w:cantSplit w:val="0"/>
          <w:trHeight w:val="108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6C">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Delitos contra la intimidad, allanamiento informático y otros delitos informáticos</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6D">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4 (Alto)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6E">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4 (Alto)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6F">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16</w:t>
            </w:r>
          </w:p>
        </w:tc>
      </w:tr>
      <w:tr>
        <w:trPr>
          <w:cantSplit w:val="0"/>
          <w:trHeight w:val="51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70">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Estafas y fraudes</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71">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4 (Alto)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72">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4 (Alto)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73">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16</w:t>
            </w:r>
          </w:p>
        </w:tc>
      </w:tr>
      <w:tr>
        <w:trPr>
          <w:cantSplit w:val="0"/>
          <w:trHeight w:val="51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74">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Daños informáticos</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75">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3 (Moderado)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76">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4 (Alto)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77">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12</w:t>
            </w:r>
          </w:p>
        </w:tc>
      </w:tr>
      <w:tr>
        <w:trPr>
          <w:cantSplit w:val="0"/>
          <w:trHeight w:val="108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78">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Delitos contra la propiedad intelectual e industrial, el mercado y los consumidores</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79">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4 (Alto)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7A">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4 (Alto)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7B">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16</w:t>
            </w:r>
          </w:p>
        </w:tc>
      </w:tr>
      <w:tr>
        <w:trPr>
          <w:cantSplit w:val="0"/>
          <w:trHeight w:val="51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7C">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Blanqueo de capitales</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7D">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3 (Moderado)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7E">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5 (Muy alto)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7F">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15</w:t>
            </w:r>
          </w:p>
        </w:tc>
      </w:tr>
      <w:tr>
        <w:trPr>
          <w:cantSplit w:val="0"/>
          <w:trHeight w:val="800"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80">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Financiación ilegal de partidos políticos</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81">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2 (Bajo)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82">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5 (Muy alto)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83">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10</w:t>
            </w:r>
          </w:p>
        </w:tc>
      </w:tr>
      <w:tr>
        <w:trPr>
          <w:cantSplit w:val="0"/>
          <w:trHeight w:val="51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84">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Cohecho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85">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3 (Moderado)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86">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5 (Muy alto)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87">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15</w:t>
            </w:r>
          </w:p>
        </w:tc>
      </w:tr>
      <w:tr>
        <w:trPr>
          <w:cantSplit w:val="0"/>
          <w:trHeight w:val="800"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88">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Delitos contra la Hacienda Pública y la Seguridad Social</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89">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3 (Moderado)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8A">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5 (Muy alto)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8B">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15</w:t>
            </w:r>
          </w:p>
        </w:tc>
      </w:tr>
      <w:tr>
        <w:trPr>
          <w:cantSplit w:val="0"/>
          <w:trHeight w:val="51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8C">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Delitos contra el medio ambiente</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8D">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2 (Bajo)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8E">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5 (Muy alto)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8F">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10</w:t>
            </w:r>
          </w:p>
        </w:tc>
      </w:tr>
      <w:tr>
        <w:trPr>
          <w:cantSplit w:val="0"/>
          <w:trHeight w:val="51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90">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Delitos contra la salud pública</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91">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3 (Moderado)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92">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5 (Muy alto)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93">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15</w:t>
            </w:r>
          </w:p>
        </w:tc>
      </w:tr>
      <w:tr>
        <w:trPr>
          <w:cantSplit w:val="0"/>
          <w:trHeight w:val="51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94">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Tráfico de influencias</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95">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3 (Moderado)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96">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4 (Alto)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12</w:t>
            </w:r>
          </w:p>
        </w:tc>
      </w:tr>
      <w:tr>
        <w:trPr>
          <w:cantSplit w:val="0"/>
          <w:trHeight w:val="800"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98">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Alteración de precios en concursos y subastas públicas</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99">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2 (Bajo)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3 (Moderado)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6</w:t>
            </w:r>
          </w:p>
        </w:tc>
      </w:tr>
      <w:tr>
        <w:trPr>
          <w:cantSplit w:val="0"/>
          <w:trHeight w:val="800"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Negativas a actuaciones inspectoras</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2 (Bajo)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9E">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3 (Moderado)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9F">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6</w:t>
            </w:r>
          </w:p>
        </w:tc>
      </w:tr>
      <w:tr>
        <w:trPr>
          <w:cantSplit w:val="0"/>
          <w:trHeight w:val="800"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A0">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Contra los derechos de los trabajadores</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A1">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3 (Moderado)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A2">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4 (Alto)</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0A3">
            <w:pPr>
              <w:spacing w:after="240" w:before="0" w:line="360" w:lineRule="auto"/>
              <w:jc w:val="center"/>
              <w:rPr>
                <w:rFonts w:ascii="Lora" w:cs="Lora" w:eastAsia="Lora" w:hAnsi="Lora"/>
              </w:rPr>
            </w:pPr>
            <w:r w:rsidDel="00000000" w:rsidR="00000000" w:rsidRPr="00000000">
              <w:rPr>
                <w:rFonts w:ascii="Lora" w:cs="Lora" w:eastAsia="Lora" w:hAnsi="Lora"/>
                <w:rtl w:val="0"/>
              </w:rPr>
              <w:t xml:space="preserve">12</w:t>
            </w:r>
          </w:p>
        </w:tc>
      </w:tr>
    </w:tbl>
    <w:p w:rsidR="00000000" w:rsidDel="00000000" w:rsidP="00000000" w:rsidRDefault="00000000" w:rsidRPr="00000000" w14:paraId="000000A4">
      <w:pPr>
        <w:spacing w:after="240" w:before="0" w:line="360" w:lineRule="auto"/>
        <w:jc w:val="left"/>
        <w:rPr/>
      </w:pPr>
      <w:r w:rsidDel="00000000" w:rsidR="00000000" w:rsidRPr="00000000">
        <w:rPr>
          <w:rtl w:val="0"/>
        </w:rPr>
      </w:r>
    </w:p>
    <w:p w:rsidR="00000000" w:rsidDel="00000000" w:rsidP="00000000" w:rsidRDefault="00000000" w:rsidRPr="00000000" w14:paraId="000000A5">
      <w:pPr>
        <w:pStyle w:val="Heading1"/>
        <w:spacing w:after="240" w:before="0" w:line="360" w:lineRule="auto"/>
        <w:jc w:val="left"/>
        <w:rPr/>
      </w:pPr>
      <w:bookmarkStart w:colFirst="0" w:colLast="0" w:name="_4m5ntukar1m0" w:id="14"/>
      <w:bookmarkEnd w:id="14"/>
      <w:r w:rsidDel="00000000" w:rsidR="00000000" w:rsidRPr="00000000">
        <w:rPr>
          <w:rtl w:val="0"/>
        </w:rPr>
        <w:t xml:space="preserve">Matriz de Riesgo Penal ACME</w:t>
      </w:r>
    </w:p>
    <w:tbl>
      <w:tblPr>
        <w:tblStyle w:val="Table4"/>
        <w:tblW w:w="134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420"/>
        <w:gridCol w:w="375"/>
        <w:gridCol w:w="2715"/>
        <w:gridCol w:w="3120"/>
        <w:gridCol w:w="5235"/>
        <w:tblGridChange w:id="0">
          <w:tblGrid>
            <w:gridCol w:w="1545"/>
            <w:gridCol w:w="420"/>
            <w:gridCol w:w="375"/>
            <w:gridCol w:w="2715"/>
            <w:gridCol w:w="3120"/>
            <w:gridCol w:w="5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Muy alta</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jc w:val="left"/>
              <w:rPr>
                <w:rFonts w:ascii="Comfortaa" w:cs="Comfortaa" w:eastAsia="Comfortaa" w:hAnsi="Comfortaa"/>
              </w:rPr>
            </w:pPr>
            <w:r w:rsidDel="00000000" w:rsidR="00000000" w:rsidRPr="00000000">
              <w:rPr>
                <w:rtl w:val="0"/>
              </w:rPr>
            </w:r>
          </w:p>
        </w:tc>
        <w:tc>
          <w:tcPr>
            <w:shd w:fill="980000"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jc w:val="left"/>
              <w:rPr>
                <w:rFonts w:ascii="Comfortaa" w:cs="Comfortaa" w:eastAsia="Comfortaa" w:hAnsi="Comfortaa"/>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jc w:val="left"/>
              <w:rPr>
                <w:rFonts w:ascii="Comfortaa" w:cs="Comfortaa" w:eastAsia="Comfortaa" w:hAnsi="Comfortaa"/>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jc w:val="left"/>
              <w:rPr>
                <w:rFonts w:ascii="Comfortaa" w:cs="Comfortaa" w:eastAsia="Comfortaa" w:hAnsi="Comfortaa"/>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jc w:val="left"/>
              <w:rPr>
                <w:rFonts w:ascii="Comfortaa" w:cs="Comfortaa" w:eastAsia="Comfortaa" w:hAnsi="Comforta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Alta</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jc w:val="left"/>
              <w:rPr>
                <w:rFonts w:ascii="Comfortaa" w:cs="Comfortaa" w:eastAsia="Comfortaa" w:hAnsi="Comfortaa"/>
              </w:rPr>
            </w:pP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jc w:val="left"/>
              <w:rPr>
                <w:rFonts w:ascii="Comfortaa" w:cs="Comfortaa" w:eastAsia="Comfortaa" w:hAnsi="Comfortaa"/>
              </w:rPr>
            </w:pPr>
            <w:r w:rsidDel="00000000" w:rsidR="00000000" w:rsidRPr="00000000">
              <w:rPr>
                <w:rtl w:val="0"/>
              </w:rPr>
            </w:r>
          </w:p>
        </w:tc>
        <w:tc>
          <w:tcPr>
            <w:shd w:fill="980000"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jc w:val="left"/>
              <w:rPr>
                <w:rFonts w:ascii="Comfortaa" w:cs="Comfortaa" w:eastAsia="Comfortaa" w:hAnsi="Comfortaa"/>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jc w:val="left"/>
              <w:rPr>
                <w:rFonts w:ascii="Comfortaa" w:cs="Comfortaa" w:eastAsia="Comfortaa" w:hAnsi="Comfortaa"/>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3"/>
              </w:numPr>
              <w:spacing w:before="0" w:line="240" w:lineRule="auto"/>
              <w:ind w:left="720" w:hanging="360"/>
              <w:jc w:val="left"/>
              <w:rPr>
                <w:rFonts w:ascii="Comfortaa" w:cs="Comfortaa" w:eastAsia="Comfortaa" w:hAnsi="Comfortaa"/>
                <w:u w:val="none"/>
              </w:rPr>
            </w:pPr>
            <w:r w:rsidDel="00000000" w:rsidR="00000000" w:rsidRPr="00000000">
              <w:rPr>
                <w:rFonts w:ascii="Comfortaa" w:cs="Comfortaa" w:eastAsia="Comfortaa" w:hAnsi="Comfortaa"/>
                <w:rtl w:val="0"/>
              </w:rPr>
              <w:t xml:space="preserve">Delitos contra la intimidad, allanamiento informático y otros delitos informáticos</w:t>
            </w:r>
          </w:p>
          <w:p w:rsidR="00000000" w:rsidDel="00000000" w:rsidP="00000000" w:rsidRDefault="00000000" w:rsidRPr="00000000" w14:paraId="000000B2">
            <w:pPr>
              <w:widowControl w:val="0"/>
              <w:numPr>
                <w:ilvl w:val="0"/>
                <w:numId w:val="3"/>
              </w:numPr>
              <w:spacing w:before="0" w:line="240" w:lineRule="auto"/>
              <w:ind w:left="720" w:hanging="360"/>
              <w:jc w:val="left"/>
              <w:rPr>
                <w:rFonts w:ascii="Comfortaa" w:cs="Comfortaa" w:eastAsia="Comfortaa" w:hAnsi="Comfortaa"/>
              </w:rPr>
            </w:pPr>
            <w:r w:rsidDel="00000000" w:rsidR="00000000" w:rsidRPr="00000000">
              <w:rPr>
                <w:rFonts w:ascii="Comfortaa" w:cs="Comfortaa" w:eastAsia="Comfortaa" w:hAnsi="Comfortaa"/>
                <w:rtl w:val="0"/>
              </w:rPr>
              <w:t xml:space="preserve">Estafas y fraudes</w:t>
            </w:r>
          </w:p>
          <w:p w:rsidR="00000000" w:rsidDel="00000000" w:rsidP="00000000" w:rsidRDefault="00000000" w:rsidRPr="00000000" w14:paraId="000000B3">
            <w:pPr>
              <w:widowControl w:val="0"/>
              <w:numPr>
                <w:ilvl w:val="0"/>
                <w:numId w:val="3"/>
              </w:numPr>
              <w:spacing w:before="0" w:line="240" w:lineRule="auto"/>
              <w:ind w:left="720" w:hanging="360"/>
              <w:jc w:val="left"/>
              <w:rPr>
                <w:rFonts w:ascii="Comfortaa" w:cs="Comfortaa" w:eastAsia="Comfortaa" w:hAnsi="Comfortaa"/>
              </w:rPr>
            </w:pPr>
            <w:r w:rsidDel="00000000" w:rsidR="00000000" w:rsidRPr="00000000">
              <w:rPr>
                <w:rFonts w:ascii="Comfortaa" w:cs="Comfortaa" w:eastAsia="Comfortaa" w:hAnsi="Comfortaa"/>
                <w:rtl w:val="0"/>
              </w:rPr>
              <w:t xml:space="preserve">Delitos contra la propiedad intelectual e industrial, el mercado y los consumidores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Moderada</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jc w:val="left"/>
              <w:rPr>
                <w:rFonts w:ascii="Comfortaa" w:cs="Comfortaa" w:eastAsia="Comfortaa" w:hAnsi="Comfortaa"/>
              </w:rPr>
            </w:pP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jc w:val="left"/>
              <w:rPr>
                <w:rFonts w:ascii="Comfortaa" w:cs="Comfortaa" w:eastAsia="Comfortaa" w:hAnsi="Comfortaa"/>
              </w:rPr>
            </w:pPr>
            <w:r w:rsidDel="00000000" w:rsidR="00000000" w:rsidRPr="00000000">
              <w:rPr>
                <w:rtl w:val="0"/>
              </w:rPr>
            </w:r>
          </w:p>
        </w:tc>
        <w:tc>
          <w:tcPr>
            <w:shd w:fill="980000"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jc w:val="left"/>
              <w:rPr>
                <w:rFonts w:ascii="Comfortaa" w:cs="Comfortaa" w:eastAsia="Comfortaa" w:hAnsi="Comfortaa"/>
              </w:rPr>
            </w:pPr>
            <w:r w:rsidDel="00000000" w:rsidR="00000000" w:rsidRPr="00000000">
              <w:rPr>
                <w:rtl w:val="0"/>
              </w:rPr>
            </w:r>
          </w:p>
        </w:tc>
        <w:tc>
          <w:tcPr>
            <w:shd w:fill="980000" w:val="clear"/>
            <w:tcMar>
              <w:top w:w="100.0" w:type="dxa"/>
              <w:left w:w="100.0" w:type="dxa"/>
              <w:bottom w:w="100.0" w:type="dxa"/>
              <w:right w:w="100.0" w:type="dxa"/>
            </w:tcMar>
            <w:vAlign w:val="top"/>
          </w:tcPr>
          <w:p w:rsidR="00000000" w:rsidDel="00000000" w:rsidP="00000000" w:rsidRDefault="00000000" w:rsidRPr="00000000" w14:paraId="000000B8">
            <w:pPr>
              <w:widowControl w:val="0"/>
              <w:numPr>
                <w:ilvl w:val="0"/>
                <w:numId w:val="4"/>
              </w:numPr>
              <w:spacing w:before="0" w:line="240" w:lineRule="auto"/>
              <w:ind w:left="720" w:hanging="360"/>
              <w:jc w:val="left"/>
              <w:rPr>
                <w:rFonts w:ascii="Comfortaa" w:cs="Comfortaa" w:eastAsia="Comfortaa" w:hAnsi="Comfortaa"/>
                <w:u w:val="none"/>
              </w:rPr>
            </w:pPr>
            <w:r w:rsidDel="00000000" w:rsidR="00000000" w:rsidRPr="00000000">
              <w:rPr>
                <w:rFonts w:ascii="Comfortaa" w:cs="Comfortaa" w:eastAsia="Comfortaa" w:hAnsi="Comfortaa"/>
                <w:rtl w:val="0"/>
              </w:rPr>
              <w:t xml:space="preserve"> Daños informáticos</w:t>
            </w:r>
          </w:p>
          <w:p w:rsidR="00000000" w:rsidDel="00000000" w:rsidP="00000000" w:rsidRDefault="00000000" w:rsidRPr="00000000" w14:paraId="000000B9">
            <w:pPr>
              <w:widowControl w:val="0"/>
              <w:numPr>
                <w:ilvl w:val="0"/>
                <w:numId w:val="4"/>
              </w:numPr>
              <w:spacing w:before="0" w:line="240" w:lineRule="auto"/>
              <w:ind w:left="720" w:hanging="360"/>
              <w:jc w:val="left"/>
              <w:rPr>
                <w:rFonts w:ascii="Comfortaa" w:cs="Comfortaa" w:eastAsia="Comfortaa" w:hAnsi="Comfortaa"/>
              </w:rPr>
            </w:pPr>
            <w:r w:rsidDel="00000000" w:rsidR="00000000" w:rsidRPr="00000000">
              <w:rPr>
                <w:rFonts w:ascii="Comfortaa" w:cs="Comfortaa" w:eastAsia="Comfortaa" w:hAnsi="Comfortaa"/>
                <w:rtl w:val="0"/>
              </w:rPr>
              <w:t xml:space="preserve">Tráfico de influencias</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BA">
            <w:pPr>
              <w:widowControl w:val="0"/>
              <w:numPr>
                <w:ilvl w:val="0"/>
                <w:numId w:val="2"/>
              </w:numPr>
              <w:spacing w:before="0" w:line="240" w:lineRule="auto"/>
              <w:ind w:left="720" w:hanging="360"/>
              <w:jc w:val="left"/>
              <w:rPr>
                <w:rFonts w:ascii="Comfortaa" w:cs="Comfortaa" w:eastAsia="Comfortaa" w:hAnsi="Comfortaa"/>
              </w:rPr>
            </w:pPr>
            <w:r w:rsidDel="00000000" w:rsidR="00000000" w:rsidRPr="00000000">
              <w:rPr>
                <w:rFonts w:ascii="Comfortaa" w:cs="Comfortaa" w:eastAsia="Comfortaa" w:hAnsi="Comfortaa"/>
                <w:rtl w:val="0"/>
              </w:rPr>
              <w:t xml:space="preserve">Blanqueo de capitales</w:t>
            </w:r>
          </w:p>
          <w:p w:rsidR="00000000" w:rsidDel="00000000" w:rsidP="00000000" w:rsidRDefault="00000000" w:rsidRPr="00000000" w14:paraId="000000BB">
            <w:pPr>
              <w:widowControl w:val="0"/>
              <w:numPr>
                <w:ilvl w:val="0"/>
                <w:numId w:val="2"/>
              </w:numPr>
              <w:spacing w:before="0" w:line="240" w:lineRule="auto"/>
              <w:ind w:left="720" w:hanging="360"/>
              <w:jc w:val="left"/>
              <w:rPr>
                <w:rFonts w:ascii="Comfortaa" w:cs="Comfortaa" w:eastAsia="Comfortaa" w:hAnsi="Comfortaa"/>
              </w:rPr>
            </w:pPr>
            <w:r w:rsidDel="00000000" w:rsidR="00000000" w:rsidRPr="00000000">
              <w:rPr>
                <w:rFonts w:ascii="Comfortaa" w:cs="Comfortaa" w:eastAsia="Comfortaa" w:hAnsi="Comfortaa"/>
                <w:rtl w:val="0"/>
              </w:rPr>
              <w:t xml:space="preserve">Cohecho</w:t>
            </w:r>
          </w:p>
          <w:p w:rsidR="00000000" w:rsidDel="00000000" w:rsidP="00000000" w:rsidRDefault="00000000" w:rsidRPr="00000000" w14:paraId="000000BC">
            <w:pPr>
              <w:widowControl w:val="0"/>
              <w:numPr>
                <w:ilvl w:val="0"/>
                <w:numId w:val="2"/>
              </w:numPr>
              <w:spacing w:before="0" w:line="240" w:lineRule="auto"/>
              <w:ind w:left="720" w:hanging="360"/>
              <w:jc w:val="left"/>
              <w:rPr>
                <w:rFonts w:ascii="Comfortaa" w:cs="Comfortaa" w:eastAsia="Comfortaa" w:hAnsi="Comfortaa"/>
              </w:rPr>
            </w:pPr>
            <w:r w:rsidDel="00000000" w:rsidR="00000000" w:rsidRPr="00000000">
              <w:rPr>
                <w:rFonts w:ascii="Comfortaa" w:cs="Comfortaa" w:eastAsia="Comfortaa" w:hAnsi="Comfortaa"/>
                <w:rtl w:val="0"/>
              </w:rPr>
              <w:t xml:space="preserve">Delitos contra la Hacienda Pública y la Seguridad Social</w:t>
            </w:r>
          </w:p>
          <w:p w:rsidR="00000000" w:rsidDel="00000000" w:rsidP="00000000" w:rsidRDefault="00000000" w:rsidRPr="00000000" w14:paraId="000000BD">
            <w:pPr>
              <w:widowControl w:val="0"/>
              <w:numPr>
                <w:ilvl w:val="0"/>
                <w:numId w:val="2"/>
              </w:numPr>
              <w:spacing w:before="0" w:line="240" w:lineRule="auto"/>
              <w:ind w:left="720" w:hanging="360"/>
              <w:jc w:val="left"/>
              <w:rPr>
                <w:rFonts w:ascii="Comfortaa" w:cs="Comfortaa" w:eastAsia="Comfortaa" w:hAnsi="Comfortaa"/>
              </w:rPr>
            </w:pPr>
            <w:r w:rsidDel="00000000" w:rsidR="00000000" w:rsidRPr="00000000">
              <w:rPr>
                <w:rFonts w:ascii="Comfortaa" w:cs="Comfortaa" w:eastAsia="Comfortaa" w:hAnsi="Comfortaa"/>
                <w:rtl w:val="0"/>
              </w:rPr>
              <w:t xml:space="preserve">Delitos contra la salud pública</w:t>
            </w:r>
          </w:p>
          <w:p w:rsidR="00000000" w:rsidDel="00000000" w:rsidP="00000000" w:rsidRDefault="00000000" w:rsidRPr="00000000" w14:paraId="000000BE">
            <w:pPr>
              <w:widowControl w:val="0"/>
              <w:spacing w:before="0" w:line="240" w:lineRule="auto"/>
              <w:ind w:left="0" w:firstLine="0"/>
              <w:jc w:val="left"/>
              <w:rPr>
                <w:rFonts w:ascii="Comfortaa" w:cs="Comfortaa" w:eastAsia="Comfortaa" w:hAnsi="Comforta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Baja</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jc w:val="left"/>
              <w:rPr>
                <w:rFonts w:ascii="Comfortaa" w:cs="Comfortaa" w:eastAsia="Comfortaa" w:hAnsi="Comfortaa"/>
              </w:rPr>
            </w:pP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jc w:val="left"/>
              <w:rPr>
                <w:rFonts w:ascii="Comfortaa" w:cs="Comfortaa" w:eastAsia="Comfortaa" w:hAnsi="Comfortaa"/>
              </w:rPr>
            </w:pP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0C2">
            <w:pPr>
              <w:widowControl w:val="0"/>
              <w:numPr>
                <w:ilvl w:val="0"/>
                <w:numId w:val="5"/>
              </w:numPr>
              <w:spacing w:before="0" w:line="240" w:lineRule="auto"/>
              <w:ind w:left="720" w:hanging="360"/>
              <w:jc w:val="left"/>
              <w:rPr>
                <w:rFonts w:ascii="Comfortaa" w:cs="Comfortaa" w:eastAsia="Comfortaa" w:hAnsi="Comfortaa"/>
                <w:u w:val="none"/>
              </w:rPr>
            </w:pPr>
            <w:r w:rsidDel="00000000" w:rsidR="00000000" w:rsidRPr="00000000">
              <w:rPr>
                <w:rFonts w:ascii="Comfortaa" w:cs="Comfortaa" w:eastAsia="Comfortaa" w:hAnsi="Comfortaa"/>
                <w:rtl w:val="0"/>
              </w:rPr>
              <w:t xml:space="preserve">Alteración de precios en concursos y subastas públicas</w:t>
            </w:r>
          </w:p>
          <w:p w:rsidR="00000000" w:rsidDel="00000000" w:rsidP="00000000" w:rsidRDefault="00000000" w:rsidRPr="00000000" w14:paraId="000000C3">
            <w:pPr>
              <w:widowControl w:val="0"/>
              <w:numPr>
                <w:ilvl w:val="0"/>
                <w:numId w:val="5"/>
              </w:numPr>
              <w:spacing w:before="0" w:line="240" w:lineRule="auto"/>
              <w:ind w:left="720" w:hanging="360"/>
              <w:jc w:val="left"/>
              <w:rPr>
                <w:rFonts w:ascii="Comfortaa" w:cs="Comfortaa" w:eastAsia="Comfortaa" w:hAnsi="Comfortaa"/>
              </w:rPr>
            </w:pPr>
            <w:r w:rsidDel="00000000" w:rsidR="00000000" w:rsidRPr="00000000">
              <w:rPr>
                <w:rFonts w:ascii="Comfortaa" w:cs="Comfortaa" w:eastAsia="Comfortaa" w:hAnsi="Comfortaa"/>
                <w:rtl w:val="0"/>
              </w:rPr>
              <w:t xml:space="preserve">Negativas a actuaciones inspectoras</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C4">
            <w:pPr>
              <w:widowControl w:val="0"/>
              <w:numPr>
                <w:ilvl w:val="0"/>
                <w:numId w:val="1"/>
              </w:numPr>
              <w:spacing w:before="0" w:line="240" w:lineRule="auto"/>
              <w:ind w:left="720" w:hanging="360"/>
              <w:jc w:val="left"/>
              <w:rPr>
                <w:rFonts w:ascii="Comfortaa" w:cs="Comfortaa" w:eastAsia="Comfortaa" w:hAnsi="Comfortaa"/>
                <w:u w:val="none"/>
              </w:rPr>
            </w:pPr>
            <w:r w:rsidDel="00000000" w:rsidR="00000000" w:rsidRPr="00000000">
              <w:rPr>
                <w:rFonts w:ascii="Comfortaa" w:cs="Comfortaa" w:eastAsia="Comfortaa" w:hAnsi="Comfortaa"/>
                <w:rtl w:val="0"/>
              </w:rPr>
              <w:t xml:space="preserve">Contra los derechos de los trabajadores</w:t>
            </w:r>
          </w:p>
        </w:tc>
        <w:tc>
          <w:tcPr>
            <w:shd w:fill="980000" w:val="clear"/>
            <w:tcMar>
              <w:top w:w="100.0" w:type="dxa"/>
              <w:left w:w="100.0" w:type="dxa"/>
              <w:bottom w:w="100.0" w:type="dxa"/>
              <w:right w:w="100.0" w:type="dxa"/>
            </w:tcMar>
            <w:vAlign w:val="top"/>
          </w:tcPr>
          <w:p w:rsidR="00000000" w:rsidDel="00000000" w:rsidP="00000000" w:rsidRDefault="00000000" w:rsidRPr="00000000" w14:paraId="000000C5">
            <w:pPr>
              <w:widowControl w:val="0"/>
              <w:numPr>
                <w:ilvl w:val="0"/>
                <w:numId w:val="6"/>
              </w:numPr>
              <w:spacing w:before="0" w:line="240" w:lineRule="auto"/>
              <w:ind w:left="720" w:hanging="360"/>
              <w:jc w:val="left"/>
              <w:rPr>
                <w:rFonts w:ascii="Comfortaa" w:cs="Comfortaa" w:eastAsia="Comfortaa" w:hAnsi="Comfortaa"/>
                <w:u w:val="none"/>
              </w:rPr>
            </w:pPr>
            <w:r w:rsidDel="00000000" w:rsidR="00000000" w:rsidRPr="00000000">
              <w:rPr>
                <w:rFonts w:ascii="Comfortaa" w:cs="Comfortaa" w:eastAsia="Comfortaa" w:hAnsi="Comfortaa"/>
                <w:rtl w:val="0"/>
              </w:rPr>
              <w:t xml:space="preserve">Financiación ilegal de partidos políticos</w:t>
            </w:r>
          </w:p>
          <w:p w:rsidR="00000000" w:rsidDel="00000000" w:rsidP="00000000" w:rsidRDefault="00000000" w:rsidRPr="00000000" w14:paraId="000000C6">
            <w:pPr>
              <w:widowControl w:val="0"/>
              <w:numPr>
                <w:ilvl w:val="0"/>
                <w:numId w:val="6"/>
              </w:numPr>
              <w:spacing w:before="0" w:line="240" w:lineRule="auto"/>
              <w:ind w:left="720" w:hanging="360"/>
              <w:jc w:val="left"/>
              <w:rPr>
                <w:rFonts w:ascii="Comfortaa" w:cs="Comfortaa" w:eastAsia="Comfortaa" w:hAnsi="Comfortaa"/>
                <w:u w:val="none"/>
              </w:rPr>
            </w:pPr>
            <w:r w:rsidDel="00000000" w:rsidR="00000000" w:rsidRPr="00000000">
              <w:rPr>
                <w:rFonts w:ascii="Comfortaa" w:cs="Comfortaa" w:eastAsia="Comfortaa" w:hAnsi="Comfortaa"/>
                <w:rtl w:val="0"/>
              </w:rPr>
              <w:t xml:space="preserve">Delitos contra el medio ambiente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Muy Baja</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jc w:val="left"/>
              <w:rPr>
                <w:rFonts w:ascii="Comfortaa" w:cs="Comfortaa" w:eastAsia="Comfortaa" w:hAnsi="Comfortaa"/>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jc w:val="left"/>
              <w:rPr>
                <w:rFonts w:ascii="Comfortaa" w:cs="Comfortaa" w:eastAsia="Comfortaa" w:hAnsi="Comfortaa"/>
              </w:rPr>
            </w:pP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jc w:val="left"/>
              <w:rPr>
                <w:rFonts w:ascii="Comfortaa" w:cs="Comfortaa" w:eastAsia="Comfortaa" w:hAnsi="Comfortaa"/>
              </w:rPr>
            </w:pP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jc w:val="left"/>
              <w:rPr>
                <w:rFonts w:ascii="Comfortaa" w:cs="Comfortaa" w:eastAsia="Comfortaa" w:hAnsi="Comfortaa"/>
              </w:rPr>
            </w:pP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jc w:val="left"/>
              <w:rPr>
                <w:rFonts w:ascii="Comfortaa" w:cs="Comfortaa" w:eastAsia="Comfortaa" w:hAnsi="Comfortaa"/>
              </w:rPr>
            </w:pPr>
            <w:r w:rsidDel="00000000" w:rsidR="00000000" w:rsidRPr="00000000">
              <w:rPr>
                <w:rtl w:val="0"/>
              </w:rPr>
            </w:r>
          </w:p>
        </w:tc>
      </w:tr>
      <w:tr>
        <w:trPr>
          <w:cantSplit w:val="0"/>
          <w:trHeight w:val="510" w:hRule="atLeast"/>
          <w:tblHeader w:val="0"/>
        </w:trPr>
        <w:tc>
          <w:tcPr>
            <w:vMerge w:val="restart"/>
            <w:tcBorders>
              <w:top w:color="434343" w:space="0" w:sz="8" w:val="single"/>
              <w:left w:color="ffffff"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jc w:val="center"/>
              <w:rPr>
                <w:rFonts w:ascii="Comfortaa" w:cs="Comfortaa" w:eastAsia="Comfortaa" w:hAnsi="Comforta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Muy   </w:t>
            </w:r>
          </w:p>
          <w:p w:rsidR="00000000" w:rsidDel="00000000" w:rsidP="00000000" w:rsidRDefault="00000000" w:rsidRPr="00000000" w14:paraId="000000CF">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Muy alto</w:t>
            </w:r>
          </w:p>
        </w:tc>
      </w:tr>
      <w:tr>
        <w:trPr>
          <w:cantSplit w:val="0"/>
          <w:trHeight w:val="510" w:hRule="atLeast"/>
          <w:tblHeader w:val="0"/>
        </w:trPr>
        <w:tc>
          <w:tcPr>
            <w:vMerge w:val="continue"/>
            <w:tcBorders>
              <w:top w:color="434343" w:space="0" w:sz="8" w:val="single"/>
              <w:left w:color="ffffff" w:space="0" w:sz="8" w:val="single"/>
              <w:bottom w:color="ffffff"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jc w:val="center"/>
              <w:rPr>
                <w:rFonts w:ascii="Comfortaa" w:cs="Comfortaa" w:eastAsia="Comfortaa" w:hAnsi="Comfortaa"/>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Impacto</w:t>
            </w:r>
          </w:p>
        </w:tc>
      </w:tr>
    </w:tbl>
    <w:p w:rsidR="00000000" w:rsidDel="00000000" w:rsidP="00000000" w:rsidRDefault="00000000" w:rsidRPr="00000000" w14:paraId="000000DA">
      <w:pPr>
        <w:spacing w:after="240" w:before="0" w:line="360" w:lineRule="auto"/>
        <w:rPr>
          <w:rFonts w:ascii="Work Sans" w:cs="Work Sans" w:eastAsia="Work Sans" w:hAnsi="Work Sans"/>
        </w:rPr>
      </w:pPr>
      <w:r w:rsidDel="00000000" w:rsidR="00000000" w:rsidRPr="00000000">
        <w:rPr>
          <w:rtl w:val="0"/>
        </w:rPr>
      </w:r>
    </w:p>
    <w:p w:rsidR="00000000" w:rsidDel="00000000" w:rsidP="00000000" w:rsidRDefault="00000000" w:rsidRPr="00000000" w14:paraId="000000DB">
      <w:pPr>
        <w:spacing w:after="240" w:before="0" w:line="360" w:lineRule="auto"/>
        <w:rPr>
          <w:rFonts w:ascii="Work Sans" w:cs="Work Sans" w:eastAsia="Work Sans" w:hAnsi="Work Sans"/>
        </w:rPr>
      </w:pPr>
      <w:r w:rsidDel="00000000" w:rsidR="00000000" w:rsidRPr="00000000">
        <w:rPr>
          <w:rFonts w:ascii="Work Sans" w:cs="Work Sans" w:eastAsia="Work Sans" w:hAnsi="Work Sans"/>
          <w:rtl w:val="0"/>
        </w:rPr>
        <w:t xml:space="preserve">El mapa de riesgo generado muestra con colores la evaluación de riesgos para una serie de delitos relacionados con el </w:t>
      </w:r>
      <w:r w:rsidDel="00000000" w:rsidR="00000000" w:rsidRPr="00000000">
        <w:rPr>
          <w:rFonts w:ascii="Work Sans" w:cs="Work Sans" w:eastAsia="Work Sans" w:hAnsi="Work Sans"/>
          <w:b w:val="1"/>
          <w:rtl w:val="0"/>
        </w:rPr>
        <w:t xml:space="preserve">sector de las telecomunicaciones</w:t>
      </w:r>
      <w:r w:rsidDel="00000000" w:rsidR="00000000" w:rsidRPr="00000000">
        <w:rPr>
          <w:rFonts w:ascii="Work Sans" w:cs="Work Sans" w:eastAsia="Work Sans" w:hAnsi="Work Sans"/>
          <w:rtl w:val="0"/>
        </w:rPr>
        <w:t xml:space="preserve">.</w:t>
      </w:r>
    </w:p>
    <w:p w:rsidR="00000000" w:rsidDel="00000000" w:rsidP="00000000" w:rsidRDefault="00000000" w:rsidRPr="00000000" w14:paraId="000000DC">
      <w:pPr>
        <w:spacing w:after="240" w:before="0" w:line="360" w:lineRule="auto"/>
        <w:rPr>
          <w:rFonts w:ascii="Work Sans" w:cs="Work Sans" w:eastAsia="Work Sans" w:hAnsi="Work Sans"/>
        </w:rPr>
      </w:pPr>
      <w:r w:rsidDel="00000000" w:rsidR="00000000" w:rsidRPr="00000000">
        <w:rPr>
          <w:rFonts w:ascii="Work Sans" w:cs="Work Sans" w:eastAsia="Work Sans" w:hAnsi="Work Sans"/>
          <w:rtl w:val="0"/>
        </w:rPr>
        <w:t xml:space="preserve">Cada fila en la tabla representa gráficamente el riesgo del delito. La multiplicación de estos valores proporciona un nivel de riesgo relativo para cada delito.</w:t>
      </w:r>
    </w:p>
    <w:p w:rsidR="00000000" w:rsidDel="00000000" w:rsidP="00000000" w:rsidRDefault="00000000" w:rsidRPr="00000000" w14:paraId="000000DD">
      <w:pPr>
        <w:spacing w:after="240" w:before="0" w:line="360" w:lineRule="auto"/>
        <w:rPr>
          <w:rFonts w:ascii="Work Sans" w:cs="Work Sans" w:eastAsia="Work Sans" w:hAnsi="Work Sans"/>
        </w:rPr>
      </w:pPr>
      <w:r w:rsidDel="00000000" w:rsidR="00000000" w:rsidRPr="00000000">
        <w:rPr>
          <w:rFonts w:ascii="Work Sans" w:cs="Work Sans" w:eastAsia="Work Sans" w:hAnsi="Work Sans"/>
          <w:rtl w:val="0"/>
        </w:rPr>
        <w:t xml:space="preserve">Este mapa de riesgo puede ayudar a </w:t>
      </w:r>
      <w:r w:rsidDel="00000000" w:rsidR="00000000" w:rsidRPr="00000000">
        <w:rPr>
          <w:i w:val="1"/>
          <w:sz w:val="26"/>
          <w:szCs w:val="26"/>
          <w:rtl w:val="0"/>
        </w:rPr>
        <w:t xml:space="preserve">ACME</w:t>
      </w:r>
      <w:r w:rsidDel="00000000" w:rsidR="00000000" w:rsidRPr="00000000">
        <w:rPr>
          <w:rFonts w:ascii="Work Sans" w:cs="Work Sans" w:eastAsia="Work Sans" w:hAnsi="Work Sans"/>
          <w:rtl w:val="0"/>
        </w:rPr>
        <w:t xml:space="preserve"> a priorizar sus esfuerzos de gestión de </w:t>
      </w:r>
      <w:r w:rsidDel="00000000" w:rsidR="00000000" w:rsidRPr="00000000">
        <w:rPr>
          <w:rFonts w:ascii="Work Sans" w:cs="Work Sans" w:eastAsia="Work Sans" w:hAnsi="Work Sans"/>
          <w:b w:val="1"/>
          <w:rtl w:val="0"/>
        </w:rPr>
        <w:t xml:space="preserve">riesgos penales</w:t>
      </w:r>
      <w:r w:rsidDel="00000000" w:rsidR="00000000" w:rsidRPr="00000000">
        <w:rPr>
          <w:rFonts w:ascii="Work Sans" w:cs="Work Sans" w:eastAsia="Work Sans" w:hAnsi="Work Sans"/>
          <w:rtl w:val="0"/>
        </w:rPr>
        <w:t xml:space="preserve">, centrándose en abordar los delitos que representan las mayores amenazas para la seguridad y la integridad de la organización. Además, puede servir como una herramienta para la toma de decisiones informadas sobre asignación de recursos y estrategias de mitigación de riesgos.</w:t>
      </w:r>
    </w:p>
    <w:p w:rsidR="00000000" w:rsidDel="00000000" w:rsidP="00000000" w:rsidRDefault="00000000" w:rsidRPr="00000000" w14:paraId="000000DE">
      <w:pPr>
        <w:spacing w:after="240" w:before="0" w:line="360" w:lineRule="auto"/>
        <w:jc w:val="left"/>
        <w:rPr>
          <w:rFonts w:ascii="Work Sans" w:cs="Work Sans" w:eastAsia="Work Sans" w:hAnsi="Work Sans"/>
        </w:rPr>
      </w:pPr>
      <w:r w:rsidDel="00000000" w:rsidR="00000000" w:rsidRPr="00000000">
        <w:rPr>
          <w:rtl w:val="0"/>
        </w:rPr>
      </w:r>
    </w:p>
    <w:sectPr>
      <w:type w:val="nextPage"/>
      <w:pgSz w:h="12240" w:w="15840" w:orient="landscape"/>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Work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or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Work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Comfortaa">
    <w:embedRegular w:fontKey="{00000000-0000-0000-0000-000000000000}" r:id="rId21" w:subsetted="0"/>
    <w:embedBold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200" w:lineRule="auto"/>
      <w:jc w:val="both"/>
    </w:pPr>
    <w:rPr>
      <w:color w:val="38761d"/>
      <w:sz w:val="28"/>
      <w:szCs w:val="28"/>
    </w:rPr>
  </w:style>
  <w:style w:type="paragraph" w:styleId="Heading4">
    <w:name w:val="heading 4"/>
    <w:basedOn w:val="Normal"/>
    <w:next w:val="Normal"/>
    <w:pPr>
      <w:keepNext w:val="1"/>
      <w:keepLines w:val="1"/>
      <w:spacing w:after="80" w:lineRule="auto"/>
    </w:pPr>
    <w:rPr>
      <w:color w:val="6aa84f"/>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WorkSans-boldItalic.ttf"/><Relationship Id="rId11" Type="http://schemas.openxmlformats.org/officeDocument/2006/relationships/font" Target="fonts/SourceCodePro-italic.ttf"/><Relationship Id="rId22" Type="http://schemas.openxmlformats.org/officeDocument/2006/relationships/font" Target="fonts/Comfortaa-bold.ttf"/><Relationship Id="rId10" Type="http://schemas.openxmlformats.org/officeDocument/2006/relationships/font" Target="fonts/SourceCodePro-bold.ttf"/><Relationship Id="rId21" Type="http://schemas.openxmlformats.org/officeDocument/2006/relationships/font" Target="fonts/Comfortaa-regular.ttf"/><Relationship Id="rId13" Type="http://schemas.openxmlformats.org/officeDocument/2006/relationships/font" Target="fonts/Lora-regular.ttf"/><Relationship Id="rId12" Type="http://schemas.openxmlformats.org/officeDocument/2006/relationships/font" Target="fonts/SourceCodePro-boldItalic.ttf"/><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WorkSansExtraLight-italic.ttf"/><Relationship Id="rId4" Type="http://schemas.openxmlformats.org/officeDocument/2006/relationships/font" Target="fonts/WorkSansExtraLight-boldItalic.ttf"/><Relationship Id="rId9" Type="http://schemas.openxmlformats.org/officeDocument/2006/relationships/font" Target="fonts/SourceCodePro-regular.ttf"/><Relationship Id="rId15" Type="http://schemas.openxmlformats.org/officeDocument/2006/relationships/font" Target="fonts/Lora-italic.ttf"/><Relationship Id="rId14" Type="http://schemas.openxmlformats.org/officeDocument/2006/relationships/font" Target="fonts/Lora-bold.ttf"/><Relationship Id="rId17" Type="http://schemas.openxmlformats.org/officeDocument/2006/relationships/font" Target="fonts/WorkSans-regular.ttf"/><Relationship Id="rId16" Type="http://schemas.openxmlformats.org/officeDocument/2006/relationships/font" Target="fonts/Lora-boldItalic.ttf"/><Relationship Id="rId5" Type="http://schemas.openxmlformats.org/officeDocument/2006/relationships/font" Target="fonts/Montserrat-regular.ttf"/><Relationship Id="rId19" Type="http://schemas.openxmlformats.org/officeDocument/2006/relationships/font" Target="fonts/WorkSans-italic.ttf"/><Relationship Id="rId6" Type="http://schemas.openxmlformats.org/officeDocument/2006/relationships/font" Target="fonts/Montserrat-bold.ttf"/><Relationship Id="rId18" Type="http://schemas.openxmlformats.org/officeDocument/2006/relationships/font" Target="fonts/WorkSans-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