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Historical implementation plan superseded</w:t>
      </w:r>
    </w:p>
    <w:p>
      <w:pPr>
        <w:spacing w:after="100"/>
      </w:pPr>
      <w:r>
        <w:t>This document records an earlier design and does not define the current benchmark protocol. See docs/IMPLEMENTATION_DECISIONS.md and the current component guides for the implemented protocol.</w:t>
      </w:r>
    </w:p>
    <w:p>
      <w:pPr>
        <w:spacing w:before="840" w:after="80"/>
      </w:pPr>
      <w:r>
        <w:rPr>
          <w:rFonts w:ascii="Lato" w:hAnsi="Lato"/>
          <w:b/>
          <w:color w:val="1B7F79"/>
          <w:sz w:val="21"/>
        </w:rPr>
        <w:t>DOCUMENT B</w:t>
      </w:r>
    </w:p>
    <w:p>
      <w:pPr>
        <w:pStyle w:val="Title"/>
        <w:spacing w:after="160"/>
      </w:pPr>
      <w:r>
        <w:rPr>
          <w:rFonts w:ascii="Lato" w:hAnsi="Lato"/>
          <w:b/>
          <w:color w:val="000000"/>
          <w:sz w:val="50"/>
          <w:u w:val="none"/>
        </w:rPr>
        <w:t>Implementation Plan and Rationale for the Experimental Benchmark</w:t>
      </w:r>
    </w:p>
    <w:p>
      <w:pPr>
        <w:pStyle w:val="Subtitle"/>
        <w:spacing w:after="400"/>
      </w:pPr>
      <w:r>
        <w:rPr>
          <w:rFonts w:ascii="Lato" w:hAnsi="Lato"/>
          <w:color w:val="000000"/>
          <w:sz w:val="26"/>
        </w:rPr>
        <w:t>Bank reconciliation as a pattern recognition problem</w:t>
      </w:r>
    </w:p>
    <w:tbl>
      <w:tblPr>
        <w:tblW w:type="auto" w:w="0"/>
        <w:jc w:val="left"/>
        <w:tblLayout w:type="fixed"/>
        <w:tblLook w:firstColumn="1" w:firstRow="1" w:lastColumn="0" w:lastRow="0" w:noHBand="0" w:noVBand="1" w:val="04A0"/>
      </w:tblPr>
      <w:tblGrid>
        <w:gridCol w:w="3305"/>
        <w:gridCol w:w="3305"/>
        <w:gridCol w:w="3305"/>
      </w:tblGrid>
      <w:tr>
        <w:trPr>
          <w:trHeight w:val="140" w:hRule="exact"/>
        </w:trPr>
        <w:tc>
          <w:tcPr>
            <w:tcW w:type="dxa" w:w="2016"/>
            <w:shd w:fill="1B7F79"/>
            <w:tcMar>
              <w:top w:w="0" w:type="dxa"/>
              <w:start w:w="0" w:type="dxa"/>
              <w:bottom w:w="0" w:type="dxa"/>
              <w:end w:w="0" w:type="dxa"/>
            </w:tcMar>
          </w:tcPr>
          <w:p>
            <w:r/>
          </w:p>
        </w:tc>
        <w:tc>
          <w:tcPr>
            <w:tcW w:type="dxa" w:w="2016"/>
            <w:shd w:fill="246B8E"/>
            <w:tcMar>
              <w:top w:w="0" w:type="dxa"/>
              <w:start w:w="0" w:type="dxa"/>
              <w:bottom w:w="0" w:type="dxa"/>
              <w:end w:w="0" w:type="dxa"/>
            </w:tcMar>
          </w:tcPr>
          <w:p>
            <w:r/>
          </w:p>
        </w:tc>
        <w:tc>
          <w:tcPr>
            <w:tcW w:type="dxa" w:w="5616"/>
            <w:shd w:fill="17324D"/>
            <w:tcMar>
              <w:top w:w="0" w:type="dxa"/>
              <w:start w:w="0" w:type="dxa"/>
              <w:bottom w:w="0" w:type="dxa"/>
              <w:end w:w="0" w:type="dxa"/>
            </w:tcMar>
          </w:tcPr>
          <w:p>
            <w:r/>
          </w:p>
        </w:tc>
      </w:tr>
    </w:tbl>
    <w:p>
      <w:pPr>
        <w:spacing w:after="160"/>
      </w:pPr>
    </w:p>
    <w:tbl>
      <w:tblPr>
        <w:tblW w:type="auto" w:w="0"/>
        <w:jc w:val="center"/>
        <w:tblLayout w:type="autofit"/>
        <w:tblLook w:firstColumn="1" w:firstRow="1" w:lastColumn="0" w:lastRow="0" w:noHBand="0" w:noVBand="1" w:val="04A0"/>
      </w:tblPr>
      <w:tblGrid>
        <w:gridCol w:w="9916"/>
      </w:tblGrid>
      <w:tr>
        <w:trPr>
          <w:cantSplit/>
        </w:trPr>
        <w:tc>
          <w:tcPr>
            <w:tcW w:type="dxa" w:w="9916"/>
            <w:shd w:fill="E9F5F3"/>
            <w:tcMar>
              <w:top w:w="120" w:type="dxa"/>
              <w:start w:w="150" w:type="dxa"/>
              <w:bottom w:w="120" w:type="dxa"/>
              <w:end w:w="150" w:type="dxa"/>
            </w:tcMar>
            <w:tcBorders>
              <w:top w:val="single" w:sz="8" w:color="1B7F79"/>
              <w:bottom w:val="single" w:sz="8" w:color="1B7F79"/>
              <w:left w:val="single" w:sz="18" w:color="1B7F79"/>
              <w:right w:val="single" w:sz="8" w:color="1B7F79"/>
            </w:tcBorders>
          </w:tcPr>
          <w:p>
            <w:pPr>
              <w:spacing w:after="40"/>
            </w:pPr>
            <w:r>
              <w:rPr>
                <w:rFonts w:ascii="Lato" w:hAnsi="Lato"/>
                <w:b/>
                <w:color w:val="17324D"/>
              </w:rPr>
              <w:t>Purpose of the document</w:t>
            </w:r>
          </w:p>
          <w:p>
            <w:pPr>
              <w:spacing w:after="0"/>
            </w:pPr>
            <w:r>
              <w:rPr>
                <w:rFonts w:ascii="Lato" w:hAnsi="Lato"/>
                <w:sz w:val="19"/>
              </w:rPr>
              <w:t>Explain, in actionable terms accessible to readers new to the area, how to build and evaluate a synthetic 1:1 matching benchmark for bank reconciliation, identifying the origin of each idea, the reason for each decision and the limits of the conclusions.</w:t>
            </w:r>
          </w:p>
        </w:tc>
      </w:tr>
    </w:tbl>
    <w:p>
      <w:pPr>
        <w:spacing w:after="0"/>
      </w:pPr>
    </w:p>
    <w:tbl>
      <w:tblPr>
        <w:tblW w:type="auto" w:w="0"/>
        <w:jc w:val="left"/>
        <w:tblLayout w:type="fixed"/>
        <w:tblLook w:firstColumn="1" w:firstRow="1" w:lastColumn="0" w:lastRow="0" w:noHBand="0" w:noVBand="1" w:val="04A0"/>
      </w:tblPr>
      <w:tblGrid>
        <w:gridCol w:w="4958"/>
        <w:gridCol w:w="4958"/>
      </w:tblGrid>
      <w:tr>
        <w:tc>
          <w:tcPr>
            <w:tcW w:type="dxa" w:w="2376"/>
            <w:shd w:fill="F3F5F7"/>
            <w:tcMar>
              <w:top w:w="80" w:type="dxa"/>
              <w:start w:w="90" w:type="dxa"/>
              <w:bottom w:w="80" w:type="dxa"/>
              <w:end w:w="90" w:type="dxa"/>
            </w:tcMar>
            <w:tcBorders>
              <w:top w:val="single" w:sz="3" w:color="D6DDE3"/>
              <w:bottom w:val="single" w:sz="3" w:color="D6DDE3"/>
              <w:left w:val="single" w:sz="3" w:color="D6DDE3"/>
              <w:right w:val="single" w:sz="3" w:color="D6DDE3"/>
            </w:tcBorders>
          </w:tcPr>
          <w:p>
            <w:pPr>
              <w:keepNext/>
            </w:pPr>
            <w:r>
              <w:rPr>
                <w:rFonts w:ascii="Lato" w:hAnsi="Lato"/>
                <w:b/>
                <w:color w:val="17324D"/>
                <w:sz w:val="18"/>
              </w:rPr>
              <w:t>Target</w:t>
            </w:r>
          </w:p>
        </w:tc>
        <w:tc>
          <w:tcPr>
            <w:tcW w:type="dxa" w:w="7344"/>
            <w:shd w:fill="FFFFFF"/>
            <w:tcMar>
              <w:top w:w="80" w:type="dxa"/>
              <w:start w:w="90" w:type="dxa"/>
              <w:bottom w:w="80" w:type="dxa"/>
              <w:end w:w="90" w:type="dxa"/>
            </w:tcMar>
            <w:tcBorders>
              <w:top w:val="single" w:sz="3" w:color="D6DDE3"/>
              <w:bottom w:val="single" w:sz="3" w:color="D6DDE3"/>
              <w:left w:val="single" w:sz="3" w:color="D6DDE3"/>
              <w:right w:val="single" w:sz="3" w:color="D6DDE3"/>
            </w:tcBorders>
          </w:tcPr>
          <w:p>
            <w:pPr>
              <w:keepNext/>
            </w:pPr>
            <w:r>
              <w:rPr>
                <w:rFonts w:ascii="Lato" w:hAnsi="Lato"/>
                <w:sz w:val="18"/>
              </w:rPr>
              <w:t>A 2-page paper for RECPAD 2026</w:t>
            </w:r>
          </w:p>
        </w:tc>
      </w:tr>
      <w:tr>
        <w:tc>
          <w:tcPr>
            <w:tcW w:type="dxa" w:w="2376"/>
            <w:shd w:fill="F3F5F7"/>
            <w:tcMar>
              <w:top w:w="80" w:type="dxa"/>
              <w:start w:w="90" w:type="dxa"/>
              <w:bottom w:w="80" w:type="dxa"/>
              <w:end w:w="90" w:type="dxa"/>
            </w:tcMar>
            <w:tcBorders>
              <w:top w:val="single" w:sz="3" w:color="D6DDE3"/>
              <w:bottom w:val="single" w:sz="3" w:color="D6DDE3"/>
              <w:left w:val="single" w:sz="3" w:color="D6DDE3"/>
              <w:right w:val="single" w:sz="3" w:color="D6DDE3"/>
            </w:tcBorders>
          </w:tcPr>
          <w:p>
            <w:r>
              <w:rPr>
                <w:rFonts w:ascii="Lato" w:hAnsi="Lato"/>
                <w:b/>
                <w:color w:val="17324D"/>
                <w:sz w:val="18"/>
              </w:rPr>
              <w:t>Submission deadline</w:t>
            </w:r>
          </w:p>
        </w:tc>
        <w:tc>
          <w:tcPr>
            <w:tcW w:type="dxa" w:w="7344"/>
            <w:shd w:fill="FFFFFF"/>
            <w:tcMar>
              <w:top w:w="80" w:type="dxa"/>
              <w:start w:w="90" w:type="dxa"/>
              <w:bottom w:w="80" w:type="dxa"/>
              <w:end w:w="90" w:type="dxa"/>
            </w:tcMar>
            <w:tcBorders>
              <w:top w:val="single" w:sz="3" w:color="D6DDE3"/>
              <w:bottom w:val="single" w:sz="3" w:color="D6DDE3"/>
              <w:left w:val="single" w:sz="3" w:color="D6DDE3"/>
              <w:right w:val="single" w:sz="3" w:color="D6DDE3"/>
            </w:tcBorders>
          </w:tcPr>
          <w:p>
            <w:r>
              <w:rPr>
                <w:rFonts w:ascii="Lato" w:hAnsi="Lato"/>
                <w:sz w:val="18"/>
              </w:rPr>
              <w:t>6 September 2026</w:t>
            </w:r>
          </w:p>
        </w:tc>
      </w:tr>
      <w:tr>
        <w:tc>
          <w:tcPr>
            <w:tcW w:type="dxa" w:w="2376"/>
            <w:shd w:fill="F3F5F7"/>
            <w:tcMar>
              <w:top w:w="80" w:type="dxa"/>
              <w:start w:w="90" w:type="dxa"/>
              <w:bottom w:w="80" w:type="dxa"/>
              <w:end w:w="90" w:type="dxa"/>
            </w:tcMar>
            <w:tcBorders>
              <w:top w:val="single" w:sz="3" w:color="D6DDE3"/>
              <w:bottom w:val="single" w:sz="3" w:color="D6DDE3"/>
              <w:left w:val="single" w:sz="3" w:color="D6DDE3"/>
              <w:right w:val="single" w:sz="3" w:color="D6DDE3"/>
            </w:tcBorders>
          </w:tcPr>
          <w:p>
            <w:r>
              <w:rPr>
                <w:rFonts w:ascii="Lato" w:hAnsi="Lato"/>
                <w:b/>
                <w:color w:val="17324D"/>
                <w:sz w:val="18"/>
              </w:rPr>
              <w:t>Available basis</w:t>
            </w:r>
          </w:p>
        </w:tc>
        <w:tc>
          <w:tcPr>
            <w:tcW w:type="dxa" w:w="7344"/>
            <w:shd w:fill="FFFFFF"/>
            <w:tcMar>
              <w:top w:w="80" w:type="dxa"/>
              <w:start w:w="90" w:type="dxa"/>
              <w:bottom w:w="80" w:type="dxa"/>
              <w:end w:w="90" w:type="dxa"/>
            </w:tcMar>
            <w:tcBorders>
              <w:top w:val="single" w:sz="3" w:color="D6DDE3"/>
              <w:bottom w:val="single" w:sz="3" w:color="D6DDE3"/>
              <w:left w:val="single" w:sz="3" w:color="D6DDE3"/>
              <w:right w:val="single" w:sz="3" w:color="D6DDE3"/>
            </w:tcBorders>
          </w:tcPr>
          <w:p>
            <w:r>
              <w:rPr>
                <w:rFonts w:ascii="Lato" w:hAnsi="Lato"/>
                <w:sz w:val="18"/>
              </w:rPr>
              <w:t>Critical study of 15 reconciliation engines; no real data</w:t>
            </w:r>
          </w:p>
        </w:tc>
      </w:tr>
      <w:tr>
        <w:tc>
          <w:tcPr>
            <w:tcW w:type="dxa" w:w="2376"/>
            <w:shd w:fill="F3F5F7"/>
            <w:tcMar>
              <w:top w:w="80" w:type="dxa"/>
              <w:start w:w="90" w:type="dxa"/>
              <w:bottom w:w="80" w:type="dxa"/>
              <w:end w:w="90" w:type="dxa"/>
            </w:tcMar>
            <w:tcBorders>
              <w:top w:val="single" w:sz="3" w:color="D6DDE3"/>
              <w:bottom w:val="single" w:sz="3" w:color="D6DDE3"/>
              <w:left w:val="single" w:sz="3" w:color="D6DDE3"/>
              <w:right w:val="single" w:sz="3" w:color="D6DDE3"/>
            </w:tcBorders>
          </w:tcPr>
          <w:p>
            <w:r>
              <w:rPr>
                <w:rFonts w:ascii="Lato" w:hAnsi="Lato"/>
                <w:b/>
                <w:color w:val="17324D"/>
                <w:sz w:val="18"/>
              </w:rPr>
              <w:t>Status</w:t>
            </w:r>
          </w:p>
        </w:tc>
        <w:tc>
          <w:tcPr>
            <w:tcW w:type="dxa" w:w="7344"/>
            <w:shd w:fill="FFFFFF"/>
            <w:tcMar>
              <w:top w:w="80" w:type="dxa"/>
              <w:start w:w="90" w:type="dxa"/>
              <w:bottom w:w="80" w:type="dxa"/>
              <w:end w:w="90" w:type="dxa"/>
            </w:tcMar>
            <w:tcBorders>
              <w:top w:val="single" w:sz="3" w:color="D6DDE3"/>
              <w:bottom w:val="single" w:sz="3" w:color="D6DDE3"/>
              <w:left w:val="single" w:sz="3" w:color="D6DDE3"/>
              <w:right w:val="single" w:sz="3" w:color="D6DDE3"/>
            </w:tcBorders>
          </w:tcPr>
          <w:p>
            <w:r>
              <w:rPr>
                <w:rFonts w:ascii="Lato" w:hAnsi="Lato"/>
                <w:sz w:val="18"/>
              </w:rPr>
              <w:t>Recommended protocol ready for implementation</w:t>
            </w:r>
          </w:p>
        </w:tc>
      </w:tr>
    </w:tbl>
    <w:p>
      <w:pPr>
        <w:spacing w:before="440" w:after="0"/>
      </w:pPr>
      <w:r>
        <w:rPr>
          <w:rFonts w:ascii="Lato" w:hAnsi="Lato"/>
          <w:color w:val="4A5560"/>
          <w:sz w:val="19"/>
        </w:rPr>
        <w:t>Date: 31 August 2026</w:t>
      </w:r>
    </w:p>
    <w:p>
      <w:pPr>
        <w:spacing w:after="0"/>
      </w:pPr>
      <w:r>
        <w:rPr>
          <w:rFonts w:ascii="Lato" w:hAnsi="Lato"/>
          <w:i/>
          <w:color w:val="4A5560"/>
          <w:sz w:val="19"/>
        </w:rPr>
        <w:t>Internal working document translated into English</w:t>
      </w:r>
    </w:p>
    <w:p>
      <w:r>
        <w:br w:type="page"/>
      </w:r>
    </w:p>
    <w:p>
      <w:pPr>
        <w:pStyle w:val="Heading1"/>
        <w:keepNext/>
      </w:pPr>
      <w:r>
        <w:rPr>
          <w:rFonts w:ascii="Lato" w:hAnsi="Lato"/>
          <w:b/>
          <w:color w:val="000000"/>
        </w:rPr>
        <w:t>Executive summary</w:t>
      </w:r>
    </w:p>
    <w:p>
      <w:pPr>
        <w:spacing w:after="100"/>
      </w:pPr>
      <w:r>
        <w:rPr>
          <w:rFonts w:ascii="Lato" w:hAnsi="Lato"/>
        </w:rPr>
        <w:t>The work starts from a real limitation: a detailed study of 15 commercial solutions is available, but there is no set of real bank reconciliations that can serve as ground truth. The proposed response is a controlled synthetic benchmark in which every correct match is known by construction and noise is introduced explicitly and reproducibly.</w:t>
      </w:r>
    </w:p>
    <w:tbl>
      <w:tblPr>
        <w:tblW w:type="auto" w:w="0"/>
        <w:jc w:val="center"/>
        <w:tblLayout w:type="fixed"/>
        <w:tblLook w:firstColumn="1" w:firstRow="1" w:lastColumn="0" w:lastRow="0" w:noHBand="0" w:noVBand="1" w:val="04A0"/>
      </w:tblPr>
      <w:tblGrid>
        <w:gridCol w:w="3305"/>
        <w:gridCol w:w="3305"/>
        <w:gridCol w:w="3305"/>
      </w:tblGrid>
      <w:tr>
        <w:trPr>
          <w:tblHeader w:val="true"/>
        </w:trPr>
        <w:tc>
          <w:tcPr>
            <w:tcW w:type="dxa" w:w="1656"/>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Decision</w:t>
            </w:r>
          </w:p>
        </w:tc>
        <w:tc>
          <w:tcPr>
            <w:tcW w:type="dxa" w:w="3456"/>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Final recommendation</w:t>
            </w:r>
          </w:p>
        </w:tc>
        <w:tc>
          <w:tcPr>
            <w:tcW w:type="dxa" w:w="4608"/>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Main reason</w:t>
            </w:r>
          </w:p>
        </w:tc>
      </w:tr>
      <w:tr>
        <w:trPr>
          <w:cantSplit/>
        </w:trPr>
        <w:tc>
          <w:tcPr>
            <w:tcW w:type="dxa" w:w="165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Problem</w:t>
            </w:r>
          </w:p>
        </w:tc>
        <w:tc>
          <w:tcPr>
            <w:tcW w:type="dxa" w:w="345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Ranking of 1:1 candidates</w:t>
            </w:r>
          </w:p>
        </w:tc>
        <w:tc>
          <w:tcPr>
            <w:tcW w:type="dxa" w:w="460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Measurable, feasible within the deadline and central to record linkage.</w:t>
            </w:r>
          </w:p>
        </w:tc>
      </w:tr>
      <w:tr>
        <w:trPr>
          <w:cantSplit/>
        </w:trPr>
        <w:tc>
          <w:tcPr>
            <w:tcW w:type="dxa" w:w="165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Data</w:t>
            </w:r>
          </w:p>
        </w:tc>
        <w:tc>
          <w:tcPr>
            <w:tcW w:type="dxa" w:w="345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Controlled synthetic benchmark</w:t>
            </w:r>
          </w:p>
        </w:tc>
        <w:tc>
          <w:tcPr>
            <w:tcW w:type="dxa" w:w="4608"/>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Requires no confidential data and provides known ground truth.</w:t>
            </w:r>
          </w:p>
        </w:tc>
      </w:tr>
      <w:tr>
        <w:trPr>
          <w:cantSplit/>
        </w:trPr>
        <w:tc>
          <w:tcPr>
            <w:tcW w:type="dxa" w:w="165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Methods</w:t>
            </w:r>
          </w:p>
        </w:tc>
        <w:tc>
          <w:tcPr>
            <w:tcW w:type="dxa" w:w="345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Exact, tolerant, Jaro-Winkler, trigram and field-aware hybrid</w:t>
            </w:r>
          </w:p>
        </w:tc>
        <w:tc>
          <w:tcPr>
            <w:tcW w:type="dxa" w:w="460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Creates a transparent progression from strict rules to text similarity.</w:t>
            </w:r>
          </w:p>
        </w:tc>
      </w:tr>
      <w:tr>
        <w:trPr>
          <w:cantSplit/>
        </w:trPr>
        <w:tc>
          <w:tcPr>
            <w:tcW w:type="dxa" w:w="165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Evaluation</w:t>
            </w:r>
          </w:p>
        </w:tc>
        <w:tc>
          <w:tcPr>
            <w:tcW w:type="dxa" w:w="345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Unique Top-1, MRR and tie rate</w:t>
            </w:r>
          </w:p>
        </w:tc>
        <w:tc>
          <w:tcPr>
            <w:tcW w:type="dxa" w:w="4608"/>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Measures correctness, the position of the correct candidate and ambiguity.</w:t>
            </w:r>
          </w:p>
        </w:tc>
      </w:tr>
      <w:tr>
        <w:trPr>
          <w:cantSplit/>
        </w:trPr>
        <w:tc>
          <w:tcPr>
            <w:tcW w:type="dxa" w:w="165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Reproducibility</w:t>
            </w:r>
          </w:p>
        </w:tc>
        <w:tc>
          <w:tcPr>
            <w:tcW w:type="dxa" w:w="345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Five evaluation seeds</w:t>
            </w:r>
          </w:p>
        </w:tc>
        <w:tc>
          <w:tcPr>
            <w:tcW w:type="dxa" w:w="460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Reduces dependence on a single random sample.</w:t>
            </w:r>
          </w:p>
        </w:tc>
      </w:tr>
      <w:tr>
        <w:trPr>
          <w:cantSplit/>
        </w:trPr>
        <w:tc>
          <w:tcPr>
            <w:tcW w:type="dxa" w:w="165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Scope</w:t>
            </w:r>
          </w:p>
        </w:tc>
        <w:tc>
          <w:tcPr>
            <w:tcW w:type="dxa" w:w="345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No trained ML, LLMs, embeddings or grouping</w:t>
            </w:r>
          </w:p>
        </w:tc>
        <w:tc>
          <w:tcPr>
            <w:tcW w:type="dxa" w:w="4608"/>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Avoids overengineering and claims that cannot be validated within the deadline.</w:t>
            </w:r>
          </w:p>
        </w:tc>
      </w:tr>
    </w:tbl>
    <w:p>
      <w:pPr>
        <w:spacing w:after="0"/>
      </w:pPr>
    </w:p>
    <w:tbl>
      <w:tblPr>
        <w:tblW w:type="auto" w:w="0"/>
        <w:jc w:val="center"/>
        <w:tblLayout w:type="autofit"/>
        <w:tblLook w:firstColumn="1" w:firstRow="1" w:lastColumn="0" w:lastRow="0" w:noHBand="0" w:noVBand="1" w:val="04A0"/>
      </w:tblPr>
      <w:tblGrid>
        <w:gridCol w:w="9916"/>
      </w:tblGrid>
      <w:tr>
        <w:trPr>
          <w:cantSplit/>
        </w:trPr>
        <w:tc>
          <w:tcPr>
            <w:tcW w:type="dxa" w:w="9916"/>
            <w:shd w:fill="FFF4D6"/>
            <w:tcMar>
              <w:top w:w="120" w:type="dxa"/>
              <w:start w:w="150" w:type="dxa"/>
              <w:bottom w:w="120" w:type="dxa"/>
              <w:end w:w="150" w:type="dxa"/>
            </w:tcMar>
            <w:tcBorders>
              <w:top w:val="single" w:sz="8" w:color="D49B18"/>
              <w:bottom w:val="single" w:sz="8" w:color="D49B18"/>
              <w:left w:val="single" w:sz="18" w:color="D49B18"/>
              <w:right w:val="single" w:sz="8" w:color="D49B18"/>
            </w:tcBorders>
          </w:tcPr>
          <w:p>
            <w:pPr>
              <w:spacing w:after="40"/>
            </w:pPr>
            <w:r>
              <w:rPr>
                <w:rFonts w:ascii="Lato" w:hAnsi="Lato"/>
                <w:b/>
                <w:color w:val="17324D"/>
              </w:rPr>
              <w:t>Core message</w:t>
            </w:r>
          </w:p>
          <w:p>
            <w:pPr>
              <w:spacing w:after="0"/>
            </w:pPr>
            <w:r>
              <w:rPr>
                <w:rFonts w:ascii="Lato" w:hAnsi="Lato"/>
                <w:sz w:val="19"/>
              </w:rPr>
              <w:t>The study of commercial engines is not intended to copy a proprietary algorithm. It identifies relevant signals and failures in the domain. The record-linkage literature provides the comparators. The benchmark measures, under controlled conditions, how those comparators respond to financial noise.</w:t>
            </w:r>
          </w:p>
        </w:tc>
      </w:tr>
    </w:tbl>
    <w:p>
      <w:pPr>
        <w:spacing w:after="0"/>
      </w:pPr>
    </w:p>
    <w:p>
      <w:pPr>
        <w:pStyle w:val="Heading2"/>
        <w:keepNext/>
      </w:pPr>
      <w:r>
        <w:rPr>
          <w:rFonts w:ascii="Lato" w:hAnsi="Lato"/>
          <w:b/>
          <w:color w:val="000000"/>
        </w:rPr>
        <w:t>How to read this document</w:t>
      </w:r>
    </w:p>
    <w:tbl>
      <w:tblPr>
        <w:tblW w:type="auto" w:w="0"/>
        <w:jc w:val="center"/>
        <w:tblLayout w:type="fixed"/>
        <w:tblLook w:firstColumn="1" w:firstRow="1" w:lastColumn="0" w:lastRow="0" w:noHBand="0" w:noVBand="1" w:val="04A0"/>
      </w:tblPr>
      <w:tblGrid>
        <w:gridCol w:w="4958"/>
        <w:gridCol w:w="4958"/>
      </w:tblGrid>
      <w:tr>
        <w:trPr>
          <w:tblHeader w:val="true"/>
        </w:trPr>
        <w:tc>
          <w:tcPr>
            <w:tcW w:type="dxa" w:w="2232"/>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8"/>
              </w:rPr>
              <w:t>Label</w:t>
            </w:r>
          </w:p>
        </w:tc>
        <w:tc>
          <w:tcPr>
            <w:tcW w:type="dxa" w:w="7488"/>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8"/>
              </w:rPr>
              <w:t>Meaning</w:t>
            </w:r>
          </w:p>
        </w:tc>
      </w:tr>
      <w:tr>
        <w:trPr>
          <w:cantSplit/>
        </w:trPr>
        <w:tc>
          <w:tcPr>
            <w:tcW w:type="dxa" w:w="223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8"/>
              </w:rPr>
              <w:t>Industrial evidence</w:t>
            </w:r>
          </w:p>
        </w:tc>
        <w:tc>
          <w:tcPr>
            <w:tcW w:type="dxa" w:w="748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8"/>
              </w:rPr>
              <w:t>Conclusion drawn from the critical study of 15 engines and their official sources.</w:t>
            </w:r>
          </w:p>
        </w:tc>
      </w:tr>
      <w:tr>
        <w:trPr>
          <w:cantSplit/>
        </w:trPr>
        <w:tc>
          <w:tcPr>
            <w:tcW w:type="dxa" w:w="223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8"/>
              </w:rPr>
              <w:t>Scientific basis</w:t>
            </w:r>
          </w:p>
        </w:tc>
        <w:tc>
          <w:tcPr>
            <w:tcW w:type="dxa" w:w="7488"/>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8"/>
              </w:rPr>
              <w:t>Concept or algorithm supported by academic literature or public methodology.</w:t>
            </w:r>
          </w:p>
        </w:tc>
      </w:tr>
      <w:tr>
        <w:trPr>
          <w:cantSplit/>
        </w:trPr>
        <w:tc>
          <w:tcPr>
            <w:tcW w:type="dxa" w:w="223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8"/>
              </w:rPr>
              <w:t>Project decision</w:t>
            </w:r>
          </w:p>
        </w:tc>
        <w:tc>
          <w:tcPr>
            <w:tcW w:type="dxa" w:w="748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8"/>
              </w:rPr>
              <w:t>Choice made for this benchmark; it should be acknowledged as experimental design, rather than universal truth.</w:t>
            </w:r>
          </w:p>
        </w:tc>
      </w:tr>
    </w:tbl>
    <w:p>
      <w:pPr>
        <w:spacing w:after="0"/>
      </w:pPr>
    </w:p>
    <w:p>
      <w:pPr>
        <w:pStyle w:val="Heading2"/>
        <w:keepNext/>
      </w:pPr>
      <w:r>
        <w:rPr>
          <w:rFonts w:ascii="Lato" w:hAnsi="Lato"/>
          <w:b/>
          <w:color w:val="000000"/>
        </w:rPr>
        <w:t>Document map</w:t>
      </w:r>
    </w:p>
    <w:p>
      <w:pPr>
        <w:spacing w:after="0"/>
        <w:ind w:left="397" w:hanging="312"/>
      </w:pPr>
      <w:r>
        <w:rPr>
          <w:rFonts w:ascii="Lato" w:hAnsi="Lato"/>
          <w:b/>
          <w:color w:val="17324D"/>
        </w:rPr>
        <w:t>1.  Context, objective and limits of the work.</w:t>
      </w:r>
      <w:r>
        <w:rPr>
          <w:rFonts w:ascii="Lato" w:hAnsi="Lato"/>
        </w:rPr>
      </w:r>
    </w:p>
    <w:p>
      <w:pPr>
        <w:spacing w:after="0"/>
        <w:ind w:left="397" w:hanging="312"/>
      </w:pPr>
      <w:r>
        <w:rPr>
          <w:rFonts w:ascii="Lato" w:hAnsi="Lato"/>
          <w:b/>
          <w:color w:val="17324D"/>
        </w:rPr>
        <w:t>2.  How the study of 15 engines leads to the experimental question.</w:t>
      </w:r>
      <w:r>
        <w:rPr>
          <w:rFonts w:ascii="Lato" w:hAnsi="Lato"/>
        </w:rPr>
      </w:r>
    </w:p>
    <w:p>
      <w:pPr>
        <w:spacing w:after="0"/>
        <w:ind w:left="397" w:hanging="312"/>
      </w:pPr>
      <w:r>
        <w:rPr>
          <w:rFonts w:ascii="Lato" w:hAnsi="Lato"/>
          <w:b/>
          <w:color w:val="17324D"/>
        </w:rPr>
        <w:t>3.  Scientific origins of the selected methods.</w:t>
      </w:r>
      <w:r>
        <w:rPr>
          <w:rFonts w:ascii="Lato" w:hAnsi="Lato"/>
        </w:rPr>
      </w:r>
    </w:p>
    <w:p>
      <w:pPr>
        <w:spacing w:after="0"/>
        <w:ind w:left="397" w:hanging="312"/>
      </w:pPr>
      <w:r>
        <w:rPr>
          <w:rFonts w:ascii="Lato" w:hAnsi="Lato"/>
          <w:b/>
          <w:color w:val="17324D"/>
        </w:rPr>
        <w:t>4.  Benchmark architecture and data generation.</w:t>
      </w:r>
      <w:r>
        <w:rPr>
          <w:rFonts w:ascii="Lato" w:hAnsi="Lato"/>
        </w:rPr>
      </w:r>
    </w:p>
    <w:p>
      <w:pPr>
        <w:spacing w:after="0"/>
        <w:ind w:left="397" w:hanging="312"/>
      </w:pPr>
      <w:r>
        <w:rPr>
          <w:rFonts w:ascii="Lato" w:hAnsi="Lato"/>
          <w:b/>
          <w:color w:val="17324D"/>
        </w:rPr>
        <w:t>5.  Normalization, perturbations and hard negatives.</w:t>
      </w:r>
      <w:r>
        <w:rPr>
          <w:rFonts w:ascii="Lato" w:hAnsi="Lato"/>
        </w:rPr>
      </w:r>
    </w:p>
    <w:p>
      <w:pPr>
        <w:spacing w:after="0"/>
        <w:ind w:left="397" w:hanging="312"/>
      </w:pPr>
      <w:r>
        <w:rPr>
          <w:rFonts w:ascii="Lato" w:hAnsi="Lato"/>
          <w:b/>
          <w:color w:val="17324D"/>
        </w:rPr>
        <w:t>6.  Methods M0-M4 and evaluation metrics.</w:t>
      </w:r>
      <w:r>
        <w:rPr>
          <w:rFonts w:ascii="Lato" w:hAnsi="Lato"/>
        </w:rPr>
      </w:r>
    </w:p>
    <w:p>
      <w:pPr>
        <w:spacing w:after="0"/>
        <w:ind w:left="397" w:hanging="312"/>
      </w:pPr>
      <w:r>
        <w:rPr>
          <w:rFonts w:ascii="Lato" w:hAnsi="Lato"/>
          <w:b/>
          <w:color w:val="17324D"/>
        </w:rPr>
        <w:t>7.  Technical implementation plan, tests and outputs.</w:t>
      </w:r>
      <w:r>
        <w:rPr>
          <w:rFonts w:ascii="Lato" w:hAnsi="Lato"/>
        </w:rPr>
      </w:r>
    </w:p>
    <w:p>
      <w:pPr>
        <w:spacing w:after="0"/>
        <w:ind w:left="397" w:hanging="312"/>
      </w:pPr>
      <w:r>
        <w:rPr>
          <w:rFonts w:ascii="Lato" w:hAnsi="Lato"/>
          <w:b/>
          <w:color w:val="17324D"/>
        </w:rPr>
        <w:t>8.  Schedule through submission, risks and definition of done.</w:t>
      </w:r>
      <w:r>
        <w:rPr>
          <w:rFonts w:ascii="Lato" w:hAnsi="Lato"/>
        </w:rPr>
      </w:r>
    </w:p>
    <w:p>
      <w:pPr>
        <w:pStyle w:val="Heading1"/>
        <w:keepNext/>
      </w:pPr>
      <w:r>
        <w:rPr>
          <w:rFonts w:ascii="Lato" w:hAnsi="Lato"/>
          <w:b/>
          <w:color w:val="000000"/>
        </w:rPr>
        <w:t>1 Context objective and limits</w:t>
      </w:r>
    </w:p>
    <w:p>
      <w:pPr>
        <w:pStyle w:val="Heading2"/>
        <w:keepNext/>
      </w:pPr>
      <w:r>
        <w:rPr>
          <w:rFonts w:ascii="Lato" w:hAnsi="Lato"/>
          <w:b/>
          <w:color w:val="000000"/>
        </w:rPr>
        <w:t>1.1 Starting conditions</w:t>
      </w:r>
    </w:p>
    <w:p>
      <w:pPr>
        <w:pStyle w:val="ListBullet"/>
        <w:spacing w:after="80"/>
        <w:ind w:left="340" w:hanging="142"/>
      </w:pPr>
      <w:r>
        <w:rPr>
          <w:rFonts w:ascii="Lato" w:hAnsi="Lato"/>
        </w:rPr>
        <w:t>Submission deadline: 6 September 2026.</w:t>
      </w:r>
    </w:p>
    <w:p>
      <w:pPr>
        <w:pStyle w:val="ListBullet"/>
        <w:spacing w:after="80"/>
        <w:ind w:left="340" w:hanging="142"/>
      </w:pPr>
      <w:r>
        <w:rPr>
          <w:rFonts w:ascii="Lato" w:hAnsi="Lato"/>
        </w:rPr>
        <w:t>Paper limit: 2 pages, including references [R1].</w:t>
      </w:r>
    </w:p>
    <w:p>
      <w:pPr>
        <w:pStyle w:val="ListBullet"/>
        <w:spacing w:after="80"/>
        <w:ind w:left="340" w:hanging="142"/>
      </w:pPr>
      <w:r>
        <w:rPr>
          <w:rFonts w:ascii="Lato" w:hAnsi="Lato"/>
        </w:rPr>
        <w:t>Available resource: a critical study of 15 reconciliation engines/solutions (Document A).</w:t>
      </w:r>
    </w:p>
    <w:p>
      <w:pPr>
        <w:pStyle w:val="ListBullet"/>
        <w:spacing w:after="80"/>
        <w:ind w:left="340" w:hanging="142"/>
      </w:pPr>
      <w:r>
        <w:rPr>
          <w:rFonts w:ascii="Lato" w:hAnsi="Lato"/>
        </w:rPr>
        <w:t>Limitation: no real bank and accounting data with validated matches are available.</w:t>
      </w:r>
    </w:p>
    <w:p>
      <w:pPr>
        <w:pStyle w:val="ListBullet"/>
        <w:spacing w:after="80"/>
        <w:ind w:left="340" w:hanging="142"/>
      </w:pPr>
      <w:r>
        <w:rPr>
          <w:rFonts w:ascii="Lato" w:hAnsi="Lato"/>
        </w:rPr>
        <w:t>Scientific objective: evaluate transparent pattern-matching strategies, rather than compare commercial brands.</w:t>
      </w:r>
    </w:p>
    <w:p>
      <w:pPr>
        <w:spacing w:after="100"/>
      </w:pPr>
      <w:r>
        <w:rPr>
          <w:rFonts w:ascii="Lato" w:hAnsi="Lato"/>
        </w:rPr>
        <w:t>The absence of real data prevents claims about operational performance in production, but it does not prevent a controlled scientific experiment. The synthetic benchmark makes it possible to know the correct answer, vary one factor at a time and repeat the experiment under the same conditions.</w:t>
      </w:r>
    </w:p>
    <w:p>
      <w:pPr>
        <w:pStyle w:val="Heading2"/>
        <w:keepNext/>
      </w:pPr>
      <w:r>
        <w:rPr>
          <w:rFonts w:ascii="Lato" w:hAnsi="Lato"/>
          <w:b/>
          <w:color w:val="000000"/>
        </w:rPr>
        <w:t>1.2 Research question</w:t>
      </w:r>
    </w:p>
    <w:tbl>
      <w:tblPr>
        <w:tblW w:type="auto" w:w="0"/>
        <w:jc w:val="center"/>
        <w:tblLayout w:type="autofit"/>
        <w:tblLook w:firstColumn="1" w:firstRow="1" w:lastColumn="0" w:lastRow="0" w:noHBand="0" w:noVBand="1" w:val="04A0"/>
      </w:tblPr>
      <w:tblGrid>
        <w:gridCol w:w="9916"/>
      </w:tblGrid>
      <w:tr>
        <w:trPr>
          <w:cantSplit/>
        </w:trPr>
        <w:tc>
          <w:tcPr>
            <w:tcW w:type="dxa" w:w="9916"/>
            <w:shd w:fill="EAF3F7"/>
            <w:tcMar>
              <w:top w:w="120" w:type="dxa"/>
              <w:start w:w="150" w:type="dxa"/>
              <w:bottom w:w="120" w:type="dxa"/>
              <w:end w:w="150" w:type="dxa"/>
            </w:tcMar>
            <w:tcBorders>
              <w:top w:val="single" w:sz="8" w:color="246B8E"/>
              <w:bottom w:val="single" w:sz="8" w:color="246B8E"/>
              <w:left w:val="single" w:sz="18" w:color="246B8E"/>
              <w:right w:val="single" w:sz="8" w:color="246B8E"/>
            </w:tcBorders>
          </w:tcPr>
          <w:p>
            <w:pPr>
              <w:spacing w:after="40"/>
            </w:pPr>
            <w:r>
              <w:rPr>
                <w:rFonts w:ascii="Lato" w:hAnsi="Lato"/>
                <w:b/>
                <w:color w:val="17324D"/>
              </w:rPr>
              <w:t>Research question</w:t>
            </w:r>
          </w:p>
          <w:p>
            <w:pPr>
              <w:spacing w:after="0"/>
            </w:pPr>
            <w:r>
              <w:rPr>
                <w:rFonts w:ascii="Lato" w:hAnsi="Lato"/>
                <w:sz w:val="19"/>
              </w:rPr>
              <w:t>How robust are transparent pattern-matching strategies to common perturbations in bank reconciliation records?</w:t>
            </w:r>
          </w:p>
        </w:tc>
      </w:tr>
    </w:tbl>
    <w:p>
      <w:pPr>
        <w:spacing w:after="0"/>
      </w:pPr>
    </w:p>
    <w:tbl>
      <w:tblPr>
        <w:tblW w:type="auto" w:w="0"/>
        <w:jc w:val="center"/>
        <w:tblLayout w:type="autofit"/>
        <w:tblLook w:firstColumn="1" w:firstRow="1" w:lastColumn="0" w:lastRow="0" w:noHBand="0" w:noVBand="1" w:val="04A0"/>
      </w:tblPr>
      <w:tblGrid>
        <w:gridCol w:w="9916"/>
      </w:tblGrid>
      <w:tr>
        <w:trPr>
          <w:cantSplit/>
        </w:trPr>
        <w:tc>
          <w:tcPr>
            <w:tcW w:type="dxa" w:w="9916"/>
            <w:shd w:fill="E9F5F3"/>
            <w:tcMar>
              <w:top w:w="120" w:type="dxa"/>
              <w:start w:w="150" w:type="dxa"/>
              <w:bottom w:w="120" w:type="dxa"/>
              <w:end w:w="150" w:type="dxa"/>
            </w:tcMar>
            <w:tcBorders>
              <w:top w:val="single" w:sz="8" w:color="1B7F79"/>
              <w:bottom w:val="single" w:sz="8" w:color="1B7F79"/>
              <w:left w:val="single" w:sz="18" w:color="1B7F79"/>
              <w:right w:val="single" w:sz="8" w:color="1B7F79"/>
            </w:tcBorders>
          </w:tcPr>
          <w:p>
            <w:pPr>
              <w:spacing w:after="40"/>
            </w:pPr>
            <w:r>
              <w:rPr>
                <w:rFonts w:ascii="Lato" w:hAnsi="Lato"/>
                <w:b/>
                <w:color w:val="17324D"/>
              </w:rPr>
              <w:t>Working hypothesis</w:t>
            </w:r>
          </w:p>
          <w:p>
            <w:pPr>
              <w:spacing w:after="0"/>
            </w:pPr>
            <w:r>
              <w:rPr>
                <w:rFonts w:ascii="Lato" w:hAnsi="Lato"/>
                <w:sz w:val="19"/>
              </w:rPr>
              <w:t>Comparators suited to the field type - amount, date, reference, entity and description - should be more robust to heterogeneous noise than exact equality or applying the same text metric to every field.</w:t>
            </w:r>
          </w:p>
        </w:tc>
      </w:tr>
    </w:tbl>
    <w:p>
      <w:pPr>
        <w:spacing w:after="0"/>
      </w:pPr>
    </w:p>
    <w:p>
      <w:pPr>
        <w:pStyle w:val="Heading2"/>
        <w:keepNext/>
      </w:pPr>
      <w:r>
        <w:rPr>
          <w:rFonts w:ascii="Lato" w:hAnsi="Lato"/>
          <w:b/>
          <w:color w:val="000000"/>
        </w:rPr>
        <w:t>1.3 Frozen scope</w:t>
      </w:r>
    </w:p>
    <w:tbl>
      <w:tblPr>
        <w:tblW w:type="auto" w:w="0"/>
        <w:jc w:val="center"/>
        <w:tblLayout w:type="fixed"/>
        <w:tblLook w:firstColumn="1" w:firstRow="1" w:lastColumn="0" w:lastRow="0" w:noHBand="0" w:noVBand="1" w:val="04A0"/>
      </w:tblPr>
      <w:tblGrid>
        <w:gridCol w:w="4958"/>
        <w:gridCol w:w="4958"/>
      </w:tblGrid>
      <w:tr>
        <w:trPr>
          <w:tblHeader w:val="true"/>
        </w:trPr>
        <w:tc>
          <w:tcPr>
            <w:tcW w:type="dxa" w:w="4824"/>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Included</w:t>
            </w:r>
          </w:p>
        </w:tc>
        <w:tc>
          <w:tcPr>
            <w:tcW w:type="dxa" w:w="4824"/>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Excluded</w:t>
            </w:r>
          </w:p>
        </w:tc>
      </w:tr>
      <w:tr>
        <w:trPr>
          <w:cantSplit/>
        </w:trPr>
        <w:tc>
          <w:tcPr>
            <w:tcW w:type="dxa" w:w="482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Two sources: bank transaction and accounting record.</w:t>
            </w:r>
          </w:p>
        </w:tc>
        <w:tc>
          <w:tcPr>
            <w:tcW w:type="dxa" w:w="482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1:N, N:1, N:N and multi-way reconciliation.</w:t>
            </w:r>
          </w:p>
        </w:tc>
      </w:tr>
      <w:tr>
        <w:trPr>
          <w:cantSplit/>
        </w:trPr>
        <w:tc>
          <w:tcPr>
            <w:tcW w:type="dxa" w:w="482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One correct match per transaction.</w:t>
            </w:r>
          </w:p>
        </w:tc>
        <w:tc>
          <w:tcPr>
            <w:tcW w:type="dxa" w:w="482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Accounting creation, settlement, workflow and approval.</w:t>
            </w:r>
          </w:p>
        </w:tc>
      </w:tr>
      <w:tr>
        <w:trPr>
          <w:cantSplit/>
        </w:trPr>
        <w:tc>
          <w:tcPr>
            <w:tcW w:type="dxa" w:w="482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Ranking of 10 candidates per case.</w:t>
            </w:r>
          </w:p>
        </w:tc>
        <w:tc>
          <w:tcPr>
            <w:tcW w:type="dxa" w:w="482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Model training, embeddings, LLMs and graph neural networks.</w:t>
            </w:r>
          </w:p>
        </w:tc>
      </w:tr>
      <w:tr>
        <w:trPr>
          <w:cantSplit/>
        </w:trPr>
        <w:tc>
          <w:tcPr>
            <w:tcW w:type="dxa" w:w="482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Fields: amount, date, reference, entity and description.</w:t>
            </w:r>
          </w:p>
        </w:tc>
        <w:tc>
          <w:tcPr>
            <w:tcW w:type="dxa" w:w="482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IBAN, value date, currency and transaction type in this first version.</w:t>
            </w:r>
          </w:p>
        </w:tc>
      </w:tr>
      <w:tr>
        <w:trPr>
          <w:cantSplit/>
        </w:trPr>
        <w:tc>
          <w:tcPr>
            <w:tcW w:type="dxa" w:w="482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Controlled perturbations and hard negatives.</w:t>
            </w:r>
          </w:p>
        </w:tc>
        <w:tc>
          <w:tcPr>
            <w:tcW w:type="dxa" w:w="482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Direct comparison of commercial products.</w:t>
            </w:r>
          </w:p>
        </w:tc>
      </w:tr>
    </w:tbl>
    <w:p>
      <w:pPr>
        <w:spacing w:after="0"/>
      </w:pPr>
    </w:p>
    <w:tbl>
      <w:tblPr>
        <w:tblW w:type="auto" w:w="0"/>
        <w:jc w:val="center"/>
        <w:tblLayout w:type="autofit"/>
        <w:tblLook w:firstColumn="1" w:firstRow="1" w:lastColumn="0" w:lastRow="0" w:noHBand="0" w:noVBand="1" w:val="04A0"/>
      </w:tblPr>
      <w:tblGrid>
        <w:gridCol w:w="9916"/>
      </w:tblGrid>
      <w:tr>
        <w:trPr>
          <w:cantSplit/>
        </w:trPr>
        <w:tc>
          <w:tcPr>
            <w:tcW w:type="dxa" w:w="9916"/>
            <w:shd w:fill="FCECEC"/>
            <w:tcMar>
              <w:top w:w="120" w:type="dxa"/>
              <w:start w:w="150" w:type="dxa"/>
              <w:bottom w:w="120" w:type="dxa"/>
              <w:end w:w="150" w:type="dxa"/>
            </w:tcMar>
            <w:tcBorders>
              <w:top w:val="single" w:sz="8" w:color="B34747"/>
              <w:bottom w:val="single" w:sz="8" w:color="B34747"/>
              <w:left w:val="single" w:sz="18" w:color="B34747"/>
              <w:right w:val="single" w:sz="8" w:color="B34747"/>
            </w:tcBorders>
          </w:tcPr>
          <w:p>
            <w:pPr>
              <w:spacing w:after="40"/>
            </w:pPr>
            <w:r>
              <w:rPr>
                <w:rFonts w:ascii="Lato" w:hAnsi="Lato"/>
                <w:b/>
                <w:color w:val="17324D"/>
              </w:rPr>
              <w:t>Scientific constraint</w:t>
            </w:r>
          </w:p>
          <w:p>
            <w:pPr>
              <w:spacing w:after="0"/>
            </w:pPr>
            <w:r>
              <w:rPr>
                <w:rFonts w:ascii="Lato" w:hAnsi="Lato"/>
                <w:sz w:val="19"/>
              </w:rPr>
              <w:t>The paper may claim relative robustness in controlled synthetic scenarios. It may not claim performance on real data, superiority over commercial products or generalization to grouped matching.</w:t>
            </w:r>
          </w:p>
        </w:tc>
      </w:tr>
    </w:tbl>
    <w:p>
      <w:pPr>
        <w:spacing w:after="0"/>
      </w:pPr>
    </w:p>
    <w:p>
      <w:pPr>
        <w:pStyle w:val="Heading1"/>
        <w:keepNext/>
      </w:pPr>
      <w:r>
        <w:rPr>
          <w:rFonts w:ascii="Lato" w:hAnsi="Lato"/>
          <w:b/>
          <w:color w:val="000000"/>
        </w:rPr>
        <w:t>2 From the industrial study to the experimental problem</w:t>
      </w:r>
    </w:p>
    <w:p>
      <w:pPr>
        <w:spacing w:after="100"/>
      </w:pPr>
      <w:r>
        <w:rPr>
          <w:rFonts w:ascii="Lato" w:hAnsi="Lato"/>
        </w:rPr>
        <w:t>Document A serves as an evidence notebook. The implementation does not reproduce any commercial engine; it uses only the recurring patterns identified in the study to decide what should be tested.</w:t>
      </w:r>
    </w:p>
    <w:tbl>
      <w:tblPr>
        <w:tblW w:type="auto" w:w="0"/>
        <w:jc w:val="center"/>
        <w:tblLayout w:type="fixed"/>
        <w:tblLook w:firstColumn="1" w:firstRow="1" w:lastColumn="0" w:lastRow="0" w:noHBand="0" w:noVBand="1" w:val="04A0"/>
      </w:tblPr>
      <w:tblGrid>
        <w:gridCol w:w="3305"/>
        <w:gridCol w:w="3305"/>
        <w:gridCol w:w="3305"/>
      </w:tblGrid>
      <w:tr>
        <w:trPr>
          <w:tblHeader w:val="true"/>
        </w:trPr>
        <w:tc>
          <w:tcPr>
            <w:tcW w:type="dxa" w:w="2232"/>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6"/>
              </w:rPr>
              <w:t>Industrial finding</w:t>
            </w:r>
          </w:p>
        </w:tc>
        <w:tc>
          <w:tcPr>
            <w:tcW w:type="dxa" w:w="3672"/>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6"/>
              </w:rPr>
              <w:t>Consolidated evidence</w:t>
            </w:r>
          </w:p>
        </w:tc>
        <w:tc>
          <w:tcPr>
            <w:tcW w:type="dxa" w:w="3816"/>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6"/>
              </w:rPr>
              <w:t>Consequence for the benchmark</w:t>
            </w:r>
          </w:p>
        </w:tc>
      </w:tr>
      <w:tr>
        <w:trPr>
          <w:cantSplit/>
        </w:trPr>
        <w:tc>
          <w:tcPr>
            <w:tcW w:type="dxa" w:w="223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Multi-attribute matching</w:t>
            </w:r>
          </w:p>
        </w:tc>
        <w:tc>
          <w:tcPr>
            <w:tcW w:type="dxa" w:w="367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Amount, Date, Reference, Description and Entity recur across products.</w:t>
            </w:r>
          </w:p>
        </w:tc>
        <w:tc>
          <w:tcPr>
            <w:tcW w:type="dxa" w:w="381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Use five fields and produce a score for each field.</w:t>
            </w:r>
          </w:p>
        </w:tc>
      </w:tr>
      <w:tr>
        <w:trPr>
          <w:cantSplit/>
        </w:trPr>
        <w:tc>
          <w:tcPr>
            <w:tcW w:type="dxa" w:w="223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Preparation before matching</w:t>
            </w:r>
          </w:p>
        </w:tc>
        <w:tc>
          <w:tcPr>
            <w:tcW w:type="dxa" w:w="367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Parsing, normalization, standardization and enrichment appear in several products.</w:t>
            </w:r>
          </w:p>
        </w:tc>
        <w:tc>
          <w:tcPr>
            <w:tcW w:type="dxa" w:w="381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Separate normalization from the matcher and measure its contribution.</w:t>
            </w:r>
          </w:p>
        </w:tc>
      </w:tr>
      <w:tr>
        <w:trPr>
          <w:cantSplit/>
        </w:trPr>
        <w:tc>
          <w:tcPr>
            <w:tcW w:type="dxa" w:w="223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Tolerances</w:t>
            </w:r>
          </w:p>
        </w:tc>
        <w:tc>
          <w:tcPr>
            <w:tcW w:type="dxa" w:w="367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Several engines explicitly accept date and amount differences.</w:t>
            </w:r>
          </w:p>
        </w:tc>
        <w:tc>
          <w:tcPr>
            <w:tcW w:type="dxa" w:w="381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Create amount noise and date drift; include a tolerant baseline.</w:t>
            </w:r>
          </w:p>
        </w:tc>
      </w:tr>
      <w:tr>
        <w:trPr>
          <w:cantSplit/>
        </w:trPr>
        <w:tc>
          <w:tcPr>
            <w:tcW w:type="dxa" w:w="223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Text variation</w:t>
            </w:r>
          </w:p>
        </w:tc>
        <w:tc>
          <w:tcPr>
            <w:tcW w:type="dxa" w:w="367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Exact description, regex, fuzzy matching and ML are available.</w:t>
            </w:r>
          </w:p>
        </w:tc>
        <w:tc>
          <w:tcPr>
            <w:tcW w:type="dxa" w:w="381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Compare exact, Jaro-Winkler and character trigrams.</w:t>
            </w:r>
          </w:p>
        </w:tc>
      </w:tr>
      <w:tr>
        <w:trPr>
          <w:cantSplit/>
        </w:trPr>
        <w:tc>
          <w:tcPr>
            <w:tcW w:type="dxa" w:w="223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Ambiguity</w:t>
            </w:r>
          </w:p>
        </w:tc>
        <w:tc>
          <w:tcPr>
            <w:tcW w:type="dxa" w:w="367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Oracle, Dynamics, PHC GO and suggested matching distinguish a valid candidate from a unique candidate.</w:t>
            </w:r>
          </w:p>
        </w:tc>
        <w:tc>
          <w:tcPr>
            <w:tcW w:type="dxa" w:w="381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Create hard negatives and use Unique Top-1.</w:t>
            </w:r>
          </w:p>
        </w:tc>
      </w:tr>
      <w:tr>
        <w:trPr>
          <w:cantSplit/>
        </w:trPr>
        <w:tc>
          <w:tcPr>
            <w:tcW w:type="dxa" w:w="223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Human review</w:t>
            </w:r>
          </w:p>
        </w:tc>
        <w:tc>
          <w:tcPr>
            <w:tcW w:type="dxa" w:w="367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Several solutions separate suggestions from automatic decisions.</w:t>
            </w:r>
          </w:p>
        </w:tc>
        <w:tc>
          <w:tcPr>
            <w:tcW w:type="dxa" w:w="381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Evaluate ranking; do not force an automatic match when there is a tie.</w:t>
            </w:r>
          </w:p>
        </w:tc>
      </w:tr>
      <w:tr>
        <w:trPr>
          <w:cantSplit/>
        </w:trPr>
        <w:tc>
          <w:tcPr>
            <w:tcW w:type="dxa" w:w="223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Grouping and partial matching</w:t>
            </w:r>
          </w:p>
        </w:tc>
        <w:tc>
          <w:tcPr>
            <w:tcW w:type="dxa" w:w="367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1:N, N:N, multi-way and partial matching are common.</w:t>
            </w:r>
          </w:p>
        </w:tc>
        <w:tc>
          <w:tcPr>
            <w:tcW w:type="dxa" w:w="381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Declare them as future work and keep them out of the first benchmark.</w:t>
            </w:r>
          </w:p>
        </w:tc>
      </w:tr>
      <w:tr>
        <w:trPr>
          <w:cantSplit/>
        </w:trPr>
        <w:tc>
          <w:tcPr>
            <w:tcW w:type="dxa" w:w="223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Provider enrichment</w:t>
            </w:r>
          </w:p>
        </w:tc>
        <w:tc>
          <w:tcPr>
            <w:tcW w:type="dxa" w:w="367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nBanks exposes payer, merchant, IBAN and references in structured form.</w:t>
            </w:r>
          </w:p>
        </w:tc>
        <w:tc>
          <w:tcPr>
            <w:tcW w:type="dxa" w:w="381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Treat Reference/Entity as structured signals distinct from Description.</w:t>
            </w:r>
          </w:p>
        </w:tc>
      </w:tr>
    </w:tbl>
    <w:p>
      <w:pPr>
        <w:spacing w:after="0"/>
      </w:pPr>
    </w:p>
    <w:p>
      <w:pPr>
        <w:pStyle w:val="Heading2"/>
        <w:keepNext/>
      </w:pPr>
      <w:r>
        <w:rPr>
          <w:rFonts w:ascii="Lato" w:hAnsi="Lato"/>
          <w:b/>
          <w:color w:val="000000"/>
        </w:rPr>
        <w:t>2.1 Why not compare products</w:t>
      </w:r>
    </w:p>
    <w:p>
      <w:pPr>
        <w:pStyle w:val="ListBullet"/>
        <w:spacing w:after="40"/>
        <w:ind w:left="340" w:hanging="142"/>
      </w:pPr>
      <w:r>
        <w:rPr>
          <w:rFonts w:ascii="Lato" w:hAnsi="Lato"/>
        </w:rPr>
        <w:t>Internal algorithms are often proprietary or insufficiently documented.</w:t>
      </w:r>
    </w:p>
    <w:p>
      <w:pPr>
        <w:pStyle w:val="ListBullet"/>
        <w:spacing w:after="40"/>
        <w:ind w:left="340" w:hanging="142"/>
      </w:pPr>
      <w:r>
        <w:rPr>
          <w:rFonts w:ascii="Lato" w:hAnsi="Lato"/>
        </w:rPr>
        <w:t>The products have different scopes: some focus on banks, others on multiple sources, and others on accounting actions.</w:t>
      </w:r>
    </w:p>
    <w:p>
      <w:pPr>
        <w:pStyle w:val="ListBullet"/>
        <w:spacing w:after="40"/>
        <w:ind w:left="340" w:hanging="142"/>
      </w:pPr>
      <w:r>
        <w:rPr>
          <w:rFonts w:ascii="Lato" w:hAnsi="Lato"/>
        </w:rPr>
        <w:t>Commercial metrics are not mutually comparable, and many are vendor claims.</w:t>
      </w:r>
    </w:p>
    <w:p>
      <w:pPr>
        <w:pStyle w:val="ListBullet"/>
        <w:spacing w:after="40"/>
        <w:ind w:left="340" w:hanging="142"/>
      </w:pPr>
      <w:r>
        <w:rPr>
          <w:rFonts w:ascii="Lato" w:hAnsi="Lato"/>
        </w:rPr>
        <w:t>A fair comparison would require the same data, configuration, candidates and ground truth, which are not available to us.</w:t>
      </w:r>
    </w:p>
    <w:p>
      <w:pPr>
        <w:spacing w:after="100"/>
      </w:pPr>
      <w:r>
        <w:rPr>
          <w:rFonts w:ascii="Lato" w:hAnsi="Lato"/>
        </w:rPr>
        <w:t>The contribution we can make is therefore a reproducible evaluation of known methods on a problem and a set of perturbations motivated by industrial practice.</w:t>
      </w:r>
    </w:p>
    <w:p>
      <w:pPr>
        <w:pStyle w:val="Heading1"/>
        <w:keepNext/>
      </w:pPr>
      <w:r>
        <w:rPr>
          <w:rFonts w:ascii="Lato" w:hAnsi="Lato"/>
          <w:b/>
          <w:color w:val="000000"/>
        </w:rPr>
        <w:t>3 Scientific origins and provenance of the ideas</w:t>
      </w:r>
    </w:p>
    <w:p>
      <w:pPr>
        <w:pStyle w:val="Heading2"/>
        <w:keepNext/>
      </w:pPr>
      <w:r>
        <w:rPr>
          <w:rFonts w:ascii="Lato" w:hAnsi="Lato"/>
          <w:b/>
          <w:color w:val="000000"/>
        </w:rPr>
        <w:t>3.1 Record linkage as the underlying formulation</w:t>
      </w:r>
    </w:p>
    <w:p>
      <w:pPr>
        <w:spacing w:after="100"/>
      </w:pPr>
      <w:r>
        <w:rPr>
          <w:rFonts w:ascii="Lato" w:hAnsi="Lato"/>
        </w:rPr>
        <w:t>Record linkage seeks to determine whether two records from different sources represent the same entity, object or event. The classic Fellegi-Sunter model formalizes this decision using a vector of attribute comparisons [C1]. Jaro developed record-linkage methodologies for large files and imperfect comparisons [C2].</w:t>
      </w:r>
    </w:p>
    <w:tbl>
      <w:tblPr>
        <w:tblW w:type="auto" w:w="0"/>
        <w:jc w:val="center"/>
        <w:tblLook w:firstColumn="1" w:firstRow="1" w:lastColumn="0" w:lastRow="0" w:noHBand="0" w:noVBand="1" w:val="04A0"/>
      </w:tblPr>
      <w:tblGrid>
        <w:gridCol w:w="9916"/>
      </w:tblGrid>
      <w:tr>
        <w:tc>
          <w:tcPr>
            <w:tcW w:type="dxa" w:w="9916"/>
            <w:shd w:fill="F3F5F7"/>
            <w:tcMar>
              <w:top w:w="90" w:type="dxa"/>
              <w:start w:w="120" w:type="dxa"/>
              <w:bottom w:w="90" w:type="dxa"/>
              <w:end w:w="120" w:type="dxa"/>
            </w:tcMar>
            <w:tcBorders>
              <w:top w:val="single" w:sz="5" w:color="D6DDE3"/>
              <w:bottom w:val="single" w:sz="5" w:color="D6DDE3"/>
              <w:left w:val="single" w:sz="5" w:color="D6DDE3"/>
              <w:right w:val="single" w:sz="5" w:color="D6DDE3"/>
            </w:tcBorders>
          </w:tcPr>
          <w:p>
            <w:pPr>
              <w:spacing w:after="0"/>
            </w:pPr>
            <w:r>
              <w:rPr>
                <w:rFonts w:ascii="Liberation Mono" w:hAnsi="Liberation Mono"/>
                <w:color w:val="17324D"/>
                <w:sz w:val="17"/>
              </w:rPr>
              <w:t>bank_transaction  &lt;-&gt;  accounting_record</w:t>
            </w:r>
            <w:r>
              <w:br/>
            </w:r>
            <w:r>
              <w:rPr>
                <w:rFonts w:ascii="Liberation Mono" w:hAnsi="Liberation Mono"/>
                <w:color w:val="17324D"/>
                <w:sz w:val="17"/>
              </w:rPr>
            </w:r>
            <w:r>
              <w:br/>
            </w:r>
            <w:r>
              <w:rPr>
                <w:rFonts w:ascii="Liberation Mono" w:hAnsi="Liberation Mono"/>
                <w:color w:val="17324D"/>
                <w:sz w:val="17"/>
              </w:rPr>
              <w:t>comparison_vector = [</w:t>
            </w:r>
            <w:r>
              <w:br/>
            </w:r>
            <w:r>
              <w:rPr>
                <w:rFonts w:ascii="Liberation Mono" w:hAnsi="Liberation Mono"/>
                <w:color w:val="17324D"/>
                <w:sz w:val="17"/>
              </w:rPr>
              <w:t xml:space="preserve">    amount_score,</w:t>
            </w:r>
            <w:r>
              <w:br/>
            </w:r>
            <w:r>
              <w:rPr>
                <w:rFonts w:ascii="Liberation Mono" w:hAnsi="Liberation Mono"/>
                <w:color w:val="17324D"/>
                <w:sz w:val="17"/>
              </w:rPr>
              <w:t xml:space="preserve">    date_score,</w:t>
            </w:r>
            <w:r>
              <w:br/>
            </w:r>
            <w:r>
              <w:rPr>
                <w:rFonts w:ascii="Liberation Mono" w:hAnsi="Liberation Mono"/>
                <w:color w:val="17324D"/>
                <w:sz w:val="17"/>
              </w:rPr>
              <w:t xml:space="preserve">    reference_score,</w:t>
            </w:r>
            <w:r>
              <w:br/>
            </w:r>
            <w:r>
              <w:rPr>
                <w:rFonts w:ascii="Liberation Mono" w:hAnsi="Liberation Mono"/>
                <w:color w:val="17324D"/>
                <w:sz w:val="17"/>
              </w:rPr>
              <w:t xml:space="preserve">    entity_score,</w:t>
            </w:r>
            <w:r>
              <w:br/>
            </w:r>
            <w:r>
              <w:rPr>
                <w:rFonts w:ascii="Liberation Mono" w:hAnsi="Liberation Mono"/>
                <w:color w:val="17324D"/>
                <w:sz w:val="17"/>
              </w:rPr>
              <w:t xml:space="preserve">    description_score,</w:t>
            </w:r>
            <w:r>
              <w:br/>
            </w:r>
            <w:r>
              <w:rPr>
                <w:rFonts w:ascii="Liberation Mono" w:hAnsi="Liberation Mono"/>
                <w:color w:val="17324D"/>
                <w:sz w:val="17"/>
              </w:rPr>
              <w:t>]</w:t>
            </w:r>
          </w:p>
        </w:tc>
      </w:tr>
    </w:tbl>
    <w:p>
      <w:pPr>
        <w:spacing w:after="0"/>
      </w:pPr>
    </w:p>
    <w:p>
      <w:pPr>
        <w:spacing w:after="100"/>
      </w:pPr>
      <w:r>
        <w:rPr>
          <w:rFonts w:ascii="Lato" w:hAnsi="Lato"/>
        </w:rPr>
        <w:t>This representation underlies the benchmark. The implementation does not attempt to learn Fellegi-Sunter probabilities; it adopts only the fundamental idea of producing separate evidence for each attribute.</w:t>
      </w:r>
    </w:p>
    <w:p>
      <w:pPr>
        <w:pStyle w:val="Heading2"/>
        <w:keepNext/>
      </w:pPr>
      <w:r>
        <w:rPr>
          <w:rFonts w:ascii="Lato" w:hAnsi="Lato"/>
          <w:b/>
          <w:color w:val="000000"/>
        </w:rPr>
        <w:t>3.2 Jaro Winkler</w:t>
      </w:r>
    </w:p>
    <w:p>
      <w:pPr>
        <w:spacing w:after="100"/>
      </w:pPr>
      <w:r>
        <w:rPr>
          <w:rFonts w:ascii="Lato" w:hAnsi="Lato"/>
        </w:rPr>
        <w:t>Jaro-Winkler is a string comparator from the record-linkage literature, designed to handle typographical variation in short strings such as names and identifiers [C2, C3]. Winkler's extension rewards common prefixes. It is therefore a defensible choice for Reference and Entity, but not automatically the best option for long descriptions.</w:t>
      </w:r>
    </w:p>
    <w:tbl>
      <w:tblPr>
        <w:tblW w:type="auto" w:w="0"/>
        <w:jc w:val="center"/>
        <w:tblLook w:firstColumn="1" w:firstRow="1" w:lastColumn="0" w:lastRow="0" w:noHBand="0" w:noVBand="1" w:val="04A0"/>
      </w:tblPr>
      <w:tblGrid>
        <w:gridCol w:w="9916"/>
      </w:tblGrid>
      <w:tr>
        <w:tc>
          <w:tcPr>
            <w:tcW w:type="dxa" w:w="9916"/>
            <w:shd w:fill="F3F5F7"/>
            <w:tcMar>
              <w:top w:w="90" w:type="dxa"/>
              <w:start w:w="120" w:type="dxa"/>
              <w:bottom w:w="90" w:type="dxa"/>
              <w:end w:w="120" w:type="dxa"/>
            </w:tcMar>
            <w:tcBorders>
              <w:top w:val="single" w:sz="5" w:color="D6DDE3"/>
              <w:bottom w:val="single" w:sz="5" w:color="D6DDE3"/>
              <w:left w:val="single" w:sz="5" w:color="D6DDE3"/>
              <w:right w:val="single" w:sz="5" w:color="D6DDE3"/>
            </w:tcBorders>
          </w:tcPr>
          <w:p>
            <w:pPr>
              <w:spacing w:after="0"/>
            </w:pPr>
            <w:r>
              <w:rPr>
                <w:rFonts w:ascii="Liberation Mono" w:hAnsi="Liberation Mono"/>
                <w:color w:val="17324D"/>
                <w:sz w:val="17"/>
              </w:rPr>
              <w:t>FT2026/0187  &lt;-&gt;  FT2026/0178</w:t>
            </w:r>
            <w:r>
              <w:br/>
            </w:r>
            <w:r>
              <w:rPr>
                <w:rFonts w:ascii="Liberation Mono" w:hAnsi="Liberation Mono"/>
                <w:color w:val="17324D"/>
                <w:sz w:val="17"/>
              </w:rPr>
              <w:t>ACME PORTUGAL  &lt;-&gt;  ACME PORTUGLA</w:t>
            </w:r>
            <w:r>
              <w:br/>
            </w:r>
            <w:r>
              <w:rPr>
                <w:rFonts w:ascii="Liberation Mono" w:hAnsi="Liberation Mono"/>
                <w:color w:val="17324D"/>
                <w:sz w:val="17"/>
              </w:rPr>
            </w:r>
            <w:r>
              <w:br/>
            </w:r>
            <w:r>
              <w:rPr>
                <w:rFonts w:ascii="Liberation Mono" w:hAnsi="Liberation Mono"/>
                <w:color w:val="17324D"/>
                <w:sz w:val="17"/>
              </w:rPr>
              <w:t>Jaro-Winkler normalized similarity -&gt; value in [0, 1]</w:t>
            </w:r>
          </w:p>
        </w:tc>
      </w:tr>
    </w:tbl>
    <w:p>
      <w:pPr>
        <w:spacing w:after="0"/>
      </w:pPr>
    </w:p>
    <w:p>
      <w:pPr>
        <w:pStyle w:val="Heading2"/>
        <w:keepNext/>
      </w:pPr>
      <w:r>
        <w:rPr>
          <w:rFonts w:ascii="Lato" w:hAnsi="Lato"/>
          <w:b/>
          <w:color w:val="000000"/>
        </w:rPr>
        <w:t>3.3 Character q grams and cosine similarity</w:t>
      </w:r>
    </w:p>
    <w:p>
      <w:pPr>
        <w:spacing w:after="100"/>
      </w:pPr>
      <w:r>
        <w:rPr>
          <w:rFonts w:ascii="Lato" w:hAnsi="Lato"/>
        </w:rPr>
        <w:t>Q-grams represent a string through short character fragments. Ukkonen formalized q-grams for approximate string matching [C4]. Experimental comparisons of name and record metrics show the value of token/vector methods and hybrid schemes [C5]. This plan uses trigrams (q=3) and cosine similarity over fragment frequencies.</w:t>
      </w:r>
    </w:p>
    <w:tbl>
      <w:tblPr>
        <w:tblW w:type="auto" w:w="0"/>
        <w:jc w:val="center"/>
        <w:tblLook w:firstColumn="1" w:firstRow="1" w:lastColumn="0" w:lastRow="0" w:noHBand="0" w:noVBand="1" w:val="04A0"/>
      </w:tblPr>
      <w:tblGrid>
        <w:gridCol w:w="9916"/>
      </w:tblGrid>
      <w:tr>
        <w:tc>
          <w:tcPr>
            <w:tcW w:type="dxa" w:w="9916"/>
            <w:shd w:fill="F3F5F7"/>
            <w:tcMar>
              <w:top w:w="90" w:type="dxa"/>
              <w:start w:w="120" w:type="dxa"/>
              <w:bottom w:w="90" w:type="dxa"/>
              <w:end w:w="120" w:type="dxa"/>
            </w:tcMar>
            <w:tcBorders>
              <w:top w:val="single" w:sz="5" w:color="D6DDE3"/>
              <w:bottom w:val="single" w:sz="5" w:color="D6DDE3"/>
              <w:left w:val="single" w:sz="5" w:color="D6DDE3"/>
              <w:right w:val="single" w:sz="5" w:color="D6DDE3"/>
            </w:tcBorders>
          </w:tcPr>
          <w:p>
            <w:pPr>
              <w:spacing w:after="0"/>
            </w:pPr>
            <w:r>
              <w:rPr>
                <w:rFonts w:ascii="Liberation Mono" w:hAnsi="Liberation Mono"/>
                <w:color w:val="17324D"/>
                <w:sz w:val="17"/>
              </w:rPr>
              <w:t>"acme" with boundary markers:</w:t>
            </w:r>
            <w:r>
              <w:br/>
            </w:r>
            <w:r>
              <w:rPr>
                <w:rFonts w:ascii="Liberation Mono" w:hAnsi="Liberation Mono"/>
                <w:color w:val="17324D"/>
                <w:sz w:val="17"/>
              </w:rPr>
              <w:t>^ac, acm, cme, me$</w:t>
            </w:r>
            <w:r>
              <w:br/>
            </w:r>
            <w:r>
              <w:rPr>
                <w:rFonts w:ascii="Liberation Mono" w:hAnsi="Liberation Mono"/>
                <w:color w:val="17324D"/>
                <w:sz w:val="17"/>
              </w:rPr>
            </w:r>
            <w:r>
              <w:br/>
            </w:r>
            <w:r>
              <w:rPr>
                <w:rFonts w:ascii="Liberation Mono" w:hAnsi="Liberation Mono"/>
                <w:color w:val="17324D"/>
                <w:sz w:val="17"/>
              </w:rPr>
              <w:t>similarity = cosine(qgram_counts(text_a), qgram_counts(text_b))</w:t>
            </w:r>
          </w:p>
        </w:tc>
      </w:tr>
    </w:tbl>
    <w:p>
      <w:pPr>
        <w:spacing w:after="0"/>
      </w:pPr>
    </w:p>
    <w:p>
      <w:pPr>
        <w:spacing w:after="100"/>
      </w:pPr>
      <w:r>
        <w:rPr>
          <w:rFonts w:ascii="Lato" w:hAnsi="Lato"/>
        </w:rPr>
        <w:t>The motivation is to retain local evidence despite truncation, punctuation, abbreviation or small changes in order. We do not claim that q=3 is universally optimal; it is a simple, documented and reproducible decision for this proof of concept.</w:t>
      </w:r>
    </w:p>
    <w:p>
      <w:pPr>
        <w:pStyle w:val="Heading2"/>
        <w:keepNext/>
      </w:pPr>
      <w:r>
        <w:rPr>
          <w:rFonts w:ascii="Lato" w:hAnsi="Lato"/>
          <w:b/>
          <w:color w:val="000000"/>
        </w:rPr>
        <w:t>3.4 Field aware matching</w:t>
      </w:r>
    </w:p>
    <w:p>
      <w:pPr>
        <w:spacing w:after="100"/>
      </w:pPr>
      <w:r>
        <w:rPr>
          <w:rFonts w:ascii="Lato" w:hAnsi="Lato"/>
        </w:rPr>
        <w:t>The record-linkage literature represents pairs through multiple features, and Cohen et al. show that different metrics can behave differently and can be combined [C5]. The industrial study also shows that financial fields have distinct characteristics. This leads to the M4 configuration:</w:t>
      </w:r>
    </w:p>
    <w:tbl>
      <w:tblPr>
        <w:tblW w:type="auto" w:w="0"/>
        <w:jc w:val="center"/>
        <w:tblLayout w:type="fixed"/>
        <w:tblLook w:firstColumn="1" w:firstRow="1" w:lastColumn="0" w:lastRow="0" w:noHBand="0" w:noVBand="1" w:val="04A0"/>
      </w:tblPr>
      <w:tblGrid>
        <w:gridCol w:w="3305"/>
        <w:gridCol w:w="3305"/>
        <w:gridCol w:w="3305"/>
      </w:tblGrid>
      <w:tr>
        <w:trPr>
          <w:tblHeader w:val="true"/>
        </w:trPr>
        <w:tc>
          <w:tcPr>
            <w:tcW w:type="dxa" w:w="1584"/>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Field</w:t>
            </w:r>
          </w:p>
        </w:tc>
        <w:tc>
          <w:tcPr>
            <w:tcW w:type="dxa" w:w="2880"/>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Recommended comparator</w:t>
            </w:r>
          </w:p>
        </w:tc>
        <w:tc>
          <w:tcPr>
            <w:tcW w:type="dxa" w:w="5256"/>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Reason</w:t>
            </w:r>
          </w:p>
        </w:tc>
      </w:tr>
      <w:tr>
        <w:trPr>
          <w:cantSplit/>
        </w:trPr>
        <w:tc>
          <w:tcPr>
            <w:tcW w:type="dxa" w:w="158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Amount</w:t>
            </w:r>
          </w:p>
        </w:tc>
        <w:tc>
          <w:tcPr>
            <w:tcW w:type="dxa" w:w="288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Numerical tolerance</w:t>
            </w:r>
          </w:p>
        </w:tc>
        <w:tc>
          <w:tcPr>
            <w:tcW w:type="dxa" w:w="525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Quantitative field; string similarity is not meaningful.</w:t>
            </w:r>
          </w:p>
        </w:tc>
      </w:tr>
      <w:tr>
        <w:trPr>
          <w:cantSplit/>
        </w:trPr>
        <w:tc>
          <w:tcPr>
            <w:tcW w:type="dxa" w:w="158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Date</w:t>
            </w:r>
          </w:p>
        </w:tc>
        <w:tc>
          <w:tcPr>
            <w:tcW w:type="dxa" w:w="288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Temporal tolerance</w:t>
            </w:r>
          </w:p>
        </w:tc>
        <w:tc>
          <w:tcPr>
            <w:tcW w:type="dxa" w:w="525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The relevant difference is measured in days.</w:t>
            </w:r>
          </w:p>
        </w:tc>
      </w:tr>
      <w:tr>
        <w:trPr>
          <w:cantSplit/>
        </w:trPr>
        <w:tc>
          <w:tcPr>
            <w:tcW w:type="dxa" w:w="158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Reference</w:t>
            </w:r>
          </w:p>
        </w:tc>
        <w:tc>
          <w:tcPr>
            <w:tcW w:type="dxa" w:w="288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Jaro-Winkler</w:t>
            </w:r>
          </w:p>
        </w:tc>
        <w:tc>
          <w:tcPr>
            <w:tcW w:type="dxa" w:w="525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Short, structured identifier sensitive to typos/transpositions.</w:t>
            </w:r>
          </w:p>
        </w:tc>
      </w:tr>
      <w:tr>
        <w:trPr>
          <w:cantSplit/>
        </w:trPr>
        <w:tc>
          <w:tcPr>
            <w:tcW w:type="dxa" w:w="158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Entity</w:t>
            </w:r>
          </w:p>
        </w:tc>
        <w:tc>
          <w:tcPr>
            <w:tcW w:type="dxa" w:w="288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Jaro-Winkler</w:t>
            </w:r>
          </w:p>
        </w:tc>
        <w:tc>
          <w:tcPr>
            <w:tcW w:type="dxa" w:w="525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Relatively short name with abbreviations and spelling errors.</w:t>
            </w:r>
          </w:p>
        </w:tc>
      </w:tr>
      <w:tr>
        <w:trPr>
          <w:cantSplit/>
        </w:trPr>
        <w:tc>
          <w:tcPr>
            <w:tcW w:type="dxa" w:w="158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Description</w:t>
            </w:r>
          </w:p>
        </w:tc>
        <w:tc>
          <w:tcPr>
            <w:tcW w:type="dxa" w:w="288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Character-trigram cosine</w:t>
            </w:r>
          </w:p>
        </w:tc>
        <w:tc>
          <w:tcPr>
            <w:tcW w:type="dxa" w:w="525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Longer, noisy, truncated text with bank boilerplate.</w:t>
            </w:r>
          </w:p>
        </w:tc>
      </w:tr>
    </w:tbl>
    <w:p>
      <w:pPr>
        <w:spacing w:after="0"/>
      </w:pPr>
    </w:p>
    <w:p>
      <w:pPr>
        <w:spacing w:after="100"/>
      </w:pPr>
      <w:r>
        <w:rPr>
          <w:rFonts w:ascii="Lato" w:hAnsi="Lato"/>
        </w:rPr>
        <w:t>The field-aware combination is a project decision based on existing methods; it will not be presented as an entirely new algorithm. To avoid arbitrary weights without training data, the available fields receive equal weight.</w:t>
      </w:r>
    </w:p>
    <w:p>
      <w:pPr>
        <w:pStyle w:val="Heading2"/>
        <w:keepNext/>
      </w:pPr>
      <w:r>
        <w:rPr>
          <w:rFonts w:ascii="Lato" w:hAnsi="Lato"/>
          <w:b/>
          <w:color w:val="000000"/>
        </w:rPr>
        <w:t>3.5 Ranking and metrics</w:t>
      </w:r>
    </w:p>
    <w:p>
      <w:pPr>
        <w:spacing w:after="100"/>
      </w:pPr>
      <w:r>
        <w:rPr>
          <w:rFonts w:ascii="Lato" w:hAnsi="Lato"/>
        </w:rPr>
        <w:t>Each transaction has a list of candidates, so evaluation should consider the position of the correct candidate. Mean Reciprocal Rank assigns 1 to first place, 1/2 to second, 1/3 to third, and computes the mean [C6]. Unique Top-1 is added as an operational rule: a tie at the top is ambiguous and does not count as a correct automatic decision.</w:t>
      </w:r>
    </w:p>
    <w:p>
      <w:pPr>
        <w:pStyle w:val="Heading2"/>
        <w:keepNext/>
      </w:pPr>
      <w:r>
        <w:rPr>
          <w:rFonts w:ascii="Lato" w:hAnsi="Lato"/>
          <w:b/>
          <w:color w:val="000000"/>
        </w:rPr>
        <w:t>3.6 Missing values</w:t>
      </w:r>
    </w:p>
    <w:p>
      <w:pPr>
        <w:spacing w:after="100"/>
      </w:pPr>
      <w:r>
        <w:rPr>
          <w:rFonts w:ascii="Lato" w:hAnsi="Lato"/>
        </w:rPr>
        <w:t>An absent field does not establish disagreement. Public data-linkage methodologies avoid converting null directly into a false match precisely to prevent false negatives [C7]. Therefore, when a field is missing on either side, it is excluded from the mean and the remaining fields are renormalized.</w:t>
      </w:r>
    </w:p>
    <w:p>
      <w:pPr>
        <w:pStyle w:val="Heading2"/>
        <w:keepNext/>
      </w:pPr>
      <w:r>
        <w:rPr>
          <w:rFonts w:ascii="Lato" w:hAnsi="Lato"/>
          <w:b/>
          <w:color w:val="000000"/>
        </w:rPr>
        <w:t>3.7 Provenance map</w:t>
      </w:r>
    </w:p>
    <w:tbl>
      <w:tblPr>
        <w:tblW w:type="auto" w:w="0"/>
        <w:jc w:val="center"/>
        <w:tblLayout w:type="fixed"/>
        <w:tblLook w:firstColumn="1" w:firstRow="1" w:lastColumn="0" w:lastRow="0" w:noHBand="0" w:noVBand="1" w:val="04A0"/>
      </w:tblPr>
      <w:tblGrid>
        <w:gridCol w:w="3305"/>
        <w:gridCol w:w="3305"/>
        <w:gridCol w:w="3305"/>
      </w:tblGrid>
      <w:tr>
        <w:trPr>
          <w:tblHeader w:val="true"/>
        </w:trPr>
        <w:tc>
          <w:tcPr>
            <w:tcW w:type="dxa" w:w="2376"/>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6"/>
              </w:rPr>
              <w:t>Idea</w:t>
            </w:r>
          </w:p>
        </w:tc>
        <w:tc>
          <w:tcPr>
            <w:tcW w:type="dxa" w:w="3240"/>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6"/>
              </w:rPr>
              <w:t>Origin</w:t>
            </w:r>
          </w:p>
        </w:tc>
        <w:tc>
          <w:tcPr>
            <w:tcW w:type="dxa" w:w="4104"/>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6"/>
              </w:rPr>
              <w:t>What is used</w:t>
            </w:r>
          </w:p>
        </w:tc>
      </w:tr>
      <w:tr>
        <w:trPr>
          <w:cantSplit/>
        </w:trPr>
        <w:tc>
          <w:tcPr>
            <w:tcW w:type="dxa" w:w="237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Fields and perturbations</w:t>
            </w:r>
          </w:p>
        </w:tc>
        <w:tc>
          <w:tcPr>
            <w:tcW w:type="dxa" w:w="324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Document A - study of 15 engines</w:t>
            </w:r>
          </w:p>
        </w:tc>
        <w:tc>
          <w:tcPr>
            <w:tcW w:type="dxa" w:w="41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Selection of signals and domain problems.</w:t>
            </w:r>
          </w:p>
        </w:tc>
      </w:tr>
      <w:tr>
        <w:trPr>
          <w:cantSplit/>
        </w:trPr>
        <w:tc>
          <w:tcPr>
            <w:tcW w:type="dxa" w:w="237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Multi-field comparison</w:t>
            </w:r>
          </w:p>
        </w:tc>
        <w:tc>
          <w:tcPr>
            <w:tcW w:type="dxa" w:w="324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Fellegi-Sunter [C1]</w:t>
            </w:r>
          </w:p>
        </w:tc>
        <w:tc>
          <w:tcPr>
            <w:tcW w:type="dxa" w:w="41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Vector of comparisons by attribute.</w:t>
            </w:r>
          </w:p>
        </w:tc>
      </w:tr>
      <w:tr>
        <w:trPr>
          <w:cantSplit/>
        </w:trPr>
        <w:tc>
          <w:tcPr>
            <w:tcW w:type="dxa" w:w="237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Jaro-Winkler</w:t>
            </w:r>
          </w:p>
        </w:tc>
        <w:tc>
          <w:tcPr>
            <w:tcW w:type="dxa" w:w="324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Jaro/Winkler [C2, C3]</w:t>
            </w:r>
          </w:p>
        </w:tc>
        <w:tc>
          <w:tcPr>
            <w:tcW w:type="dxa" w:w="41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Similarity of names and short identifiers.</w:t>
            </w:r>
          </w:p>
        </w:tc>
      </w:tr>
      <w:tr>
        <w:trPr>
          <w:cantSplit/>
        </w:trPr>
        <w:tc>
          <w:tcPr>
            <w:tcW w:type="dxa" w:w="237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Character q-grams</w:t>
            </w:r>
          </w:p>
        </w:tc>
        <w:tc>
          <w:tcPr>
            <w:tcW w:type="dxa" w:w="324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Ukkonen [C4]</w:t>
            </w:r>
          </w:p>
        </w:tc>
        <w:tc>
          <w:tcPr>
            <w:tcW w:type="dxa" w:w="41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Approximate string matching through fragments.</w:t>
            </w:r>
          </w:p>
        </w:tc>
      </w:tr>
      <w:tr>
        <w:trPr>
          <w:cantSplit/>
        </w:trPr>
        <w:tc>
          <w:tcPr>
            <w:tcW w:type="dxa" w:w="237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Metric comparison</w:t>
            </w:r>
          </w:p>
        </w:tc>
        <w:tc>
          <w:tcPr>
            <w:tcW w:type="dxa" w:w="324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Cohen et al. [C5]</w:t>
            </w:r>
          </w:p>
        </w:tc>
        <w:tc>
          <w:tcPr>
            <w:tcW w:type="dxa" w:w="41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Supports comparing metrics and combinations.</w:t>
            </w:r>
          </w:p>
        </w:tc>
      </w:tr>
      <w:tr>
        <w:trPr>
          <w:cantSplit/>
        </w:trPr>
        <w:tc>
          <w:tcPr>
            <w:tcW w:type="dxa" w:w="237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MRR</w:t>
            </w:r>
          </w:p>
        </w:tc>
        <w:tc>
          <w:tcPr>
            <w:tcW w:type="dxa" w:w="324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TREC/NIST [C6]</w:t>
            </w:r>
          </w:p>
        </w:tc>
        <w:tc>
          <w:tcPr>
            <w:tcW w:type="dxa" w:w="41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Evaluation of the position of the first correct result.</w:t>
            </w:r>
          </w:p>
        </w:tc>
      </w:tr>
      <w:tr>
        <w:trPr>
          <w:cantSplit/>
        </w:trPr>
        <w:tc>
          <w:tcPr>
            <w:tcW w:type="dxa" w:w="237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Missing fields</w:t>
            </w:r>
          </w:p>
        </w:tc>
        <w:tc>
          <w:tcPr>
            <w:tcW w:type="dxa" w:w="324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ONS data linkage [C7]</w:t>
            </w:r>
          </w:p>
        </w:tc>
        <w:tc>
          <w:tcPr>
            <w:tcW w:type="dxa" w:w="41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Missing does not automatically mean disagreement.</w:t>
            </w:r>
          </w:p>
        </w:tc>
      </w:tr>
      <w:tr>
        <w:trPr>
          <w:cantSplit/>
        </w:trPr>
        <w:tc>
          <w:tcPr>
            <w:tcW w:type="dxa" w:w="237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Bank-reconciliation domain</w:t>
            </w:r>
          </w:p>
        </w:tc>
        <w:tc>
          <w:tcPr>
            <w:tcW w:type="dxa" w:w="324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Munoz et al. [C8]</w:t>
            </w:r>
          </w:p>
        </w:tc>
        <w:tc>
          <w:tcPr>
            <w:tcW w:type="dxa" w:w="41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Academic evidence of bank reconciliation as linkage/prediction.</w:t>
            </w:r>
          </w:p>
        </w:tc>
      </w:tr>
      <w:tr>
        <w:trPr>
          <w:cantSplit/>
        </w:trPr>
        <w:tc>
          <w:tcPr>
            <w:tcW w:type="dxa" w:w="237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Generator, hard negatives, thresholds and seeds</w:t>
            </w:r>
          </w:p>
        </w:tc>
        <w:tc>
          <w:tcPr>
            <w:tcW w:type="dxa" w:w="324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Project decision</w:t>
            </w:r>
          </w:p>
        </w:tc>
        <w:tc>
          <w:tcPr>
            <w:tcW w:type="dxa" w:w="41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Specific experimental design frozen before inspecting results.</w:t>
            </w:r>
          </w:p>
        </w:tc>
      </w:tr>
    </w:tbl>
    <w:p>
      <w:pPr>
        <w:spacing w:after="0"/>
      </w:pPr>
    </w:p>
    <w:p>
      <w:pPr>
        <w:pStyle w:val="Heading1"/>
        <w:keepNext/>
      </w:pPr>
      <w:r>
        <w:rPr>
          <w:rFonts w:ascii="Lato" w:hAnsi="Lato"/>
          <w:b/>
          <w:color w:val="000000"/>
        </w:rPr>
        <w:t>4 Experimental architecture</w:t>
      </w:r>
    </w:p>
    <w:p>
      <w:pPr>
        <w:spacing w:after="100"/>
      </w:pPr>
      <w:r>
        <w:rPr>
          <w:rFonts w:ascii="Lato" w:hAnsi="Lato"/>
        </w:rPr>
        <w:t>The experiment must separate three responsibilities: data generation, matching and evaluation. This separation prevents the matcher from knowing the ground truth or the type of perturbation.</w:t>
      </w:r>
    </w:p>
    <w:tbl>
      <w:tblPr>
        <w:tblW w:type="auto" w:w="0"/>
        <w:jc w:val="center"/>
        <w:tblLook w:firstColumn="1" w:firstRow="1" w:lastColumn="0" w:lastRow="0" w:noHBand="0" w:noVBand="1" w:val="04A0"/>
      </w:tblPr>
      <w:tblGrid>
        <w:gridCol w:w="9916"/>
      </w:tblGrid>
      <w:tr>
        <w:tc>
          <w:tcPr>
            <w:tcW w:type="dxa" w:w="9916"/>
            <w:shd w:fill="F3F5F7"/>
            <w:tcMar>
              <w:top w:w="90" w:type="dxa"/>
              <w:start w:w="120" w:type="dxa"/>
              <w:bottom w:w="90" w:type="dxa"/>
              <w:end w:w="120" w:type="dxa"/>
            </w:tcMar>
            <w:tcBorders>
              <w:top w:val="single" w:sz="5" w:color="D6DDE3"/>
              <w:bottom w:val="single" w:sz="5" w:color="D6DDE3"/>
              <w:left w:val="single" w:sz="5" w:color="D6DDE3"/>
              <w:right w:val="single" w:sz="5" w:color="D6DDE3"/>
            </w:tcBorders>
          </w:tcPr>
          <w:p>
            <w:pPr>
              <w:spacing w:after="0"/>
            </w:pPr>
            <w:r>
              <w:rPr>
                <w:rFonts w:ascii="Liberation Mono" w:hAnsi="Liberation Mono"/>
                <w:color w:val="17324D"/>
                <w:sz w:val="17"/>
              </w:rPr>
              <w:t>Canonical accounting record</w:t>
            </w:r>
            <w:r>
              <w:br/>
            </w:r>
            <w:r>
              <w:rPr>
                <w:rFonts w:ascii="Liberation Mono" w:hAnsi="Liberation Mono"/>
                <w:color w:val="17324D"/>
                <w:sz w:val="17"/>
              </w:rPr>
              <w:t xml:space="preserve">          |</w:t>
            </w:r>
            <w:r>
              <w:br/>
            </w:r>
            <w:r>
              <w:rPr>
                <w:rFonts w:ascii="Liberation Mono" w:hAnsi="Liberation Mono"/>
                <w:color w:val="17324D"/>
                <w:sz w:val="17"/>
              </w:rPr>
              <w:t xml:space="preserve">          v</w:t>
            </w:r>
            <w:r>
              <w:br/>
            </w:r>
            <w:r>
              <w:rPr>
                <w:rFonts w:ascii="Liberation Mono" w:hAnsi="Liberation Mono"/>
                <w:color w:val="17324D"/>
                <w:sz w:val="17"/>
              </w:rPr>
              <w:t>Derived bank transaction</w:t>
            </w:r>
            <w:r>
              <w:br/>
            </w:r>
            <w:r>
              <w:rPr>
                <w:rFonts w:ascii="Liberation Mono" w:hAnsi="Liberation Mono"/>
                <w:color w:val="17324D"/>
                <w:sz w:val="17"/>
              </w:rPr>
              <w:t xml:space="preserve">          |</w:t>
            </w:r>
            <w:r>
              <w:br/>
            </w:r>
            <w:r>
              <w:rPr>
                <w:rFonts w:ascii="Liberation Mono" w:hAnsi="Liberation Mono"/>
                <w:color w:val="17324D"/>
                <w:sz w:val="17"/>
              </w:rPr>
              <w:t xml:space="preserve">          v</w:t>
            </w:r>
            <w:r>
              <w:br/>
            </w:r>
            <w:r>
              <w:rPr>
                <w:rFonts w:ascii="Liberation Mono" w:hAnsi="Liberation Mono"/>
                <w:color w:val="17324D"/>
                <w:sz w:val="17"/>
              </w:rPr>
              <w:t>Controlled perturbation + 9 hard negatives</w:t>
            </w:r>
            <w:r>
              <w:br/>
            </w:r>
            <w:r>
              <w:rPr>
                <w:rFonts w:ascii="Liberation Mono" w:hAnsi="Liberation Mono"/>
                <w:color w:val="17324D"/>
                <w:sz w:val="17"/>
              </w:rPr>
              <w:t xml:space="preserve">          |</w:t>
            </w:r>
            <w:r>
              <w:br/>
            </w:r>
            <w:r>
              <w:rPr>
                <w:rFonts w:ascii="Liberation Mono" w:hAnsi="Liberation Mono"/>
                <w:color w:val="17324D"/>
                <w:sz w:val="17"/>
              </w:rPr>
              <w:t xml:space="preserve">          v</w:t>
            </w:r>
            <w:r>
              <w:br/>
            </w:r>
            <w:r>
              <w:rPr>
                <w:rFonts w:ascii="Liberation Mono" w:hAnsi="Liberation Mono"/>
                <w:color w:val="17324D"/>
                <w:sz w:val="17"/>
              </w:rPr>
              <w:t>Normalization</w:t>
            </w:r>
            <w:r>
              <w:br/>
            </w:r>
            <w:r>
              <w:rPr>
                <w:rFonts w:ascii="Liberation Mono" w:hAnsi="Liberation Mono"/>
                <w:color w:val="17324D"/>
                <w:sz w:val="17"/>
              </w:rPr>
              <w:t xml:space="preserve">          |</w:t>
            </w:r>
            <w:r>
              <w:br/>
            </w:r>
            <w:r>
              <w:rPr>
                <w:rFonts w:ascii="Liberation Mono" w:hAnsi="Liberation Mono"/>
                <w:color w:val="17324D"/>
                <w:sz w:val="17"/>
              </w:rPr>
              <w:t xml:space="preserve">          v</w:t>
            </w:r>
            <w:r>
              <w:br/>
            </w:r>
            <w:r>
              <w:rPr>
                <w:rFonts w:ascii="Liberation Mono" w:hAnsi="Liberation Mono"/>
                <w:color w:val="17324D"/>
                <w:sz w:val="17"/>
              </w:rPr>
              <w:t>M0 / M1 / M2 / M3 / M4 scoring</w:t>
            </w:r>
            <w:r>
              <w:br/>
            </w:r>
            <w:r>
              <w:rPr>
                <w:rFonts w:ascii="Liberation Mono" w:hAnsi="Liberation Mono"/>
                <w:color w:val="17324D"/>
                <w:sz w:val="17"/>
              </w:rPr>
              <w:t xml:space="preserve">          |</w:t>
            </w:r>
            <w:r>
              <w:br/>
            </w:r>
            <w:r>
              <w:rPr>
                <w:rFonts w:ascii="Liberation Mono" w:hAnsi="Liberation Mono"/>
                <w:color w:val="17324D"/>
                <w:sz w:val="17"/>
              </w:rPr>
              <w:t xml:space="preserve">          v</w:t>
            </w:r>
            <w:r>
              <w:br/>
            </w:r>
            <w:r>
              <w:rPr>
                <w:rFonts w:ascii="Liberation Mono" w:hAnsi="Liberation Mono"/>
                <w:color w:val="17324D"/>
                <w:sz w:val="17"/>
              </w:rPr>
              <w:t>Candidate ranking</w:t>
            </w:r>
            <w:r>
              <w:br/>
            </w:r>
            <w:r>
              <w:rPr>
                <w:rFonts w:ascii="Liberation Mono" w:hAnsi="Liberation Mono"/>
                <w:color w:val="17324D"/>
                <w:sz w:val="17"/>
              </w:rPr>
              <w:t xml:space="preserve">          |</w:t>
            </w:r>
            <w:r>
              <w:br/>
            </w:r>
            <w:r>
              <w:rPr>
                <w:rFonts w:ascii="Liberation Mono" w:hAnsi="Liberation Mono"/>
                <w:color w:val="17324D"/>
                <w:sz w:val="17"/>
              </w:rPr>
              <w:t xml:space="preserve">          v</w:t>
            </w:r>
            <w:r>
              <w:br/>
            </w:r>
            <w:r>
              <w:rPr>
                <w:rFonts w:ascii="Liberation Mono" w:hAnsi="Liberation Mono"/>
                <w:color w:val="17324D"/>
                <w:sz w:val="17"/>
              </w:rPr>
              <w:t>Unique Top-1 / MRR / tie rate</w:t>
            </w:r>
          </w:p>
        </w:tc>
      </w:tr>
    </w:tbl>
    <w:p>
      <w:pPr>
        <w:spacing w:after="0"/>
      </w:pPr>
    </w:p>
    <w:p>
      <w:pPr>
        <w:pStyle w:val="Heading2"/>
        <w:keepNext/>
      </w:pPr>
      <w:r>
        <w:rPr>
          <w:rFonts w:ascii="Lato" w:hAnsi="Lato"/>
          <w:b/>
          <w:color w:val="000000"/>
        </w:rPr>
        <w:t>4.1 Rules against data leakage</w:t>
      </w:r>
    </w:p>
    <w:p>
      <w:pPr>
        <w:pStyle w:val="ListBullet"/>
        <w:spacing w:after="40"/>
        <w:ind w:left="340" w:hanging="142"/>
      </w:pPr>
      <w:r>
        <w:rPr>
          <w:rFonts w:ascii="Lato" w:hAnsi="Lato"/>
        </w:rPr>
        <w:t>The matcher does not receive true_candidate_id, scenario or perturbations.</w:t>
      </w:r>
    </w:p>
    <w:p>
      <w:pPr>
        <w:pStyle w:val="ListBullet"/>
        <w:spacing w:after="40"/>
        <w:ind w:left="340" w:hanging="142"/>
      </w:pPr>
      <w:r>
        <w:rPr>
          <w:rFonts w:ascii="Lato" w:hAnsi="Lato"/>
        </w:rPr>
        <w:t>IDs are used only for evaluation; they never contribute to the score.</w:t>
      </w:r>
    </w:p>
    <w:p>
      <w:pPr>
        <w:pStyle w:val="ListBullet"/>
        <w:spacing w:after="40"/>
        <w:ind w:left="340" w:hanging="142"/>
      </w:pPr>
      <w:r>
        <w:rPr>
          <w:rFonts w:ascii="Lato" w:hAnsi="Lato"/>
        </w:rPr>
        <w:t>Candidate order is shuffled for each case.</w:t>
      </w:r>
    </w:p>
    <w:p>
      <w:pPr>
        <w:pStyle w:val="ListBullet"/>
        <w:spacing w:after="40"/>
        <w:ind w:left="340" w:hanging="142"/>
      </w:pPr>
      <w:r>
        <w:rPr>
          <w:rFonts w:ascii="Lato" w:hAnsi="Lato"/>
        </w:rPr>
        <w:t>All methods receive exactly the same cases and candidates.</w:t>
      </w:r>
    </w:p>
    <w:p>
      <w:pPr>
        <w:pStyle w:val="ListBullet"/>
        <w:spacing w:after="40"/>
        <w:ind w:left="340" w:hanging="142"/>
      </w:pPr>
      <w:r>
        <w:rPr>
          <w:rFonts w:ascii="Lato" w:hAnsi="Lato"/>
        </w:rPr>
        <w:t>The perturbation is applied only to the bank side; the correct accounting record remains canonical.</w:t>
      </w:r>
    </w:p>
    <w:p>
      <w:pPr>
        <w:pStyle w:val="ListBullet"/>
        <w:spacing w:after="40"/>
        <w:ind w:left="340" w:hanging="142"/>
      </w:pPr>
      <w:r>
        <w:rPr>
          <w:rFonts w:ascii="Lato" w:hAnsi="Lato"/>
        </w:rPr>
        <w:t>The final configuration is frozen before inspecting the evaluation-seed results.</w:t>
      </w:r>
    </w:p>
    <w:p>
      <w:pPr>
        <w:pStyle w:val="Heading1"/>
        <w:keepNext/>
      </w:pPr>
      <w:r>
        <w:rPr>
          <w:rFonts w:ascii="Lato" w:hAnsi="Lato"/>
          <w:b/>
          <w:color w:val="000000"/>
        </w:rPr>
        <w:t>5 Controlled synthetic benchmark</w:t>
      </w:r>
    </w:p>
    <w:p>
      <w:pPr>
        <w:pStyle w:val="Heading2"/>
        <w:keepNext/>
      </w:pPr>
      <w:r>
        <w:rPr>
          <w:rFonts w:ascii="Lato" w:hAnsi="Lato"/>
          <w:b/>
          <w:color w:val="000000"/>
        </w:rPr>
        <w:t>5.1 Why use synthetic data</w:t>
      </w:r>
    </w:p>
    <w:tbl>
      <w:tblPr>
        <w:tblW w:type="auto" w:w="0"/>
        <w:jc w:val="center"/>
        <w:tblLayout w:type="fixed"/>
        <w:tblLook w:firstColumn="1" w:firstRow="1" w:lastColumn="0" w:lastRow="0" w:noHBand="0" w:noVBand="1" w:val="04A0"/>
      </w:tblPr>
      <w:tblGrid>
        <w:gridCol w:w="4958"/>
        <w:gridCol w:w="4958"/>
      </w:tblGrid>
      <w:tr>
        <w:trPr>
          <w:tblHeader w:val="true"/>
        </w:trPr>
        <w:tc>
          <w:tcPr>
            <w:tcW w:type="dxa" w:w="2232"/>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Advantage</w:t>
            </w:r>
          </w:p>
        </w:tc>
        <w:tc>
          <w:tcPr>
            <w:tcW w:type="dxa" w:w="7488"/>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Explanation</w:t>
            </w:r>
          </w:p>
        </w:tc>
      </w:tr>
      <w:tr>
        <w:trPr>
          <w:cantSplit/>
        </w:trPr>
        <w:tc>
          <w:tcPr>
            <w:tcW w:type="dxa" w:w="223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Known ground truth</w:t>
            </w:r>
          </w:p>
        </w:tc>
        <w:tc>
          <w:tcPr>
            <w:tcW w:type="dxa" w:w="748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The correct match is defined at generation time.</w:t>
            </w:r>
          </w:p>
        </w:tc>
      </w:tr>
      <w:tr>
        <w:trPr>
          <w:cantSplit/>
        </w:trPr>
        <w:tc>
          <w:tcPr>
            <w:tcW w:type="dxa" w:w="223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Noise control</w:t>
            </w:r>
          </w:p>
        </w:tc>
        <w:tc>
          <w:tcPr>
            <w:tcW w:type="dxa" w:w="7488"/>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Each scenario changes only the intended factor, except for the combined scenario.</w:t>
            </w:r>
          </w:p>
        </w:tc>
      </w:tr>
      <w:tr>
        <w:trPr>
          <w:cantSplit/>
        </w:trPr>
        <w:tc>
          <w:tcPr>
            <w:tcW w:type="dxa" w:w="223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Reproducibility</w:t>
            </w:r>
          </w:p>
        </w:tc>
        <w:tc>
          <w:tcPr>
            <w:tcW w:type="dxa" w:w="748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The same seed generates exactly the same cases.</w:t>
            </w:r>
          </w:p>
        </w:tc>
      </w:tr>
      <w:tr>
        <w:trPr>
          <w:cantSplit/>
        </w:trPr>
        <w:tc>
          <w:tcPr>
            <w:tcW w:type="dxa" w:w="223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Privacy</w:t>
            </w:r>
          </w:p>
        </w:tc>
        <w:tc>
          <w:tcPr>
            <w:tcW w:type="dxa" w:w="7488"/>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There are no real names, IBANs or transactions.</w:t>
            </w:r>
          </w:p>
        </w:tc>
      </w:tr>
      <w:tr>
        <w:trPr>
          <w:cantSplit/>
        </w:trPr>
        <w:tc>
          <w:tcPr>
            <w:tcW w:type="dxa" w:w="223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Diagnosis</w:t>
            </w:r>
          </w:p>
        </w:tc>
        <w:tc>
          <w:tcPr>
            <w:tcW w:type="dxa" w:w="748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It is possible to identify the perturbations under which each method fails.</w:t>
            </w:r>
          </w:p>
        </w:tc>
      </w:tr>
    </w:tbl>
    <w:p>
      <w:pPr>
        <w:spacing w:after="0"/>
      </w:pPr>
    </w:p>
    <w:tbl>
      <w:tblPr>
        <w:tblW w:type="auto" w:w="0"/>
        <w:jc w:val="center"/>
        <w:tblLayout w:type="autofit"/>
        <w:tblLook w:firstColumn="1" w:firstRow="1" w:lastColumn="0" w:lastRow="0" w:noHBand="0" w:noVBand="1" w:val="04A0"/>
      </w:tblPr>
      <w:tblGrid>
        <w:gridCol w:w="9916"/>
      </w:tblGrid>
      <w:tr>
        <w:trPr>
          <w:cantSplit/>
        </w:trPr>
        <w:tc>
          <w:tcPr>
            <w:tcW w:type="dxa" w:w="9916"/>
            <w:shd w:fill="FFF4D6"/>
            <w:tcMar>
              <w:top w:w="120" w:type="dxa"/>
              <w:start w:w="150" w:type="dxa"/>
              <w:bottom w:w="120" w:type="dxa"/>
              <w:end w:w="150" w:type="dxa"/>
            </w:tcMar>
            <w:tcBorders>
              <w:top w:val="single" w:sz="8" w:color="D49B18"/>
              <w:bottom w:val="single" w:sz="8" w:color="D49B18"/>
              <w:left w:val="single" w:sz="18" w:color="D49B18"/>
              <w:right w:val="single" w:sz="8" w:color="D49B18"/>
            </w:tcBorders>
          </w:tcPr>
          <w:p>
            <w:pPr>
              <w:spacing w:after="40"/>
            </w:pPr>
            <w:r>
              <w:rPr>
                <w:rFonts w:ascii="Lato" w:hAnsi="Lato"/>
                <w:b/>
                <w:color w:val="17324D"/>
              </w:rPr>
              <w:t>Acknowledged limitation</w:t>
            </w:r>
          </w:p>
          <w:p>
            <w:pPr>
              <w:spacing w:after="0"/>
            </w:pPr>
            <w:r>
              <w:rPr>
                <w:rFonts w:ascii="Lato" w:hAnsi="Lato"/>
                <w:sz w:val="19"/>
              </w:rPr>
              <w:t>Synthetic data do not reproduce the full variability of real statements. The benchmark measures robustness to defined perturbations, not external validity in production. This limitation must appear in the paper.</w:t>
            </w:r>
          </w:p>
        </w:tc>
      </w:tr>
    </w:tbl>
    <w:p>
      <w:pPr>
        <w:spacing w:after="0"/>
      </w:pPr>
    </w:p>
    <w:p>
      <w:pPr>
        <w:pStyle w:val="Heading2"/>
        <w:keepNext/>
      </w:pPr>
      <w:r>
        <w:rPr>
          <w:rFonts w:ascii="Lato" w:hAnsi="Lato"/>
          <w:b/>
          <w:color w:val="000000"/>
        </w:rPr>
        <w:t>5.2 Size and seeds</w:t>
      </w:r>
    </w:p>
    <w:tbl>
      <w:tblPr>
        <w:tblW w:type="auto" w:w="0"/>
        <w:jc w:val="center"/>
        <w:tblLayout w:type="fixed"/>
        <w:tblLook w:firstColumn="1" w:firstRow="1" w:lastColumn="0" w:lastRow="0" w:noHBand="0" w:noVBand="1" w:val="04A0"/>
      </w:tblPr>
      <w:tblGrid>
        <w:gridCol w:w="3305"/>
        <w:gridCol w:w="3305"/>
        <w:gridCol w:w="3305"/>
      </w:tblGrid>
      <w:tr>
        <w:trPr>
          <w:tblHeader w:val="true"/>
        </w:trPr>
        <w:tc>
          <w:tcPr>
            <w:tcW w:type="dxa" w:w="2376"/>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Parameter</w:t>
            </w:r>
          </w:p>
        </w:tc>
        <w:tc>
          <w:tcPr>
            <w:tcW w:type="dxa" w:w="2304"/>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Recommended value</w:t>
            </w:r>
          </w:p>
        </w:tc>
        <w:tc>
          <w:tcPr>
            <w:tcW w:type="dxa" w:w="5040"/>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Rationale</w:t>
            </w:r>
          </w:p>
        </w:tc>
      </w:tr>
      <w:tr>
        <w:trPr>
          <w:cantSplit/>
        </w:trPr>
        <w:tc>
          <w:tcPr>
            <w:tcW w:type="dxa" w:w="237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Scenarios</w:t>
            </w:r>
          </w:p>
        </w:tc>
        <w:tc>
          <w:tcPr>
            <w:tcW w:type="dxa" w:w="23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8</w:t>
            </w:r>
          </w:p>
        </w:tc>
        <w:tc>
          <w:tcPr>
            <w:tcW w:type="dxa" w:w="504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Cover clean, isolated noise, missing and combined cases.</w:t>
            </w:r>
          </w:p>
        </w:tc>
      </w:tr>
      <w:tr>
        <w:trPr>
          <w:cantSplit/>
        </w:trPr>
        <w:tc>
          <w:tcPr>
            <w:tcW w:type="dxa" w:w="237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Cases per scenario and seed</w:t>
            </w:r>
          </w:p>
        </w:tc>
        <w:tc>
          <w:tcPr>
            <w:tcW w:type="dxa" w:w="23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100</w:t>
            </w:r>
          </w:p>
        </w:tc>
        <w:tc>
          <w:tcPr>
            <w:tcW w:type="dxa" w:w="504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Straightforward interpretation and balanced distribution.</w:t>
            </w:r>
          </w:p>
        </w:tc>
      </w:tr>
      <w:tr>
        <w:trPr>
          <w:cantSplit/>
        </w:trPr>
        <w:tc>
          <w:tcPr>
            <w:tcW w:type="dxa" w:w="237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Cases per seed</w:t>
            </w:r>
          </w:p>
        </w:tc>
        <w:tc>
          <w:tcPr>
            <w:tcW w:type="dxa" w:w="23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800</w:t>
            </w:r>
          </w:p>
        </w:tc>
        <w:tc>
          <w:tcPr>
            <w:tcW w:type="dxa" w:w="504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Sufficient volume for quick analysis.</w:t>
            </w:r>
          </w:p>
        </w:tc>
      </w:tr>
      <w:tr>
        <w:trPr>
          <w:cantSplit/>
        </w:trPr>
        <w:tc>
          <w:tcPr>
            <w:tcW w:type="dxa" w:w="237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Candidates per case</w:t>
            </w:r>
          </w:p>
        </w:tc>
        <w:tc>
          <w:tcPr>
            <w:tcW w:type="dxa" w:w="23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10</w:t>
            </w:r>
          </w:p>
        </w:tc>
        <w:tc>
          <w:tcPr>
            <w:tcW w:type="dxa" w:w="504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One true match and nine difficult candidates.</w:t>
            </w:r>
          </w:p>
        </w:tc>
      </w:tr>
      <w:tr>
        <w:trPr>
          <w:cantSplit/>
        </w:trPr>
        <w:tc>
          <w:tcPr>
            <w:tcW w:type="dxa" w:w="237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Development seed</w:t>
            </w:r>
          </w:p>
        </w:tc>
        <w:tc>
          <w:tcPr>
            <w:tcW w:type="dxa" w:w="23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7</w:t>
            </w:r>
          </w:p>
        </w:tc>
        <w:tc>
          <w:tcPr>
            <w:tcW w:type="dxa" w:w="504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Smoke tests and manual inspection without repeatedly examining the final set.</w:t>
            </w:r>
          </w:p>
        </w:tc>
      </w:tr>
      <w:tr>
        <w:trPr>
          <w:cantSplit/>
        </w:trPr>
        <w:tc>
          <w:tcPr>
            <w:tcW w:type="dxa" w:w="237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Evaluation seeds</w:t>
            </w:r>
          </w:p>
        </w:tc>
        <w:tc>
          <w:tcPr>
            <w:tcW w:type="dxa" w:w="23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42, 43, 44, 45, 46</w:t>
            </w:r>
          </w:p>
        </w:tc>
        <w:tc>
          <w:tcPr>
            <w:tcW w:type="dxa" w:w="504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Reduce dependence on a single random generation.</w:t>
            </w:r>
          </w:p>
        </w:tc>
      </w:tr>
      <w:tr>
        <w:trPr>
          <w:cantSplit/>
        </w:trPr>
        <w:tc>
          <w:tcPr>
            <w:tcW w:type="dxa" w:w="237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Total final cases</w:t>
            </w:r>
          </w:p>
        </w:tc>
        <w:tc>
          <w:tcPr>
            <w:tcW w:type="dxa" w:w="23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4 000</w:t>
            </w:r>
          </w:p>
        </w:tc>
        <w:tc>
          <w:tcPr>
            <w:tcW w:type="dxa" w:w="504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800 cases x 5 seeds; negligible computational cost.</w:t>
            </w:r>
          </w:p>
        </w:tc>
      </w:tr>
    </w:tbl>
    <w:p>
      <w:pPr>
        <w:spacing w:after="0"/>
      </w:pPr>
    </w:p>
    <w:p>
      <w:pPr>
        <w:pStyle w:val="Heading2"/>
        <w:keepNext/>
      </w:pPr>
      <w:r>
        <w:rPr>
          <w:rFonts w:ascii="Lato" w:hAnsi="Lato"/>
          <w:b/>
          <w:color w:val="000000"/>
        </w:rPr>
        <w:t>5.3 Schema</w:t>
      </w:r>
    </w:p>
    <w:tbl>
      <w:tblPr>
        <w:tblW w:type="auto" w:w="0"/>
        <w:jc w:val="center"/>
        <w:tblLook w:firstColumn="1" w:firstRow="1" w:lastColumn="0" w:lastRow="0" w:noHBand="0" w:noVBand="1" w:val="04A0"/>
      </w:tblPr>
      <w:tblGrid>
        <w:gridCol w:w="9916"/>
      </w:tblGrid>
      <w:tr>
        <w:tc>
          <w:tcPr>
            <w:tcW w:type="dxa" w:w="9916"/>
            <w:shd w:fill="F3F5F7"/>
            <w:tcMar>
              <w:top w:w="90" w:type="dxa"/>
              <w:start w:w="120" w:type="dxa"/>
              <w:bottom w:w="90" w:type="dxa"/>
              <w:end w:w="120" w:type="dxa"/>
            </w:tcMar>
            <w:tcBorders>
              <w:top w:val="single" w:sz="5" w:color="D6DDE3"/>
              <w:bottom w:val="single" w:sz="5" w:color="D6DDE3"/>
              <w:left w:val="single" w:sz="5" w:color="D6DDE3"/>
              <w:right w:val="single" w:sz="5" w:color="D6DDE3"/>
            </w:tcBorders>
          </w:tcPr>
          <w:p>
            <w:pPr>
              <w:spacing w:after="0"/>
            </w:pPr>
            <w:r>
              <w:rPr>
                <w:rFonts w:ascii="Liberation Mono" w:hAnsi="Liberation Mono"/>
                <w:color w:val="17324D"/>
                <w:sz w:val="17"/>
              </w:rPr>
              <w:t>@dataclass(frozen=True)</w:t>
            </w:r>
            <w:r>
              <w:br/>
            </w:r>
            <w:r>
              <w:rPr>
                <w:rFonts w:ascii="Liberation Mono" w:hAnsi="Liberation Mono"/>
                <w:color w:val="17324D"/>
                <w:sz w:val="17"/>
              </w:rPr>
              <w:t>class BankTransaction:</w:t>
            </w:r>
            <w:r>
              <w:br/>
            </w:r>
            <w:r>
              <w:rPr>
                <w:rFonts w:ascii="Liberation Mono" w:hAnsi="Liberation Mono"/>
                <w:color w:val="17324D"/>
                <w:sz w:val="17"/>
              </w:rPr>
              <w:t xml:space="preserve">    id: str</w:t>
            </w:r>
            <w:r>
              <w:br/>
            </w:r>
            <w:r>
              <w:rPr>
                <w:rFonts w:ascii="Liberation Mono" w:hAnsi="Liberation Mono"/>
                <w:color w:val="17324D"/>
                <w:sz w:val="17"/>
              </w:rPr>
              <w:t xml:space="preserve">    date: date</w:t>
            </w:r>
            <w:r>
              <w:br/>
            </w:r>
            <w:r>
              <w:rPr>
                <w:rFonts w:ascii="Liberation Mono" w:hAnsi="Liberation Mono"/>
                <w:color w:val="17324D"/>
                <w:sz w:val="17"/>
              </w:rPr>
              <w:t xml:space="preserve">    amount: Decimal</w:t>
            </w:r>
            <w:r>
              <w:br/>
            </w:r>
            <w:r>
              <w:rPr>
                <w:rFonts w:ascii="Liberation Mono" w:hAnsi="Liberation Mono"/>
                <w:color w:val="17324D"/>
                <w:sz w:val="17"/>
              </w:rPr>
              <w:t xml:space="preserve">    reference: str | None</w:t>
            </w:r>
            <w:r>
              <w:br/>
            </w:r>
            <w:r>
              <w:rPr>
                <w:rFonts w:ascii="Liberation Mono" w:hAnsi="Liberation Mono"/>
                <w:color w:val="17324D"/>
                <w:sz w:val="17"/>
              </w:rPr>
              <w:t xml:space="preserve">    counterparty: str | None</w:t>
            </w:r>
            <w:r>
              <w:br/>
            </w:r>
            <w:r>
              <w:rPr>
                <w:rFonts w:ascii="Liberation Mono" w:hAnsi="Liberation Mono"/>
                <w:color w:val="17324D"/>
                <w:sz w:val="17"/>
              </w:rPr>
              <w:t xml:space="preserve">    description: str | None</w:t>
            </w:r>
            <w:r>
              <w:br/>
            </w:r>
            <w:r>
              <w:rPr>
                <w:rFonts w:ascii="Liberation Mono" w:hAnsi="Liberation Mono"/>
                <w:color w:val="17324D"/>
                <w:sz w:val="17"/>
              </w:rPr>
            </w:r>
            <w:r>
              <w:br/>
            </w:r>
            <w:r>
              <w:rPr>
                <w:rFonts w:ascii="Liberation Mono" w:hAnsi="Liberation Mono"/>
                <w:color w:val="17324D"/>
                <w:sz w:val="17"/>
              </w:rPr>
              <w:t>@dataclass(frozen=True)</w:t>
            </w:r>
            <w:r>
              <w:br/>
            </w:r>
            <w:r>
              <w:rPr>
                <w:rFonts w:ascii="Liberation Mono" w:hAnsi="Liberation Mono"/>
                <w:color w:val="17324D"/>
                <w:sz w:val="17"/>
              </w:rPr>
              <w:t>class AccountingRecord:</w:t>
            </w:r>
            <w:r>
              <w:br/>
            </w:r>
            <w:r>
              <w:rPr>
                <w:rFonts w:ascii="Liberation Mono" w:hAnsi="Liberation Mono"/>
                <w:color w:val="17324D"/>
                <w:sz w:val="17"/>
              </w:rPr>
              <w:t xml:space="preserve">    id: str</w:t>
            </w:r>
            <w:r>
              <w:br/>
            </w:r>
            <w:r>
              <w:rPr>
                <w:rFonts w:ascii="Liberation Mono" w:hAnsi="Liberation Mono"/>
                <w:color w:val="17324D"/>
                <w:sz w:val="17"/>
              </w:rPr>
              <w:t xml:space="preserve">    date: date</w:t>
            </w:r>
            <w:r>
              <w:br/>
            </w:r>
            <w:r>
              <w:rPr>
                <w:rFonts w:ascii="Liberation Mono" w:hAnsi="Liberation Mono"/>
                <w:color w:val="17324D"/>
                <w:sz w:val="17"/>
              </w:rPr>
              <w:t xml:space="preserve">    amount: Decimal</w:t>
            </w:r>
            <w:r>
              <w:br/>
            </w:r>
            <w:r>
              <w:rPr>
                <w:rFonts w:ascii="Liberation Mono" w:hAnsi="Liberation Mono"/>
                <w:color w:val="17324D"/>
                <w:sz w:val="17"/>
              </w:rPr>
              <w:t xml:space="preserve">    reference: str | None</w:t>
            </w:r>
            <w:r>
              <w:br/>
            </w:r>
            <w:r>
              <w:rPr>
                <w:rFonts w:ascii="Liberation Mono" w:hAnsi="Liberation Mono"/>
                <w:color w:val="17324D"/>
                <w:sz w:val="17"/>
              </w:rPr>
              <w:t xml:space="preserve">    entity: str | None</w:t>
            </w:r>
            <w:r>
              <w:br/>
            </w:r>
            <w:r>
              <w:rPr>
                <w:rFonts w:ascii="Liberation Mono" w:hAnsi="Liberation Mono"/>
                <w:color w:val="17324D"/>
                <w:sz w:val="17"/>
              </w:rPr>
              <w:t xml:space="preserve">    description: str | None</w:t>
            </w:r>
            <w:r>
              <w:br/>
            </w:r>
            <w:r>
              <w:rPr>
                <w:rFonts w:ascii="Liberation Mono" w:hAnsi="Liberation Mono"/>
                <w:color w:val="17324D"/>
                <w:sz w:val="17"/>
              </w:rPr>
            </w:r>
            <w:r>
              <w:br/>
            </w:r>
            <w:r>
              <w:rPr>
                <w:rFonts w:ascii="Liberation Mono" w:hAnsi="Liberation Mono"/>
                <w:color w:val="17324D"/>
                <w:sz w:val="17"/>
              </w:rPr>
              <w:t>@dataclass(frozen=True)</w:t>
            </w:r>
            <w:r>
              <w:br/>
            </w:r>
            <w:r>
              <w:rPr>
                <w:rFonts w:ascii="Liberation Mono" w:hAnsi="Liberation Mono"/>
                <w:color w:val="17324D"/>
                <w:sz w:val="17"/>
              </w:rPr>
              <w:t>class BenchmarkCase:</w:t>
            </w:r>
            <w:r>
              <w:br/>
            </w:r>
            <w:r>
              <w:rPr>
                <w:rFonts w:ascii="Liberation Mono" w:hAnsi="Liberation Mono"/>
                <w:color w:val="17324D"/>
                <w:sz w:val="17"/>
              </w:rPr>
              <w:t xml:space="preserve">    case_id: str</w:t>
            </w:r>
            <w:r>
              <w:br/>
            </w:r>
            <w:r>
              <w:rPr>
                <w:rFonts w:ascii="Liberation Mono" w:hAnsi="Liberation Mono"/>
                <w:color w:val="17324D"/>
                <w:sz w:val="17"/>
              </w:rPr>
              <w:t xml:space="preserve">    seed: int</w:t>
            </w:r>
            <w:r>
              <w:br/>
            </w:r>
            <w:r>
              <w:rPr>
                <w:rFonts w:ascii="Liberation Mono" w:hAnsi="Liberation Mono"/>
                <w:color w:val="17324D"/>
                <w:sz w:val="17"/>
              </w:rPr>
              <w:t xml:space="preserve">    scenario: str</w:t>
            </w:r>
            <w:r>
              <w:br/>
            </w:r>
            <w:r>
              <w:rPr>
                <w:rFonts w:ascii="Liberation Mono" w:hAnsi="Liberation Mono"/>
                <w:color w:val="17324D"/>
                <w:sz w:val="17"/>
              </w:rPr>
              <w:t xml:space="preserve">    transaction: BankTransaction</w:t>
            </w:r>
            <w:r>
              <w:br/>
            </w:r>
            <w:r>
              <w:rPr>
                <w:rFonts w:ascii="Liberation Mono" w:hAnsi="Liberation Mono"/>
                <w:color w:val="17324D"/>
                <w:sz w:val="17"/>
              </w:rPr>
              <w:t xml:space="preserve">    candidates: tuple[AccountingRecord, ...]</w:t>
            </w:r>
            <w:r>
              <w:br/>
            </w:r>
            <w:r>
              <w:rPr>
                <w:rFonts w:ascii="Liberation Mono" w:hAnsi="Liberation Mono"/>
                <w:color w:val="17324D"/>
                <w:sz w:val="17"/>
              </w:rPr>
              <w:t xml:space="preserve">    true_candidate_id: str</w:t>
            </w:r>
            <w:r>
              <w:br/>
            </w:r>
            <w:r>
              <w:rPr>
                <w:rFonts w:ascii="Liberation Mono" w:hAnsi="Liberation Mono"/>
                <w:color w:val="17324D"/>
                <w:sz w:val="17"/>
              </w:rPr>
              <w:t xml:space="preserve">    perturbations: tuple[str, ...]</w:t>
            </w:r>
          </w:p>
        </w:tc>
      </w:tr>
    </w:tbl>
    <w:p>
      <w:pPr>
        <w:spacing w:after="0"/>
      </w:pPr>
    </w:p>
    <w:p>
      <w:pPr>
        <w:pStyle w:val="Heading2"/>
        <w:keepNext/>
      </w:pPr>
      <w:r>
        <w:rPr>
          <w:rFonts w:ascii="Lato" w:hAnsi="Lato"/>
          <w:b/>
          <w:color w:val="000000"/>
        </w:rPr>
        <w:t>5.4 Generating the true pair</w:t>
      </w:r>
    </w:p>
    <w:p>
      <w:pPr>
        <w:spacing w:after="60"/>
        <w:ind w:left="397" w:hanging="312"/>
      </w:pPr>
      <w:r>
        <w:rPr>
          <w:rFonts w:ascii="Lato" w:hAnsi="Lato"/>
          <w:b/>
          <w:color w:val="17324D"/>
        </w:rPr>
        <w:t>1.  Generate a canonical AccountingRecord with entity, reference, date, amount and description.</w:t>
      </w:r>
      <w:r>
        <w:rPr>
          <w:rFonts w:ascii="Lato" w:hAnsi="Lato"/>
        </w:rPr>
      </w:r>
    </w:p>
    <w:p>
      <w:pPr>
        <w:spacing w:after="60"/>
        <w:ind w:left="397" w:hanging="312"/>
      </w:pPr>
      <w:r>
        <w:rPr>
          <w:rFonts w:ascii="Lato" w:hAnsi="Lato"/>
          <w:b/>
          <w:color w:val="17324D"/>
        </w:rPr>
        <w:t>2.  Derive an initially equivalent BankTransaction.</w:t>
      </w:r>
      <w:r>
        <w:rPr>
          <w:rFonts w:ascii="Lato" w:hAnsi="Lato"/>
        </w:rPr>
      </w:r>
    </w:p>
    <w:p>
      <w:pPr>
        <w:spacing w:after="60"/>
        <w:ind w:left="397" w:hanging="312"/>
      </w:pPr>
      <w:r>
        <w:rPr>
          <w:rFonts w:ascii="Lato" w:hAnsi="Lato"/>
          <w:b/>
          <w:color w:val="17324D"/>
        </w:rPr>
        <w:t>3.  Apply the perturbation only to the BankTransaction.</w:t>
      </w:r>
      <w:r>
        <w:rPr>
          <w:rFonts w:ascii="Lato" w:hAnsi="Lato"/>
        </w:rPr>
      </w:r>
    </w:p>
    <w:p>
      <w:pPr>
        <w:spacing w:after="60"/>
        <w:ind w:left="397" w:hanging="312"/>
      </w:pPr>
      <w:r>
        <w:rPr>
          <w:rFonts w:ascii="Lato" w:hAnsi="Lato"/>
          <w:b/>
          <w:color w:val="17324D"/>
        </w:rPr>
        <w:t>4.  Keep true_candidate_id outside the matcher.</w:t>
      </w:r>
      <w:r>
        <w:rPr>
          <w:rFonts w:ascii="Lato" w:hAnsi="Lato"/>
        </w:rPr>
      </w:r>
    </w:p>
    <w:p>
      <w:pPr>
        <w:spacing w:after="60"/>
        <w:ind w:left="397" w:hanging="312"/>
      </w:pPr>
      <w:r>
        <w:rPr>
          <w:rFonts w:ascii="Lato" w:hAnsi="Lato"/>
          <w:b/>
          <w:color w:val="17324D"/>
        </w:rPr>
        <w:t>5.  Generate nine negatives and shuffle the final candidate order.</w:t>
      </w:r>
      <w:r>
        <w:rPr>
          <w:rFonts w:ascii="Lato" w:hAnsi="Lato"/>
        </w:rPr>
      </w:r>
    </w:p>
    <w:tbl>
      <w:tblPr>
        <w:tblW w:type="auto" w:w="0"/>
        <w:jc w:val="center"/>
        <w:tblLook w:firstColumn="1" w:firstRow="1" w:lastColumn="0" w:lastRow="0" w:noHBand="0" w:noVBand="1" w:val="04A0"/>
      </w:tblPr>
      <w:tblGrid>
        <w:gridCol w:w="9916"/>
      </w:tblGrid>
      <w:tr>
        <w:tc>
          <w:tcPr>
            <w:tcW w:type="dxa" w:w="9916"/>
            <w:shd w:fill="F3F5F7"/>
            <w:tcMar>
              <w:top w:w="90" w:type="dxa"/>
              <w:start w:w="120" w:type="dxa"/>
              <w:bottom w:w="90" w:type="dxa"/>
              <w:end w:w="120" w:type="dxa"/>
            </w:tcMar>
            <w:tcBorders>
              <w:top w:val="single" w:sz="5" w:color="D6DDE3"/>
              <w:bottom w:val="single" w:sz="5" w:color="D6DDE3"/>
              <w:left w:val="single" w:sz="5" w:color="D6DDE3"/>
              <w:right w:val="single" w:sz="5" w:color="D6DDE3"/>
            </w:tcBorders>
          </w:tcPr>
          <w:p>
            <w:pPr>
              <w:spacing w:after="0"/>
            </w:pPr>
            <w:r>
              <w:rPr>
                <w:rFonts w:ascii="Liberation Mono" w:hAnsi="Liberation Mono"/>
                <w:color w:val="17324D"/>
                <w:sz w:val="17"/>
              </w:rPr>
              <w:t>Accounting record:</w:t>
            </w:r>
            <w:r>
              <w:br/>
            </w:r>
            <w:r>
              <w:rPr>
                <w:rFonts w:ascii="Liberation Mono" w:hAnsi="Liberation Mono"/>
                <w:color w:val="17324D"/>
                <w:sz w:val="17"/>
              </w:rPr>
              <w:t xml:space="preserve">  date        = 2026-05-12</w:t>
            </w:r>
            <w:r>
              <w:br/>
            </w:r>
            <w:r>
              <w:rPr>
                <w:rFonts w:ascii="Liberation Mono" w:hAnsi="Liberation Mono"/>
                <w:color w:val="17324D"/>
                <w:sz w:val="17"/>
              </w:rPr>
              <w:t xml:space="preserve">  amount      = 1245.30</w:t>
            </w:r>
            <w:r>
              <w:br/>
            </w:r>
            <w:r>
              <w:rPr>
                <w:rFonts w:ascii="Liberation Mono" w:hAnsi="Liberation Mono"/>
                <w:color w:val="17324D"/>
                <w:sz w:val="17"/>
              </w:rPr>
              <w:t xml:space="preserve">  reference   = FT2026/00187</w:t>
            </w:r>
            <w:r>
              <w:br/>
            </w:r>
            <w:r>
              <w:rPr>
                <w:rFonts w:ascii="Liberation Mono" w:hAnsi="Liberation Mono"/>
                <w:color w:val="17324D"/>
                <w:sz w:val="17"/>
              </w:rPr>
              <w:t xml:space="preserve">  entity      = ACME PORTUGAL LDA</w:t>
            </w:r>
            <w:r>
              <w:br/>
            </w:r>
            <w:r>
              <w:rPr>
                <w:rFonts w:ascii="Liberation Mono" w:hAnsi="Liberation Mono"/>
                <w:color w:val="17324D"/>
                <w:sz w:val="17"/>
              </w:rPr>
              <w:t xml:space="preserve">  description = PAGAMENTO ACME PORTUGAL FT2026/00187</w:t>
            </w:r>
            <w:r>
              <w:br/>
            </w:r>
            <w:r>
              <w:rPr>
                <w:rFonts w:ascii="Liberation Mono" w:hAnsi="Liberation Mono"/>
                <w:color w:val="17324D"/>
                <w:sz w:val="17"/>
              </w:rPr>
            </w:r>
            <w:r>
              <w:br/>
            </w:r>
            <w:r>
              <w:rPr>
                <w:rFonts w:ascii="Liberation Mono" w:hAnsi="Liberation Mono"/>
                <w:color w:val="17324D"/>
                <w:sz w:val="17"/>
              </w:rPr>
              <w:t>Derived bank transaction:</w:t>
            </w:r>
            <w:r>
              <w:br/>
            </w:r>
            <w:r>
              <w:rPr>
                <w:rFonts w:ascii="Liberation Mono" w:hAnsi="Liberation Mono"/>
                <w:color w:val="17324D"/>
                <w:sz w:val="17"/>
              </w:rPr>
              <w:t xml:space="preserve">  date         = 2026-05-14       # date drift +2</w:t>
            </w:r>
            <w:r>
              <w:br/>
            </w:r>
            <w:r>
              <w:rPr>
                <w:rFonts w:ascii="Liberation Mono" w:hAnsi="Liberation Mono"/>
                <w:color w:val="17324D"/>
                <w:sz w:val="17"/>
              </w:rPr>
              <w:t xml:space="preserve">  amount       = 1245.30</w:t>
            </w:r>
            <w:r>
              <w:br/>
            </w:r>
            <w:r>
              <w:rPr>
                <w:rFonts w:ascii="Liberation Mono" w:hAnsi="Liberation Mono"/>
                <w:color w:val="17324D"/>
                <w:sz w:val="17"/>
              </w:rPr>
              <w:t xml:space="preserve">  reference    = FT 2026 00187   # formatting noise</w:t>
            </w:r>
            <w:r>
              <w:br/>
            </w:r>
            <w:r>
              <w:rPr>
                <w:rFonts w:ascii="Liberation Mono" w:hAnsi="Liberation Mono"/>
                <w:color w:val="17324D"/>
                <w:sz w:val="17"/>
              </w:rPr>
              <w:t xml:space="preserve">  counterparty = ACME PORT</w:t>
            </w:r>
            <w:r>
              <w:br/>
            </w:r>
            <w:r>
              <w:rPr>
                <w:rFonts w:ascii="Liberation Mono" w:hAnsi="Liberation Mono"/>
                <w:color w:val="17324D"/>
                <w:sz w:val="17"/>
              </w:rPr>
              <w:t xml:space="preserve">  description  = TRF ACME PORT FT202600187</w:t>
            </w:r>
          </w:p>
        </w:tc>
      </w:tr>
    </w:tbl>
    <w:p>
      <w:pPr>
        <w:spacing w:after="0"/>
      </w:pPr>
    </w:p>
    <w:p>
      <w:pPr>
        <w:pStyle w:val="Heading2"/>
        <w:keepNext/>
      </w:pPr>
      <w:r>
        <w:rPr>
          <w:rFonts w:ascii="Lato" w:hAnsi="Lato"/>
          <w:b/>
          <w:color w:val="000000"/>
        </w:rPr>
        <w:t>5.5 Synthetic data</w:t>
      </w:r>
    </w:p>
    <w:p>
      <w:pPr>
        <w:pStyle w:val="ListBullet"/>
        <w:spacing w:after="40"/>
        <w:ind w:left="340" w:hanging="142"/>
      </w:pPr>
      <w:r>
        <w:rPr>
          <w:rFonts w:ascii="Lato" w:hAnsi="Lato"/>
        </w:rPr>
        <w:t>Entities formed by combinations of fictional tokens: ATLANTICO, ORBITA, VECTOR, NOVA, PRISMA, etc.</w:t>
      </w:r>
    </w:p>
    <w:p>
      <w:pPr>
        <w:pStyle w:val="ListBullet"/>
        <w:spacing w:after="40"/>
        <w:ind w:left="340" w:hanging="142"/>
      </w:pPr>
      <w:r>
        <w:rPr>
          <w:rFonts w:ascii="Lato" w:hAnsi="Lato"/>
        </w:rPr>
        <w:t>Legal suffixes limited to LDA and SA so that normalization is explicit and controllable.</w:t>
      </w:r>
    </w:p>
    <w:p>
      <w:pPr>
        <w:pStyle w:val="ListBullet"/>
        <w:spacing w:after="40"/>
        <w:ind w:left="340" w:hanging="142"/>
      </w:pPr>
      <w:r>
        <w:rPr>
          <w:rFonts w:ascii="Lato" w:hAnsi="Lato"/>
        </w:rPr>
        <w:t>Sequential references with shared prefixes: FT2026/00187, FT2026/00188, INV2026/00187.</w:t>
      </w:r>
    </w:p>
    <w:p>
      <w:pPr>
        <w:pStyle w:val="ListBullet"/>
        <w:spacing w:after="40"/>
        <w:ind w:left="340" w:hanging="142"/>
      </w:pPr>
      <w:r>
        <w:rPr>
          <w:rFonts w:ascii="Lato" w:hAnsi="Lato"/>
        </w:rPr>
        <w:t>Amounts in cents, using Decimal to avoid floating-point errors.</w:t>
      </w:r>
    </w:p>
    <w:p>
      <w:pPr>
        <w:pStyle w:val="ListBullet"/>
        <w:spacing w:after="40"/>
        <w:ind w:left="340" w:hanging="142"/>
      </w:pPr>
      <w:r>
        <w:rPr>
          <w:rFonts w:ascii="Lato" w:hAnsi="Lato"/>
        </w:rPr>
        <w:t>Dates within a fictional 180-day interval.</w:t>
      </w:r>
    </w:p>
    <w:p>
      <w:pPr>
        <w:pStyle w:val="ListBullet"/>
        <w:spacing w:after="40"/>
        <w:ind w:left="340" w:hanging="142"/>
      </w:pPr>
      <w:r>
        <w:rPr>
          <w:rFonts w:ascii="Lato" w:hAnsi="Lato"/>
        </w:rPr>
        <w:t>Descriptions constructed from templates with bank boilerplate, entity and reference.</w:t>
      </w:r>
    </w:p>
    <w:p>
      <w:pPr>
        <w:pStyle w:val="Heading2"/>
        <w:keepNext/>
      </w:pPr>
      <w:r>
        <w:rPr>
          <w:rFonts w:ascii="Lato" w:hAnsi="Lato"/>
          <w:b/>
          <w:color w:val="000000"/>
        </w:rPr>
        <w:t>5.6 Perturbation scenarios</w:t>
      </w:r>
    </w:p>
    <w:tbl>
      <w:tblPr>
        <w:tblW w:type="auto" w:w="0"/>
        <w:jc w:val="center"/>
        <w:tblLayout w:type="fixed"/>
        <w:tblLook w:firstColumn="1" w:firstRow="1" w:lastColumn="0" w:lastRow="0" w:noHBand="0" w:noVBand="1" w:val="04A0"/>
      </w:tblPr>
      <w:tblGrid>
        <w:gridCol w:w="3305"/>
        <w:gridCol w:w="3305"/>
        <w:gridCol w:w="3305"/>
      </w:tblGrid>
      <w:tr>
        <w:trPr>
          <w:tblHeader w:val="true"/>
        </w:trPr>
        <w:tc>
          <w:tcPr>
            <w:tcW w:type="dxa" w:w="1872"/>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6"/>
              </w:rPr>
              <w:t>Scenario</w:t>
            </w:r>
          </w:p>
        </w:tc>
        <w:tc>
          <w:tcPr>
            <w:tcW w:type="dxa" w:w="4536"/>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6"/>
              </w:rPr>
              <w:t>Operation</w:t>
            </w:r>
          </w:p>
        </w:tc>
        <w:tc>
          <w:tcPr>
            <w:tcW w:type="dxa" w:w="3384"/>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6"/>
              </w:rPr>
              <w:t>Objective</w:t>
            </w:r>
          </w:p>
        </w:tc>
      </w:tr>
      <w:tr>
        <w:trPr>
          <w:cantSplit/>
        </w:trPr>
        <w:tc>
          <w:tcPr>
            <w:tcW w:type="dxa" w:w="187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P0 Clean</w:t>
            </w:r>
          </w:p>
        </w:tc>
        <w:tc>
          <w:tcPr>
            <w:tcW w:type="dxa" w:w="453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No change.</w:t>
            </w:r>
          </w:p>
        </w:tc>
        <w:tc>
          <w:tcPr>
            <w:tcW w:type="dxa" w:w="338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Control behaviour on perfect data.</w:t>
            </w:r>
          </w:p>
        </w:tc>
      </w:tr>
      <w:tr>
        <w:trPr>
          <w:cantSplit/>
        </w:trPr>
        <w:tc>
          <w:tcPr>
            <w:tcW w:type="dxa" w:w="187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P1 Amount noise</w:t>
            </w:r>
          </w:p>
        </w:tc>
        <w:tc>
          <w:tcPr>
            <w:tcW w:type="dxa" w:w="453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+/- 0.01, 0.05 or 0.10 EUR.</w:t>
            </w:r>
          </w:p>
        </w:tc>
        <w:tc>
          <w:tcPr>
            <w:tcW w:type="dxa" w:w="338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Represent penny/rounding differences observed in the engines.</w:t>
            </w:r>
          </w:p>
        </w:tc>
      </w:tr>
      <w:tr>
        <w:trPr>
          <w:cantSplit/>
        </w:trPr>
        <w:tc>
          <w:tcPr>
            <w:tcW w:type="dxa" w:w="187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P2 Date drift</w:t>
            </w:r>
          </w:p>
        </w:tc>
        <w:tc>
          <w:tcPr>
            <w:tcW w:type="dxa" w:w="453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+/- 1, 2 or 3 days.</w:t>
            </w:r>
          </w:p>
        </w:tc>
        <w:tc>
          <w:tcPr>
            <w:tcW w:type="dxa" w:w="338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Represent booking/processing delays.</w:t>
            </w:r>
          </w:p>
        </w:tc>
      </w:tr>
      <w:tr>
        <w:trPr>
          <w:cantSplit/>
        </w:trPr>
        <w:tc>
          <w:tcPr>
            <w:tcW w:type="dxa" w:w="187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P3 Reference noise</w:t>
            </w:r>
          </w:p>
        </w:tc>
        <w:tc>
          <w:tcPr>
            <w:tcW w:type="dxa" w:w="453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Separators, separator removal, digit transposition or substitution.</w:t>
            </w:r>
          </w:p>
        </w:tc>
        <w:tc>
          <w:tcPr>
            <w:tcW w:type="dxa" w:w="338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Distinguish normalization from fuzzy matching.</w:t>
            </w:r>
          </w:p>
        </w:tc>
      </w:tr>
      <w:tr>
        <w:trPr>
          <w:cantSplit/>
        </w:trPr>
        <w:tc>
          <w:tcPr>
            <w:tcW w:type="dxa" w:w="187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P4 Entity noise</w:t>
            </w:r>
          </w:p>
        </w:tc>
        <w:tc>
          <w:tcPr>
            <w:tcW w:type="dxa" w:w="453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Suffix removal, truncation, typo, case/accent variation.</w:t>
            </w:r>
          </w:p>
        </w:tc>
        <w:tc>
          <w:tcPr>
            <w:tcW w:type="dxa" w:w="338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Test entity/name matching.</w:t>
            </w:r>
          </w:p>
        </w:tc>
      </w:tr>
      <w:tr>
        <w:trPr>
          <w:cantSplit/>
        </w:trPr>
        <w:tc>
          <w:tcPr>
            <w:tcW w:type="dxa" w:w="187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P5 Description noise</w:t>
            </w:r>
          </w:p>
        </w:tc>
        <w:tc>
          <w:tcPr>
            <w:tcW w:type="dxa" w:w="453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Token reordering, deletion, 25% truncation, boilerplate, abbreviation.</w:t>
            </w:r>
          </w:p>
        </w:tc>
        <w:tc>
          <w:tcPr>
            <w:tcW w:type="dxa" w:w="338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Test noisy bank text.</w:t>
            </w:r>
          </w:p>
        </w:tc>
      </w:tr>
      <w:tr>
        <w:trPr>
          <w:cantSplit/>
        </w:trPr>
        <w:tc>
          <w:tcPr>
            <w:tcW w:type="dxa" w:w="187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P6 Missing information</w:t>
            </w:r>
          </w:p>
        </w:tc>
        <w:tc>
          <w:tcPr>
            <w:tcW w:type="dxa" w:w="453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50% without reference; 50% without counterparty.</w:t>
            </w:r>
          </w:p>
        </w:tc>
        <w:tc>
          <w:tcPr>
            <w:tcW w:type="dxa" w:w="338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Measure robustness when one source of evidence is absent.</w:t>
            </w:r>
          </w:p>
        </w:tc>
      </w:tr>
      <w:tr>
        <w:trPr>
          <w:cantSplit/>
        </w:trPr>
        <w:tc>
          <w:tcPr>
            <w:tcW w:type="dxa" w:w="187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P7 Combined</w:t>
            </w:r>
          </w:p>
        </w:tc>
        <w:tc>
          <w:tcPr>
            <w:tcW w:type="dxa" w:w="453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Three distinct perturbations chosen from amount, date, reference, entity and description.</w:t>
            </w:r>
          </w:p>
        </w:tc>
        <w:tc>
          <w:tcPr>
            <w:tcW w:type="dxa" w:w="338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Approximate heterogeneous, difficult situations.</w:t>
            </w:r>
          </w:p>
        </w:tc>
      </w:tr>
    </w:tbl>
    <w:p>
      <w:pPr>
        <w:spacing w:after="0"/>
      </w:pPr>
    </w:p>
    <w:p>
      <w:pPr>
        <w:pStyle w:val="Heading2"/>
        <w:keepNext/>
      </w:pPr>
      <w:r>
        <w:rPr>
          <w:rFonts w:ascii="Lato" w:hAnsi="Lato"/>
          <w:b/>
          <w:color w:val="000000"/>
        </w:rPr>
        <w:t>5.7 Hard negatives</w:t>
      </w:r>
    </w:p>
    <w:p>
      <w:pPr>
        <w:spacing w:after="100"/>
      </w:pPr>
      <w:r>
        <w:rPr>
          <w:rFonts w:ascii="Lato" w:hAnsi="Lato"/>
        </w:rPr>
        <w:t>Random negative candidates would make the problem too easy. The nine negatives retain one or more pieces of evidence from the true match and simulate the ambiguity found in commercial engines.</w:t>
      </w:r>
    </w:p>
    <w:tbl>
      <w:tblPr>
        <w:tblW w:type="auto" w:w="0"/>
        <w:jc w:val="center"/>
        <w:tblLayout w:type="fixed"/>
        <w:tblLook w:firstColumn="1" w:firstRow="1" w:lastColumn="0" w:lastRow="0" w:noHBand="0" w:noVBand="1" w:val="04A0"/>
      </w:tblPr>
      <w:tblGrid>
        <w:gridCol w:w="3305"/>
        <w:gridCol w:w="3305"/>
        <w:gridCol w:w="3305"/>
      </w:tblGrid>
      <w:tr>
        <w:trPr>
          <w:tblHeader w:val="true"/>
        </w:trPr>
        <w:tc>
          <w:tcPr>
            <w:tcW w:type="dxa" w:w="1224"/>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6"/>
              </w:rPr>
              <w:t>Negative</w:t>
            </w:r>
          </w:p>
        </w:tc>
        <w:tc>
          <w:tcPr>
            <w:tcW w:type="dxa" w:w="4104"/>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6"/>
              </w:rPr>
              <w:t>Preserved evidence</w:t>
            </w:r>
          </w:p>
        </w:tc>
        <w:tc>
          <w:tcPr>
            <w:tcW w:type="dxa" w:w="4464"/>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6"/>
              </w:rPr>
              <w:t>Role in the test</w:t>
            </w:r>
          </w:p>
        </w:tc>
      </w:tr>
      <w:tr>
        <w:trPr>
          <w:cantSplit/>
        </w:trPr>
        <w:tc>
          <w:tcPr>
            <w:tcW w:type="dxa" w:w="122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N1</w:t>
            </w:r>
          </w:p>
        </w:tc>
        <w:tc>
          <w:tcPr>
            <w:tcW w:type="dxa" w:w="41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Same amount</w:t>
            </w:r>
          </w:p>
        </w:tc>
        <w:tc>
          <w:tcPr>
            <w:tcW w:type="dxa" w:w="446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Control excessive dependence on the amount.</w:t>
            </w:r>
          </w:p>
        </w:tc>
      </w:tr>
      <w:tr>
        <w:trPr>
          <w:cantSplit/>
        </w:trPr>
        <w:tc>
          <w:tcPr>
            <w:tcW w:type="dxa" w:w="122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N2</w:t>
            </w:r>
          </w:p>
        </w:tc>
        <w:tc>
          <w:tcPr>
            <w:tcW w:type="dxa" w:w="41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Same date</w:t>
            </w:r>
          </w:p>
        </w:tc>
        <w:tc>
          <w:tcPr>
            <w:tcW w:type="dxa" w:w="446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Control excessive dependence on the date.</w:t>
            </w:r>
          </w:p>
        </w:tc>
      </w:tr>
      <w:tr>
        <w:trPr>
          <w:cantSplit/>
        </w:trPr>
        <w:tc>
          <w:tcPr>
            <w:tcW w:type="dxa" w:w="122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N3</w:t>
            </w:r>
          </w:p>
        </w:tc>
        <w:tc>
          <w:tcPr>
            <w:tcW w:type="dxa" w:w="41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Similar reference</w:t>
            </w:r>
          </w:p>
        </w:tc>
        <w:tc>
          <w:tcPr>
            <w:tcW w:type="dxa" w:w="446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Adjacent number or transposition.</w:t>
            </w:r>
          </w:p>
        </w:tc>
      </w:tr>
      <w:tr>
        <w:trPr>
          <w:cantSplit/>
        </w:trPr>
        <w:tc>
          <w:tcPr>
            <w:tcW w:type="dxa" w:w="122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N4</w:t>
            </w:r>
          </w:p>
        </w:tc>
        <w:tc>
          <w:tcPr>
            <w:tcW w:type="dxa" w:w="41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Same entity</w:t>
            </w:r>
          </w:p>
        </w:tc>
        <w:tc>
          <w:tcPr>
            <w:tcW w:type="dxa" w:w="446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Different document from the same counterparty.</w:t>
            </w:r>
          </w:p>
        </w:tc>
      </w:tr>
      <w:tr>
        <w:trPr>
          <w:cantSplit/>
        </w:trPr>
        <w:tc>
          <w:tcPr>
            <w:tcW w:type="dxa" w:w="122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N5</w:t>
            </w:r>
          </w:p>
        </w:tc>
        <w:tc>
          <w:tcPr>
            <w:tcW w:type="dxa" w:w="41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Same amount + nearby date</w:t>
            </w:r>
          </w:p>
        </w:tc>
        <w:tc>
          <w:tcPr>
            <w:tcW w:type="dxa" w:w="446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Plausible financial candidate.</w:t>
            </w:r>
          </w:p>
        </w:tc>
      </w:tr>
      <w:tr>
        <w:trPr>
          <w:cantSplit/>
        </w:trPr>
        <w:tc>
          <w:tcPr>
            <w:tcW w:type="dxa" w:w="122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N6</w:t>
            </w:r>
          </w:p>
        </w:tc>
        <w:tc>
          <w:tcPr>
            <w:tcW w:type="dxa" w:w="41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Same amount + entity</w:t>
            </w:r>
          </w:p>
        </w:tc>
        <w:tc>
          <w:tcPr>
            <w:tcW w:type="dxa" w:w="446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Another transaction from the same partner.</w:t>
            </w:r>
          </w:p>
        </w:tc>
      </w:tr>
      <w:tr>
        <w:trPr>
          <w:cantSplit/>
        </w:trPr>
        <w:tc>
          <w:tcPr>
            <w:tcW w:type="dxa" w:w="122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N7</w:t>
            </w:r>
          </w:p>
        </w:tc>
        <w:tc>
          <w:tcPr>
            <w:tcW w:type="dxa" w:w="41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Same amount + date + similar reference</w:t>
            </w:r>
          </w:p>
        </w:tc>
        <w:tc>
          <w:tcPr>
            <w:tcW w:type="dxa" w:w="446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Strong ambiguity across three sources of evidence.</w:t>
            </w:r>
          </w:p>
        </w:tc>
      </w:tr>
      <w:tr>
        <w:trPr>
          <w:cantSplit/>
        </w:trPr>
        <w:tc>
          <w:tcPr>
            <w:tcW w:type="dxa" w:w="122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N8</w:t>
            </w:r>
          </w:p>
        </w:tc>
        <w:tc>
          <w:tcPr>
            <w:tcW w:type="dxa" w:w="41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Similar description + entity</w:t>
            </w:r>
          </w:p>
        </w:tc>
        <w:tc>
          <w:tcPr>
            <w:tcW w:type="dxa" w:w="446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Similar operational text.</w:t>
            </w:r>
          </w:p>
        </w:tc>
      </w:tr>
      <w:tr>
        <w:trPr>
          <w:cantSplit/>
        </w:trPr>
        <w:tc>
          <w:tcPr>
            <w:tcW w:type="dxa" w:w="122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N9</w:t>
            </w:r>
          </w:p>
        </w:tc>
        <w:tc>
          <w:tcPr>
            <w:tcW w:type="dxa" w:w="41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Same amount + date + entity; incorrect but similar reference</w:t>
            </w:r>
          </w:p>
        </w:tc>
        <w:tc>
          <w:tcPr>
            <w:tcW w:type="dxa" w:w="446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Deliberately more difficult case.</w:t>
            </w:r>
          </w:p>
        </w:tc>
      </w:tr>
    </w:tbl>
    <w:p>
      <w:pPr>
        <w:spacing w:after="0"/>
      </w:pPr>
    </w:p>
    <w:p>
      <w:pPr>
        <w:pStyle w:val="Heading2"/>
        <w:keepNext/>
      </w:pPr>
      <w:r>
        <w:rPr>
          <w:rFonts w:ascii="Lato" w:hAnsi="Lato"/>
          <w:b/>
          <w:color w:val="000000"/>
        </w:rPr>
        <w:t>5.8 Generator invariants</w:t>
      </w:r>
    </w:p>
    <w:p>
      <w:pPr>
        <w:pStyle w:val="ListBullet"/>
        <w:spacing w:after="40"/>
        <w:ind w:left="340" w:hanging="142"/>
      </w:pPr>
      <w:r>
        <w:rPr>
          <w:rFonts w:ascii="Lato" w:hAnsi="Lato"/>
        </w:rPr>
        <w:t>Each case contains exactly 10 candidates.</w:t>
      </w:r>
    </w:p>
    <w:p>
      <w:pPr>
        <w:pStyle w:val="ListBullet"/>
        <w:spacing w:after="40"/>
        <w:ind w:left="340" w:hanging="142"/>
      </w:pPr>
      <w:r>
        <w:rPr>
          <w:rFonts w:ascii="Lato" w:hAnsi="Lato"/>
        </w:rPr>
        <w:t>There is exactly one true_candidate_id.</w:t>
      </w:r>
    </w:p>
    <w:p>
      <w:pPr>
        <w:pStyle w:val="ListBullet"/>
        <w:spacing w:after="40"/>
        <w:ind w:left="340" w:hanging="142"/>
      </w:pPr>
      <w:r>
        <w:rPr>
          <w:rFonts w:ascii="Lato" w:hAnsi="Lato"/>
        </w:rPr>
        <w:t>All IDs are unique within the seed.</w:t>
      </w:r>
    </w:p>
    <w:p>
      <w:pPr>
        <w:pStyle w:val="ListBullet"/>
        <w:spacing w:after="40"/>
        <w:ind w:left="340" w:hanging="142"/>
      </w:pPr>
      <w:r>
        <w:rPr>
          <w:rFonts w:ascii="Lato" w:hAnsi="Lato"/>
        </w:rPr>
        <w:t>No negative is identical to the true candidate across all five fields.</w:t>
      </w:r>
    </w:p>
    <w:p>
      <w:pPr>
        <w:pStyle w:val="ListBullet"/>
        <w:spacing w:after="40"/>
        <w:ind w:left="340" w:hanging="142"/>
      </w:pPr>
      <w:r>
        <w:rPr>
          <w:rFonts w:ascii="Lato" w:hAnsi="Lato"/>
        </w:rPr>
        <w:t>The same seed produces logically equivalent bytes and the same order after deterministic shuffling.</w:t>
      </w:r>
    </w:p>
    <w:p>
      <w:pPr>
        <w:pStyle w:val="ListBullet"/>
        <w:spacing w:after="40"/>
        <w:ind w:left="340" w:hanging="142"/>
      </w:pPr>
      <w:r>
        <w:rPr>
          <w:rFonts w:ascii="Lato" w:hAnsi="Lato"/>
        </w:rPr>
        <w:t>Each scenario contains exactly 100 cases per evaluation seed.</w:t>
      </w:r>
    </w:p>
    <w:p>
      <w:pPr>
        <w:pStyle w:val="ListBullet"/>
        <w:spacing w:after="40"/>
        <w:ind w:left="340" w:hanging="142"/>
      </w:pPr>
      <w:r>
        <w:rPr>
          <w:rFonts w:ascii="Lato" w:hAnsi="Lato"/>
        </w:rPr>
        <w:t>The generator fails explicitly if it cannot construct a valid negative within a bounded number of attempts.</w:t>
      </w:r>
    </w:p>
    <w:p>
      <w:pPr>
        <w:pStyle w:val="Heading1"/>
        <w:keepNext/>
      </w:pPr>
      <w:r>
        <w:rPr>
          <w:rFonts w:ascii="Lato" w:hAnsi="Lato"/>
          <w:b/>
          <w:color w:val="000000"/>
        </w:rPr>
        <w:t>6 Normalization</w:t>
      </w:r>
    </w:p>
    <w:p>
      <w:pPr>
        <w:spacing w:after="100"/>
      </w:pPr>
      <w:r>
        <w:rPr>
          <w:rFonts w:ascii="Lato" w:hAnsi="Lato"/>
        </w:rPr>
        <w:t>Normalization is a separate pipeline component. All main methods receive the same normalized version, allowing algorithms to be compared without confounding the effect of preprocessing. The M4-noNorm ablation measures the contribution of this stage separately.</w:t>
      </w:r>
    </w:p>
    <w:tbl>
      <w:tblPr>
        <w:tblW w:type="auto" w:w="0"/>
        <w:jc w:val="center"/>
        <w:tblLayout w:type="fixed"/>
        <w:tblLook w:firstColumn="1" w:firstRow="1" w:lastColumn="0" w:lastRow="0" w:noHBand="0" w:noVBand="1" w:val="04A0"/>
      </w:tblPr>
      <w:tblGrid>
        <w:gridCol w:w="3305"/>
        <w:gridCol w:w="3305"/>
        <w:gridCol w:w="3305"/>
      </w:tblGrid>
      <w:tr>
        <w:trPr>
          <w:tblHeader w:val="true"/>
        </w:trPr>
        <w:tc>
          <w:tcPr>
            <w:tcW w:type="dxa" w:w="1584"/>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6"/>
              </w:rPr>
              <w:t>Field</w:t>
            </w:r>
          </w:p>
        </w:tc>
        <w:tc>
          <w:tcPr>
            <w:tcW w:type="dxa" w:w="5256"/>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6"/>
              </w:rPr>
              <w:t>Operations</w:t>
            </w:r>
          </w:p>
        </w:tc>
        <w:tc>
          <w:tcPr>
            <w:tcW w:type="dxa" w:w="2952"/>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6"/>
              </w:rPr>
              <w:t>Example</w:t>
            </w:r>
          </w:p>
        </w:tc>
      </w:tr>
      <w:tr>
        <w:trPr>
          <w:cantSplit/>
        </w:trPr>
        <w:tc>
          <w:tcPr>
            <w:tcW w:type="dxa" w:w="158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General text</w:t>
            </w:r>
          </w:p>
        </w:tc>
        <w:tc>
          <w:tcPr>
            <w:tcW w:type="dxa" w:w="525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Unicode NFKD, lowercase, accent removal, punctuation to spaces, collapse whitespace.</w:t>
            </w:r>
          </w:p>
        </w:tc>
        <w:tc>
          <w:tcPr>
            <w:tcW w:type="dxa" w:w="295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"Órbita &amp; Filhos, Lda." -&gt; "orbita filhos lda"</w:t>
            </w:r>
          </w:p>
        </w:tc>
      </w:tr>
      <w:tr>
        <w:trPr>
          <w:cantSplit/>
        </w:trPr>
        <w:tc>
          <w:tcPr>
            <w:tcW w:type="dxa" w:w="158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Reference</w:t>
            </w:r>
          </w:p>
        </w:tc>
        <w:tc>
          <w:tcPr>
            <w:tcW w:type="dxa" w:w="525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General normalization + removal of spaces.</w:t>
            </w:r>
          </w:p>
        </w:tc>
        <w:tc>
          <w:tcPr>
            <w:tcW w:type="dxa" w:w="295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"FT-2026 / 00187" -&gt; "ft202600187"</w:t>
            </w:r>
          </w:p>
        </w:tc>
      </w:tr>
      <w:tr>
        <w:trPr>
          <w:cantSplit/>
        </w:trPr>
        <w:tc>
          <w:tcPr>
            <w:tcW w:type="dxa" w:w="158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Entity</w:t>
            </w:r>
          </w:p>
        </w:tc>
        <w:tc>
          <w:tcPr>
            <w:tcW w:type="dxa" w:w="525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General normalization + removal of suffixes used in the generator: lda, sa.</w:t>
            </w:r>
          </w:p>
        </w:tc>
        <w:tc>
          <w:tcPr>
            <w:tcW w:type="dxa" w:w="295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"ACME Portugal Lda." -&gt; "acme portugal"</w:t>
            </w:r>
          </w:p>
        </w:tc>
      </w:tr>
      <w:tr>
        <w:trPr>
          <w:cantSplit/>
        </w:trPr>
        <w:tc>
          <w:tcPr>
            <w:tcW w:type="dxa" w:w="158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Amount</w:t>
            </w:r>
          </w:p>
        </w:tc>
        <w:tc>
          <w:tcPr>
            <w:tcW w:type="dxa" w:w="525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Decimal quantized to two decimal places.</w:t>
            </w:r>
          </w:p>
        </w:tc>
        <w:tc>
          <w:tcPr>
            <w:tcW w:type="dxa" w:w="295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1245,30 -&gt; Decimal("1245.30")</w:t>
            </w:r>
          </w:p>
        </w:tc>
      </w:tr>
      <w:tr>
        <w:trPr>
          <w:cantSplit/>
        </w:trPr>
        <w:tc>
          <w:tcPr>
            <w:tcW w:type="dxa" w:w="158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Date</w:t>
            </w:r>
          </w:p>
        </w:tc>
        <w:tc>
          <w:tcPr>
            <w:tcW w:type="dxa" w:w="525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date object and ISO serialization.</w:t>
            </w:r>
          </w:p>
        </w:tc>
        <w:tc>
          <w:tcPr>
            <w:tcW w:type="dxa" w:w="295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12/05/2026 -&gt; 2026-05-12</w:t>
            </w:r>
          </w:p>
        </w:tc>
      </w:tr>
    </w:tbl>
    <w:p>
      <w:pPr>
        <w:spacing w:after="0"/>
      </w:pPr>
    </w:p>
    <w:p>
      <w:pPr>
        <w:pStyle w:val="Heading2"/>
        <w:keepNext/>
      </w:pPr>
      <w:r>
        <w:rPr>
          <w:rFonts w:ascii="Lato" w:hAnsi="Lato"/>
          <w:b/>
          <w:color w:val="000000"/>
        </w:rPr>
        <w:t>6.1 Protection against over normalization</w:t>
      </w:r>
    </w:p>
    <w:p>
      <w:pPr>
        <w:pStyle w:val="ListBullet"/>
        <w:spacing w:after="40"/>
        <w:ind w:left="340" w:hanging="142"/>
      </w:pPr>
      <w:r>
        <w:rPr>
          <w:rFonts w:ascii="Lato" w:hAnsi="Lato"/>
        </w:rPr>
        <w:t>Do not remove business tokens beyond the explicitly generated legal suffixes.</w:t>
      </w:r>
    </w:p>
    <w:p>
      <w:pPr>
        <w:pStyle w:val="ListBullet"/>
        <w:spacing w:after="40"/>
        <w:ind w:left="340" w:hanging="142"/>
      </w:pPr>
      <w:r>
        <w:rPr>
          <w:rFonts w:ascii="Lato" w:hAnsi="Lato"/>
        </w:rPr>
        <w:t>Do not correct typos using dictionaries: that would be another algorithm.</w:t>
      </w:r>
    </w:p>
    <w:p>
      <w:pPr>
        <w:pStyle w:val="ListBullet"/>
        <w:spacing w:after="40"/>
        <w:ind w:left="340" w:hanging="142"/>
      </w:pPr>
      <w:r>
        <w:rPr>
          <w:rFonts w:ascii="Lato" w:hAnsi="Lato"/>
        </w:rPr>
        <w:t>Do not extract the reference from description in the main benchmark: Reference is already a separate field.</w:t>
      </w:r>
    </w:p>
    <w:p>
      <w:pPr>
        <w:pStyle w:val="ListBullet"/>
        <w:spacing w:after="40"/>
        <w:ind w:left="340" w:hanging="142"/>
      </w:pPr>
      <w:r>
        <w:rPr>
          <w:rFonts w:ascii="Lato" w:hAnsi="Lato"/>
        </w:rPr>
        <w:t>Do not use lists of real companies or manual aliases.</w:t>
      </w:r>
    </w:p>
    <w:p>
      <w:pPr>
        <w:pStyle w:val="ListBullet"/>
        <w:spacing w:after="40"/>
        <w:ind w:left="340" w:hanging="142"/>
      </w:pPr>
      <w:r>
        <w:rPr>
          <w:rFonts w:ascii="Lato" w:hAnsi="Lato"/>
        </w:rPr>
        <w:t>Store raw and normalized values for debugging and reproducibility.</w:t>
      </w:r>
    </w:p>
    <w:p>
      <w:pPr>
        <w:pStyle w:val="Heading1"/>
        <w:keepNext/>
      </w:pPr>
      <w:r>
        <w:rPr>
          <w:rFonts w:ascii="Lato" w:hAnsi="Lato"/>
          <w:b/>
          <w:color w:val="000000"/>
        </w:rPr>
        <w:t>7 Methods to compare</w:t>
      </w:r>
    </w:p>
    <w:p>
      <w:pPr>
        <w:spacing w:after="100"/>
      </w:pPr>
      <w:r>
        <w:rPr>
          <w:rFonts w:ascii="Lato" w:hAnsi="Lato"/>
        </w:rPr>
        <w:t>The final recommendation includes five methods. Introducing M1 explicitly separates the benefit of financial tolerances from the benefit of fuzzy metrics. All methods produce a score between 0 and 1 and use the mean over available fields.</w:t>
      </w:r>
    </w:p>
    <w:tbl>
      <w:tblPr>
        <w:tblW w:type="auto" w:w="0"/>
        <w:jc w:val="center"/>
        <w:tblLook w:firstColumn="1" w:firstRow="1" w:lastColumn="0" w:lastRow="0" w:noHBand="0" w:noVBand="1" w:val="04A0"/>
      </w:tblPr>
      <w:tblGrid>
        <w:gridCol w:w="9916"/>
      </w:tblGrid>
      <w:tr>
        <w:tc>
          <w:tcPr>
            <w:tcW w:type="dxa" w:w="9916"/>
            <w:shd w:fill="F3F5F7"/>
            <w:tcMar>
              <w:top w:w="90" w:type="dxa"/>
              <w:start w:w="120" w:type="dxa"/>
              <w:bottom w:w="90" w:type="dxa"/>
              <w:end w:w="120" w:type="dxa"/>
            </w:tcMar>
            <w:tcBorders>
              <w:top w:val="single" w:sz="5" w:color="D6DDE3"/>
              <w:bottom w:val="single" w:sz="5" w:color="D6DDE3"/>
              <w:left w:val="single" w:sz="5" w:color="D6DDE3"/>
              <w:right w:val="single" w:sz="5" w:color="D6DDE3"/>
            </w:tcBorders>
          </w:tcPr>
          <w:p>
            <w:pPr>
              <w:spacing w:after="0"/>
            </w:pPr>
            <w:r>
              <w:rPr>
                <w:rFonts w:ascii="Liberation Mono" w:hAnsi="Liberation Mono"/>
                <w:color w:val="17324D"/>
                <w:sz w:val="17"/>
              </w:rPr>
              <w:t>overall_score = sum(field_scores) / number_of_available_fields</w:t>
            </w:r>
            <w:r>
              <w:br/>
            </w:r>
            <w:r>
              <w:rPr>
                <w:rFonts w:ascii="Liberation Mono" w:hAnsi="Liberation Mono"/>
                <w:color w:val="17324D"/>
                <w:sz w:val="17"/>
              </w:rPr>
            </w:r>
            <w:r>
              <w:br/>
            </w:r>
            <w:r>
              <w:rPr>
                <w:rFonts w:ascii="Liberation Mono" w:hAnsi="Liberation Mono"/>
                <w:color w:val="17324D"/>
                <w:sz w:val="17"/>
              </w:rPr>
              <w:t>if a field is missing on either side:</w:t>
            </w:r>
            <w:r>
              <w:br/>
            </w:r>
            <w:r>
              <w:rPr>
                <w:rFonts w:ascii="Liberation Mono" w:hAnsi="Liberation Mono"/>
                <w:color w:val="17324D"/>
                <w:sz w:val="17"/>
              </w:rPr>
              <w:t xml:space="preserve">    exclude that field from numerator and denominator</w:t>
            </w:r>
          </w:p>
        </w:tc>
      </w:tr>
    </w:tbl>
    <w:p>
      <w:pPr>
        <w:spacing w:after="0"/>
      </w:pPr>
    </w:p>
    <w:tbl>
      <w:tblPr>
        <w:tblW w:type="auto" w:w="0"/>
        <w:jc w:val="center"/>
        <w:tblLayout w:type="fixed"/>
        <w:tblLook w:firstColumn="1" w:firstRow="1" w:lastColumn="0" w:lastRow="0" w:noHBand="0" w:noVBand="1" w:val="04A0"/>
      </w:tblPr>
      <w:tblGrid>
        <w:gridCol w:w="3305"/>
        <w:gridCol w:w="3305"/>
        <w:gridCol w:w="3305"/>
      </w:tblGrid>
      <w:tr>
        <w:trPr>
          <w:tblHeader w:val="true"/>
        </w:trPr>
        <w:tc>
          <w:tcPr>
            <w:tcW w:type="dxa" w:w="2232"/>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6"/>
              </w:rPr>
              <w:t>Method</w:t>
            </w:r>
          </w:p>
        </w:tc>
        <w:tc>
          <w:tcPr>
            <w:tcW w:type="dxa" w:w="5112"/>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6"/>
              </w:rPr>
              <w:t>Definition</w:t>
            </w:r>
          </w:p>
        </w:tc>
        <w:tc>
          <w:tcPr>
            <w:tcW w:type="dxa" w:w="2808"/>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6"/>
              </w:rPr>
              <w:t>Question addressed</w:t>
            </w:r>
          </w:p>
        </w:tc>
      </w:tr>
      <w:tr>
        <w:trPr>
          <w:cantSplit/>
        </w:trPr>
        <w:tc>
          <w:tcPr>
            <w:tcW w:type="dxa" w:w="223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M0 Normalized Exact</w:t>
            </w:r>
          </w:p>
        </w:tc>
        <w:tc>
          <w:tcPr>
            <w:tcW w:type="dxa" w:w="511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0/1 in every field after normalization.</w:t>
            </w:r>
          </w:p>
        </w:tc>
        <w:tc>
          <w:tcPr>
            <w:tcW w:type="dxa" w:w="280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Strict baseline.</w:t>
            </w:r>
          </w:p>
        </w:tc>
      </w:tr>
      <w:tr>
        <w:trPr>
          <w:cantSplit/>
        </w:trPr>
        <w:tc>
          <w:tcPr>
            <w:tcW w:type="dxa" w:w="223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M1 Tolerant Deterministic</w:t>
            </w:r>
          </w:p>
        </w:tc>
        <w:tc>
          <w:tcPr>
            <w:tcW w:type="dxa" w:w="511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Amount +/- 0.10 EUR; Date +/- 3 days; exact text.</w:t>
            </w:r>
          </w:p>
        </w:tc>
        <w:tc>
          <w:tcPr>
            <w:tcW w:type="dxa" w:w="2808"/>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Isolate the effect of tolerances without fuzzy text.</w:t>
            </w:r>
          </w:p>
        </w:tc>
      </w:tr>
      <w:tr>
        <w:trPr>
          <w:cantSplit/>
        </w:trPr>
        <w:tc>
          <w:tcPr>
            <w:tcW w:type="dxa" w:w="223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M2 Jaro-Winkler</w:t>
            </w:r>
          </w:p>
        </w:tc>
        <w:tc>
          <w:tcPr>
            <w:tcW w:type="dxa" w:w="511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M1 for amount/date; Jaro-Winkler for Reference, Entity and Description.</w:t>
            </w:r>
          </w:p>
        </w:tc>
        <w:tc>
          <w:tcPr>
            <w:tcW w:type="dxa" w:w="280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Uniform fuzzy baseline.</w:t>
            </w:r>
          </w:p>
        </w:tc>
      </w:tr>
      <w:tr>
        <w:trPr>
          <w:cantSplit/>
        </w:trPr>
        <w:tc>
          <w:tcPr>
            <w:tcW w:type="dxa" w:w="223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M3 Character Trigram</w:t>
            </w:r>
          </w:p>
        </w:tc>
        <w:tc>
          <w:tcPr>
            <w:tcW w:type="dxa" w:w="511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M1 for amount/date; trigram cosine for the three text fields.</w:t>
            </w:r>
          </w:p>
        </w:tc>
        <w:tc>
          <w:tcPr>
            <w:tcW w:type="dxa" w:w="2808"/>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Second uniform fuzzy baseline.</w:t>
            </w:r>
          </w:p>
        </w:tc>
      </w:tr>
      <w:tr>
        <w:trPr>
          <w:cantSplit/>
        </w:trPr>
        <w:tc>
          <w:tcPr>
            <w:tcW w:type="dxa" w:w="223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M4 Field-Aware Hybrid</w:t>
            </w:r>
          </w:p>
        </w:tc>
        <w:tc>
          <w:tcPr>
            <w:tcW w:type="dxa" w:w="511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M1 for amount/date; JW for Reference/Entity; trigrams for Description.</w:t>
            </w:r>
          </w:p>
        </w:tc>
        <w:tc>
          <w:tcPr>
            <w:tcW w:type="dxa" w:w="280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Comparator selected according to the nature of the field.</w:t>
            </w:r>
          </w:p>
        </w:tc>
      </w:tr>
      <w:tr>
        <w:trPr>
          <w:cantSplit/>
        </w:trPr>
        <w:tc>
          <w:tcPr>
            <w:tcW w:type="dxa" w:w="223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Ablation M4-noNorm</w:t>
            </w:r>
          </w:p>
        </w:tc>
        <w:tc>
          <w:tcPr>
            <w:tcW w:type="dxa" w:w="511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The same M4 applied to raw strings.</w:t>
            </w:r>
          </w:p>
        </w:tc>
        <w:tc>
          <w:tcPr>
            <w:tcW w:type="dxa" w:w="2808"/>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Measure the contribution of normalization.</w:t>
            </w:r>
          </w:p>
        </w:tc>
      </w:tr>
    </w:tbl>
    <w:p>
      <w:pPr>
        <w:spacing w:after="0"/>
      </w:pPr>
    </w:p>
    <w:p>
      <w:pPr>
        <w:pStyle w:val="Heading2"/>
        <w:keepNext/>
      </w:pPr>
      <w:r>
        <w:rPr>
          <w:rFonts w:ascii="Lato" w:hAnsi="Lato"/>
          <w:b/>
          <w:color w:val="000000"/>
        </w:rPr>
        <w:t>7.1 M0 Normalized Exact</w:t>
      </w:r>
    </w:p>
    <w:tbl>
      <w:tblPr>
        <w:tblW w:type="auto" w:w="0"/>
        <w:jc w:val="center"/>
        <w:tblLook w:firstColumn="1" w:firstRow="1" w:lastColumn="0" w:lastRow="0" w:noHBand="0" w:noVBand="1" w:val="04A0"/>
      </w:tblPr>
      <w:tblGrid>
        <w:gridCol w:w="9916"/>
      </w:tblGrid>
      <w:tr>
        <w:tc>
          <w:tcPr>
            <w:tcW w:type="dxa" w:w="9916"/>
            <w:shd w:fill="F3F5F7"/>
            <w:tcMar>
              <w:top w:w="90" w:type="dxa"/>
              <w:start w:w="120" w:type="dxa"/>
              <w:bottom w:w="90" w:type="dxa"/>
              <w:end w:w="120" w:type="dxa"/>
            </w:tcMar>
            <w:tcBorders>
              <w:top w:val="single" w:sz="5" w:color="D6DDE3"/>
              <w:bottom w:val="single" w:sz="5" w:color="D6DDE3"/>
              <w:left w:val="single" w:sz="5" w:color="D6DDE3"/>
              <w:right w:val="single" w:sz="5" w:color="D6DDE3"/>
            </w:tcBorders>
          </w:tcPr>
          <w:p>
            <w:pPr>
              <w:spacing w:after="0"/>
            </w:pPr>
            <w:r>
              <w:rPr>
                <w:rFonts w:ascii="Liberation Mono" w:hAnsi="Liberation Mono"/>
                <w:color w:val="17324D"/>
                <w:sz w:val="17"/>
              </w:rPr>
              <w:t>field_score(x, y) = 1 if normalized(x) == normalized(y) else 0</w:t>
            </w:r>
            <w:r>
              <w:br/>
            </w:r>
            <w:r>
              <w:rPr>
                <w:rFonts w:ascii="Liberation Mono" w:hAnsi="Liberation Mono"/>
                <w:color w:val="17324D"/>
                <w:sz w:val="17"/>
              </w:rPr>
            </w:r>
            <w:r>
              <w:br/>
            </w:r>
            <w:r>
              <w:rPr>
                <w:rFonts w:ascii="Liberation Mono" w:hAnsi="Liberation Mono"/>
                <w:color w:val="17324D"/>
                <w:sz w:val="17"/>
              </w:rPr>
              <w:t>Purpose: establish how quickly exact comparison degrades under controlled noise.</w:t>
            </w:r>
          </w:p>
        </w:tc>
      </w:tr>
    </w:tbl>
    <w:p>
      <w:pPr>
        <w:spacing w:after="0"/>
      </w:pPr>
    </w:p>
    <w:p>
      <w:pPr>
        <w:pStyle w:val="Heading2"/>
        <w:keepNext/>
      </w:pPr>
      <w:r>
        <w:rPr>
          <w:rFonts w:ascii="Lato" w:hAnsi="Lato"/>
          <w:b/>
          <w:color w:val="000000"/>
        </w:rPr>
        <w:t>7.2 M1 Tolerant Deterministic</w:t>
      </w:r>
    </w:p>
    <w:tbl>
      <w:tblPr>
        <w:tblW w:type="auto" w:w="0"/>
        <w:jc w:val="center"/>
        <w:tblLook w:firstColumn="1" w:firstRow="1" w:lastColumn="0" w:lastRow="0" w:noHBand="0" w:noVBand="1" w:val="04A0"/>
      </w:tblPr>
      <w:tblGrid>
        <w:gridCol w:w="9916"/>
      </w:tblGrid>
      <w:tr>
        <w:tc>
          <w:tcPr>
            <w:tcW w:type="dxa" w:w="9916"/>
            <w:shd w:fill="F3F5F7"/>
            <w:tcMar>
              <w:top w:w="90" w:type="dxa"/>
              <w:start w:w="120" w:type="dxa"/>
              <w:bottom w:w="90" w:type="dxa"/>
              <w:end w:w="120" w:type="dxa"/>
            </w:tcMar>
            <w:tcBorders>
              <w:top w:val="single" w:sz="5" w:color="D6DDE3"/>
              <w:bottom w:val="single" w:sz="5" w:color="D6DDE3"/>
              <w:left w:val="single" w:sz="5" w:color="D6DDE3"/>
              <w:right w:val="single" w:sz="5" w:color="D6DDE3"/>
            </w:tcBorders>
          </w:tcPr>
          <w:p>
            <w:pPr>
              <w:spacing w:after="0"/>
            </w:pPr>
            <w:r>
              <w:rPr>
                <w:rFonts w:ascii="Liberation Mono" w:hAnsi="Liberation Mono"/>
                <w:color w:val="17324D"/>
                <w:sz w:val="17"/>
              </w:rPr>
              <w:t>amount_score = 1 if abs(bank.amount - candidate.amount) &lt;= 0.10 EUR else 0</w:t>
            </w:r>
            <w:r>
              <w:br/>
            </w:r>
            <w:r>
              <w:rPr>
                <w:rFonts w:ascii="Liberation Mono" w:hAnsi="Liberation Mono"/>
                <w:color w:val="17324D"/>
                <w:sz w:val="17"/>
              </w:rPr>
              <w:t>date_score   = 1 if abs(bank.date - candidate.date) &lt;= 3 days else 0</w:t>
            </w:r>
            <w:r>
              <w:br/>
            </w:r>
            <w:r>
              <w:rPr>
                <w:rFonts w:ascii="Liberation Mono" w:hAnsi="Liberation Mono"/>
                <w:color w:val="17324D"/>
                <w:sz w:val="17"/>
              </w:rPr>
              <w:t>text_score   = exact normalized agreement</w:t>
            </w:r>
          </w:p>
        </w:tc>
      </w:tr>
    </w:tbl>
    <w:p>
      <w:pPr>
        <w:spacing w:after="0"/>
      </w:pPr>
    </w:p>
    <w:p>
      <w:pPr>
        <w:spacing w:after="100"/>
      </w:pPr>
      <w:r>
        <w:rPr>
          <w:rFonts w:ascii="Lato" w:hAnsi="Lato"/>
        </w:rPr>
        <w:t>The thresholds correspond to the upper limit of isolated perturbations in the benchmark. They are protocol parameters, not universal conclusions about bank reconciliation.</w:t>
      </w:r>
    </w:p>
    <w:p>
      <w:pPr>
        <w:pStyle w:val="Heading2"/>
        <w:keepNext/>
      </w:pPr>
      <w:r>
        <w:rPr>
          <w:rFonts w:ascii="Lato" w:hAnsi="Lato"/>
          <w:b/>
          <w:color w:val="000000"/>
        </w:rPr>
        <w:t>7.3 M2 Jaro Winkler Record Matcher</w:t>
      </w:r>
    </w:p>
    <w:tbl>
      <w:tblPr>
        <w:tblW w:type="auto" w:w="0"/>
        <w:jc w:val="center"/>
        <w:tblLook w:firstColumn="1" w:firstRow="1" w:lastColumn="0" w:lastRow="0" w:noHBand="0" w:noVBand="1" w:val="04A0"/>
      </w:tblPr>
      <w:tblGrid>
        <w:gridCol w:w="9916"/>
      </w:tblGrid>
      <w:tr>
        <w:tc>
          <w:tcPr>
            <w:tcW w:type="dxa" w:w="9916"/>
            <w:shd w:fill="F3F5F7"/>
            <w:tcMar>
              <w:top w:w="90" w:type="dxa"/>
              <w:start w:w="120" w:type="dxa"/>
              <w:bottom w:w="90" w:type="dxa"/>
              <w:end w:w="120" w:type="dxa"/>
            </w:tcMar>
            <w:tcBorders>
              <w:top w:val="single" w:sz="5" w:color="D6DDE3"/>
              <w:bottom w:val="single" w:sz="5" w:color="D6DDE3"/>
              <w:left w:val="single" w:sz="5" w:color="D6DDE3"/>
              <w:right w:val="single" w:sz="5" w:color="D6DDE3"/>
            </w:tcBorders>
          </w:tcPr>
          <w:p>
            <w:pPr>
              <w:spacing w:after="0"/>
            </w:pPr>
            <w:r>
              <w:rPr>
                <w:rFonts w:ascii="Liberation Mono" w:hAnsi="Liberation Mono"/>
                <w:color w:val="17324D"/>
                <w:sz w:val="17"/>
              </w:rPr>
              <w:t>amount/date -&gt; same tolerant comparison as M1</w:t>
            </w:r>
            <w:r>
              <w:br/>
            </w:r>
            <w:r>
              <w:rPr>
                <w:rFonts w:ascii="Liberation Mono" w:hAnsi="Liberation Mono"/>
                <w:color w:val="17324D"/>
                <w:sz w:val="17"/>
              </w:rPr>
              <w:t>reference   -&gt; Jaro-Winkler</w:t>
            </w:r>
            <w:r>
              <w:br/>
            </w:r>
            <w:r>
              <w:rPr>
                <w:rFonts w:ascii="Liberation Mono" w:hAnsi="Liberation Mono"/>
                <w:color w:val="17324D"/>
                <w:sz w:val="17"/>
              </w:rPr>
              <w:t>entity      -&gt; Jaro-Winkler</w:t>
            </w:r>
            <w:r>
              <w:br/>
            </w:r>
            <w:r>
              <w:rPr>
                <w:rFonts w:ascii="Liberation Mono" w:hAnsi="Liberation Mono"/>
                <w:color w:val="17324D"/>
                <w:sz w:val="17"/>
              </w:rPr>
              <w:t>description -&gt; Jaro-Winkler</w:t>
            </w:r>
          </w:p>
        </w:tc>
      </w:tr>
    </w:tbl>
    <w:p>
      <w:pPr>
        <w:spacing w:after="0"/>
      </w:pPr>
    </w:p>
    <w:p>
      <w:pPr>
        <w:spacing w:after="100"/>
      </w:pPr>
      <w:r>
        <w:rPr>
          <w:rFonts w:ascii="Lato" w:hAnsi="Lato"/>
        </w:rPr>
        <w:t>M2 tests the behaviour of a single text metric applied uniformly, including to descriptions where Jaro-Winkler may not be the most natural choice.</w:t>
      </w:r>
    </w:p>
    <w:p>
      <w:pPr>
        <w:pStyle w:val="Heading2"/>
        <w:keepNext/>
      </w:pPr>
      <w:r>
        <w:rPr>
          <w:rFonts w:ascii="Lato" w:hAnsi="Lato"/>
          <w:b/>
          <w:color w:val="000000"/>
        </w:rPr>
        <w:t>7.4 M3 Character Trigram Record Matcher</w:t>
      </w:r>
    </w:p>
    <w:tbl>
      <w:tblPr>
        <w:tblW w:type="auto" w:w="0"/>
        <w:jc w:val="center"/>
        <w:tblLook w:firstColumn="1" w:firstRow="1" w:lastColumn="0" w:lastRow="0" w:noHBand="0" w:noVBand="1" w:val="04A0"/>
      </w:tblPr>
      <w:tblGrid>
        <w:gridCol w:w="9916"/>
      </w:tblGrid>
      <w:tr>
        <w:tc>
          <w:tcPr>
            <w:tcW w:type="dxa" w:w="9916"/>
            <w:shd w:fill="F3F5F7"/>
            <w:tcMar>
              <w:top w:w="90" w:type="dxa"/>
              <w:start w:w="120" w:type="dxa"/>
              <w:bottom w:w="90" w:type="dxa"/>
              <w:end w:w="120" w:type="dxa"/>
            </w:tcMar>
            <w:tcBorders>
              <w:top w:val="single" w:sz="5" w:color="D6DDE3"/>
              <w:bottom w:val="single" w:sz="5" w:color="D6DDE3"/>
              <w:left w:val="single" w:sz="5" w:color="D6DDE3"/>
              <w:right w:val="single" w:sz="5" w:color="D6DDE3"/>
            </w:tcBorders>
          </w:tcPr>
          <w:p>
            <w:pPr>
              <w:spacing w:after="0"/>
            </w:pPr>
            <w:r>
              <w:rPr>
                <w:rFonts w:ascii="Liberation Mono" w:hAnsi="Liberation Mono"/>
                <w:color w:val="17324D"/>
                <w:sz w:val="17"/>
              </w:rPr>
              <w:t>amount/date -&gt; same tolerant comparison as M1</w:t>
            </w:r>
            <w:r>
              <w:br/>
            </w:r>
            <w:r>
              <w:rPr>
                <w:rFonts w:ascii="Liberation Mono" w:hAnsi="Liberation Mono"/>
                <w:color w:val="17324D"/>
                <w:sz w:val="17"/>
              </w:rPr>
              <w:t>reference   -&gt; character 3-gram cosine</w:t>
            </w:r>
            <w:r>
              <w:br/>
            </w:r>
            <w:r>
              <w:rPr>
                <w:rFonts w:ascii="Liberation Mono" w:hAnsi="Liberation Mono"/>
                <w:color w:val="17324D"/>
                <w:sz w:val="17"/>
              </w:rPr>
              <w:t>entity      -&gt; character 3-gram cosine</w:t>
            </w:r>
            <w:r>
              <w:br/>
            </w:r>
            <w:r>
              <w:rPr>
                <w:rFonts w:ascii="Liberation Mono" w:hAnsi="Liberation Mono"/>
                <w:color w:val="17324D"/>
                <w:sz w:val="17"/>
              </w:rPr>
              <w:t>description -&gt; character 3-gram cosine</w:t>
            </w:r>
          </w:p>
        </w:tc>
      </w:tr>
    </w:tbl>
    <w:p>
      <w:pPr>
        <w:spacing w:after="0"/>
      </w:pPr>
    </w:p>
    <w:p>
      <w:pPr>
        <w:spacing w:after="100"/>
      </w:pPr>
      <w:r>
        <w:rPr>
          <w:rFonts w:ascii="Lato" w:hAnsi="Lato"/>
        </w:rPr>
        <w:t>M3 provides a counterpart to M2: it uses a local vector representation for all text fields, even though Reference and Entity are short strings.</w:t>
      </w:r>
    </w:p>
    <w:p>
      <w:pPr>
        <w:pStyle w:val="Heading2"/>
        <w:keepNext/>
      </w:pPr>
      <w:r>
        <w:rPr>
          <w:rFonts w:ascii="Lato" w:hAnsi="Lato"/>
          <w:b/>
          <w:color w:val="000000"/>
        </w:rPr>
        <w:t>7.5 M4 Field Aware Hybrid</w:t>
      </w:r>
    </w:p>
    <w:tbl>
      <w:tblPr>
        <w:tblW w:type="auto" w:w="0"/>
        <w:jc w:val="center"/>
        <w:tblLook w:firstColumn="1" w:firstRow="1" w:lastColumn="0" w:lastRow="0" w:noHBand="0" w:noVBand="1" w:val="04A0"/>
      </w:tblPr>
      <w:tblGrid>
        <w:gridCol w:w="9916"/>
      </w:tblGrid>
      <w:tr>
        <w:tc>
          <w:tcPr>
            <w:tcW w:type="dxa" w:w="9916"/>
            <w:shd w:fill="F3F5F7"/>
            <w:tcMar>
              <w:top w:w="90" w:type="dxa"/>
              <w:start w:w="120" w:type="dxa"/>
              <w:bottom w:w="90" w:type="dxa"/>
              <w:end w:w="120" w:type="dxa"/>
            </w:tcMar>
            <w:tcBorders>
              <w:top w:val="single" w:sz="5" w:color="D6DDE3"/>
              <w:bottom w:val="single" w:sz="5" w:color="D6DDE3"/>
              <w:left w:val="single" w:sz="5" w:color="D6DDE3"/>
              <w:right w:val="single" w:sz="5" w:color="D6DDE3"/>
            </w:tcBorders>
          </w:tcPr>
          <w:p>
            <w:pPr>
              <w:spacing w:after="0"/>
            </w:pPr>
            <w:r>
              <w:rPr>
                <w:rFonts w:ascii="Liberation Mono" w:hAnsi="Liberation Mono"/>
                <w:color w:val="17324D"/>
                <w:sz w:val="17"/>
              </w:rPr>
              <w:t>amount      -&gt; tolerance comparator</w:t>
            </w:r>
            <w:r>
              <w:br/>
            </w:r>
            <w:r>
              <w:rPr>
                <w:rFonts w:ascii="Liberation Mono" w:hAnsi="Liberation Mono"/>
                <w:color w:val="17324D"/>
                <w:sz w:val="17"/>
              </w:rPr>
              <w:t>date        -&gt; tolerance comparator</w:t>
            </w:r>
            <w:r>
              <w:br/>
            </w:r>
            <w:r>
              <w:rPr>
                <w:rFonts w:ascii="Liberation Mono" w:hAnsi="Liberation Mono"/>
                <w:color w:val="17324D"/>
                <w:sz w:val="17"/>
              </w:rPr>
              <w:t>reference   -&gt; Jaro-Winkler</w:t>
            </w:r>
            <w:r>
              <w:br/>
            </w:r>
            <w:r>
              <w:rPr>
                <w:rFonts w:ascii="Liberation Mono" w:hAnsi="Liberation Mono"/>
                <w:color w:val="17324D"/>
                <w:sz w:val="17"/>
              </w:rPr>
              <w:t>entity      -&gt; Jaro-Winkler</w:t>
            </w:r>
            <w:r>
              <w:br/>
            </w:r>
            <w:r>
              <w:rPr>
                <w:rFonts w:ascii="Liberation Mono" w:hAnsi="Liberation Mono"/>
                <w:color w:val="17324D"/>
                <w:sz w:val="17"/>
              </w:rPr>
              <w:t>description -&gt; character 3-gram cosine</w:t>
            </w:r>
            <w:r>
              <w:br/>
            </w:r>
            <w:r>
              <w:rPr>
                <w:rFonts w:ascii="Liberation Mono" w:hAnsi="Liberation Mono"/>
                <w:color w:val="17324D"/>
                <w:sz w:val="17"/>
              </w:rPr>
            </w:r>
            <w:r>
              <w:br/>
            </w:r>
            <w:r>
              <w:rPr>
                <w:rFonts w:ascii="Liberation Mono" w:hAnsi="Liberation Mono"/>
                <w:color w:val="17324D"/>
                <w:sz w:val="17"/>
              </w:rPr>
              <w:t>all available fields -&gt; equal weight</w:t>
            </w:r>
          </w:p>
        </w:tc>
      </w:tr>
    </w:tbl>
    <w:p>
      <w:pPr>
        <w:spacing w:after="0"/>
      </w:pPr>
    </w:p>
    <w:p>
      <w:pPr>
        <w:spacing w:after="100"/>
      </w:pPr>
      <w:r>
        <w:rPr>
          <w:rFonts w:ascii="Lato" w:hAnsi="Lato"/>
        </w:rPr>
        <w:t>There are no weights such as 0.30/0.15/etc. because there is no training set to justify them. Equal weighting reduces arbitrariness. Learned weights may be future work once real historical reconciliations are available.</w:t>
      </w:r>
    </w:p>
    <w:p>
      <w:pPr>
        <w:pStyle w:val="Heading2"/>
        <w:keepNext/>
      </w:pPr>
      <w:r>
        <w:rPr>
          <w:rFonts w:ascii="Lato" w:hAnsi="Lato"/>
          <w:b/>
          <w:color w:val="000000"/>
        </w:rPr>
        <w:t>7.6 Dependency choice</w:t>
      </w:r>
    </w:p>
    <w:p>
      <w:pPr>
        <w:pStyle w:val="ListBullet"/>
        <w:spacing w:after="40"/>
        <w:ind w:left="340" w:hanging="142"/>
      </w:pPr>
      <w:r>
        <w:rPr>
          <w:rFonts w:ascii="Lato" w:hAnsi="Lato"/>
        </w:rPr>
        <w:t>Use a maintained Jaro-Winkler implementation, such as RapidFuzz, instead of reimplementing a formula that is prone to errors.</w:t>
      </w:r>
    </w:p>
    <w:p>
      <w:pPr>
        <w:pStyle w:val="ListBullet"/>
        <w:spacing w:after="40"/>
        <w:ind w:left="340" w:hanging="142"/>
      </w:pPr>
      <w:r>
        <w:rPr>
          <w:rFonts w:ascii="Lato" w:hAnsi="Lato"/>
        </w:rPr>
        <w:t>Pin the version actually installed in a lock file during implementation.</w:t>
      </w:r>
    </w:p>
    <w:p>
      <w:pPr>
        <w:pStyle w:val="ListBullet"/>
        <w:spacing w:after="40"/>
        <w:ind w:left="340" w:hanging="142"/>
      </w:pPr>
      <w:r>
        <w:rPr>
          <w:rFonts w:ascii="Lato" w:hAnsi="Lato"/>
        </w:rPr>
        <w:t>Implement character-trigram cosine with Counter and math from the standard library; scikit-learn is unnecessary.</w:t>
      </w:r>
    </w:p>
    <w:p>
      <w:pPr>
        <w:pStyle w:val="ListBullet"/>
        <w:spacing w:after="40"/>
        <w:ind w:left="340" w:hanging="142"/>
      </w:pPr>
      <w:r>
        <w:rPr>
          <w:rFonts w:ascii="Lato" w:hAnsi="Lato"/>
        </w:rPr>
        <w:t>Use Decimal and date from the standard library for financial and temporal data.</w:t>
      </w:r>
    </w:p>
    <w:p>
      <w:pPr>
        <w:pStyle w:val="ListBullet"/>
        <w:spacing w:after="40"/>
        <w:ind w:left="340" w:hanging="142"/>
      </w:pPr>
      <w:r>
        <w:rPr>
          <w:rFonts w:ascii="Lato" w:hAnsi="Lato"/>
        </w:rPr>
        <w:t>Use pytest only for tests; produce CSV/JSON with the standard library.</w:t>
      </w:r>
    </w:p>
    <w:p>
      <w:pPr>
        <w:pStyle w:val="Heading1"/>
        <w:keepNext/>
      </w:pPr>
      <w:r>
        <w:rPr>
          <w:rFonts w:ascii="Lato" w:hAnsi="Lato"/>
          <w:b/>
          <w:color w:val="000000"/>
        </w:rPr>
        <w:t>8 Evaluation</w:t>
      </w:r>
    </w:p>
    <w:p>
      <w:pPr>
        <w:pStyle w:val="Heading2"/>
        <w:keepNext/>
      </w:pPr>
      <w:r>
        <w:rPr>
          <w:rFonts w:ascii="Lato" w:hAnsi="Lato"/>
          <w:b/>
          <w:color w:val="000000"/>
        </w:rPr>
        <w:t>8.1 Unique Top 1 Accuracy</w:t>
      </w:r>
    </w:p>
    <w:p>
      <w:pPr>
        <w:spacing w:after="100"/>
      </w:pPr>
      <w:r>
        <w:rPr>
          <w:rFonts w:ascii="Lato" w:hAnsi="Lato"/>
        </w:rPr>
        <w:t>A case counts as correct only when the true candidate has the highest score and is not tied with another candidate. This definition brings the metric closer to a safe automatic decision.</w:t>
      </w:r>
    </w:p>
    <w:tbl>
      <w:tblPr>
        <w:tblW w:type="auto" w:w="0"/>
        <w:jc w:val="center"/>
        <w:tblLook w:firstColumn="1" w:firstRow="1" w:lastColumn="0" w:lastRow="0" w:noHBand="0" w:noVBand="1" w:val="04A0"/>
      </w:tblPr>
      <w:tblGrid>
        <w:gridCol w:w="9916"/>
      </w:tblGrid>
      <w:tr>
        <w:tc>
          <w:tcPr>
            <w:tcW w:type="dxa" w:w="9916"/>
            <w:shd w:fill="F3F5F7"/>
            <w:tcMar>
              <w:top w:w="90" w:type="dxa"/>
              <w:start w:w="120" w:type="dxa"/>
              <w:bottom w:w="90" w:type="dxa"/>
              <w:end w:w="120" w:type="dxa"/>
            </w:tcMar>
            <w:tcBorders>
              <w:top w:val="single" w:sz="5" w:color="D6DDE3"/>
              <w:bottom w:val="single" w:sz="5" w:color="D6DDE3"/>
              <w:left w:val="single" w:sz="5" w:color="D6DDE3"/>
              <w:right w:val="single" w:sz="5" w:color="D6DDE3"/>
            </w:tcBorders>
          </w:tcPr>
          <w:p>
            <w:pPr>
              <w:spacing w:after="0"/>
            </w:pPr>
            <w:r>
              <w:rPr>
                <w:rFonts w:ascii="Liberation Mono" w:hAnsi="Liberation Mono"/>
                <w:color w:val="17324D"/>
                <w:sz w:val="17"/>
              </w:rPr>
              <w:t>unique_top1 = 1 if:</w:t>
            </w:r>
            <w:r>
              <w:br/>
            </w:r>
            <w:r>
              <w:rPr>
                <w:rFonts w:ascii="Liberation Mono" w:hAnsi="Liberation Mono"/>
                <w:color w:val="17324D"/>
                <w:sz w:val="17"/>
              </w:rPr>
              <w:t xml:space="preserve">    true_score == max_score</w:t>
            </w:r>
            <w:r>
              <w:br/>
            </w:r>
            <w:r>
              <w:rPr>
                <w:rFonts w:ascii="Liberation Mono" w:hAnsi="Liberation Mono"/>
                <w:color w:val="17324D"/>
                <w:sz w:val="17"/>
              </w:rPr>
              <w:t xml:space="preserve">    and exactly one candidate has max_score</w:t>
            </w:r>
            <w:r>
              <w:br/>
            </w:r>
            <w:r>
              <w:rPr>
                <w:rFonts w:ascii="Liberation Mono" w:hAnsi="Liberation Mono"/>
                <w:color w:val="17324D"/>
                <w:sz w:val="17"/>
              </w:rPr>
              <w:t>else 0</w:t>
            </w:r>
          </w:p>
        </w:tc>
      </w:tr>
    </w:tbl>
    <w:p>
      <w:pPr>
        <w:spacing w:after="0"/>
      </w:pPr>
    </w:p>
    <w:p>
      <w:pPr>
        <w:pStyle w:val="Heading2"/>
        <w:keepNext/>
      </w:pPr>
      <w:r>
        <w:rPr>
          <w:rFonts w:ascii="Lato" w:hAnsi="Lato"/>
          <w:b/>
          <w:color w:val="000000"/>
        </w:rPr>
        <w:t>8.2 Mean Reciprocal Rank</w:t>
      </w:r>
    </w:p>
    <w:tbl>
      <w:tblPr>
        <w:tblW w:type="auto" w:w="0"/>
        <w:jc w:val="center"/>
        <w:tblLook w:firstColumn="1" w:firstRow="1" w:lastColumn="0" w:lastRow="0" w:noHBand="0" w:noVBand="1" w:val="04A0"/>
      </w:tblPr>
      <w:tblGrid>
        <w:gridCol w:w="9916"/>
      </w:tblGrid>
      <w:tr>
        <w:tc>
          <w:tcPr>
            <w:tcW w:type="dxa" w:w="9916"/>
            <w:shd w:fill="F3F5F7"/>
            <w:tcMar>
              <w:top w:w="90" w:type="dxa"/>
              <w:start w:w="120" w:type="dxa"/>
              <w:bottom w:w="90" w:type="dxa"/>
              <w:end w:w="120" w:type="dxa"/>
            </w:tcMar>
            <w:tcBorders>
              <w:top w:val="single" w:sz="5" w:color="D6DDE3"/>
              <w:bottom w:val="single" w:sz="5" w:color="D6DDE3"/>
              <w:left w:val="single" w:sz="5" w:color="D6DDE3"/>
              <w:right w:val="single" w:sz="5" w:color="D6DDE3"/>
            </w:tcBorders>
          </w:tcPr>
          <w:p>
            <w:pPr>
              <w:spacing w:after="0"/>
            </w:pPr>
            <w:r>
              <w:rPr>
                <w:rFonts w:ascii="Liberation Mono" w:hAnsi="Liberation Mono"/>
                <w:color w:val="17324D"/>
                <w:sz w:val="17"/>
              </w:rPr>
              <w:t>RR(case) = 1 / rank_of_true_candidate</w:t>
            </w:r>
            <w:r>
              <w:br/>
            </w:r>
            <w:r>
              <w:rPr>
                <w:rFonts w:ascii="Liberation Mono" w:hAnsi="Liberation Mono"/>
                <w:color w:val="17324D"/>
                <w:sz w:val="17"/>
              </w:rPr>
              <w:t>MRR      = mean(RR(case) for all cases)</w:t>
            </w:r>
            <w:r>
              <w:br/>
            </w:r>
            <w:r>
              <w:rPr>
                <w:rFonts w:ascii="Liberation Mono" w:hAnsi="Liberation Mono"/>
                <w:color w:val="17324D"/>
                <w:sz w:val="17"/>
              </w:rPr>
            </w:r>
            <w:r>
              <w:br/>
            </w:r>
            <w:r>
              <w:rPr>
                <w:rFonts w:ascii="Liberation Mono" w:hAnsi="Liberation Mono"/>
                <w:color w:val="17324D"/>
                <w:sz w:val="17"/>
              </w:rPr>
              <w:t>tie example: two candidates tied at positions 1 and 2 -&gt; average rank = 1.5</w:t>
            </w:r>
          </w:p>
        </w:tc>
      </w:tr>
    </w:tbl>
    <w:p>
      <w:pPr>
        <w:spacing w:after="0"/>
      </w:pPr>
    </w:p>
    <w:p>
      <w:pPr>
        <w:pStyle w:val="Heading2"/>
        <w:keepNext/>
      </w:pPr>
      <w:r>
        <w:rPr>
          <w:rFonts w:ascii="Lato" w:hAnsi="Lato"/>
          <w:b/>
          <w:color w:val="000000"/>
        </w:rPr>
        <w:t>8.3 Tie rate</w:t>
      </w:r>
    </w:p>
    <w:p>
      <w:pPr>
        <w:spacing w:after="100"/>
      </w:pPr>
      <w:r>
        <w:rPr>
          <w:rFonts w:ascii="Lato" w:hAnsi="Lato"/>
        </w:rPr>
        <w:t>Percentage of cases with a tie at the highest score. This is a useful diagnostic because a method may achieve reasonable MRR while still producing too many ambiguous decisions.</w:t>
      </w:r>
    </w:p>
    <w:p>
      <w:pPr>
        <w:pStyle w:val="Heading2"/>
        <w:keepNext/>
      </w:pPr>
      <w:r>
        <w:rPr>
          <w:rFonts w:ascii="Lato" w:hAnsi="Lato"/>
          <w:b/>
          <w:color w:val="000000"/>
        </w:rPr>
        <w:t>8.4 Aggregating results</w:t>
      </w:r>
    </w:p>
    <w:p>
      <w:pPr>
        <w:pStyle w:val="ListBullet"/>
        <w:spacing w:after="40"/>
        <w:ind w:left="340" w:hanging="142"/>
      </w:pPr>
      <w:r>
        <w:rPr>
          <w:rFonts w:ascii="Lato" w:hAnsi="Lato"/>
        </w:rPr>
        <w:t>Compute metrics by method, seed and scenario.</w:t>
      </w:r>
    </w:p>
    <w:p>
      <w:pPr>
        <w:pStyle w:val="ListBullet"/>
        <w:spacing w:after="40"/>
        <w:ind w:left="340" w:hanging="142"/>
      </w:pPr>
      <w:r>
        <w:rPr>
          <w:rFonts w:ascii="Lato" w:hAnsi="Lato"/>
        </w:rPr>
        <w:t>Report the mean across the five seeds.</w:t>
      </w:r>
    </w:p>
    <w:p>
      <w:pPr>
        <w:pStyle w:val="ListBullet"/>
        <w:spacing w:after="40"/>
        <w:ind w:left="340" w:hanging="142"/>
      </w:pPr>
      <w:r>
        <w:rPr>
          <w:rFonts w:ascii="Lato" w:hAnsi="Lato"/>
        </w:rPr>
        <w:t>Report the overall standard deviation; report it by scenario only if it fits in the paper.</w:t>
      </w:r>
    </w:p>
    <w:p>
      <w:pPr>
        <w:pStyle w:val="ListBullet"/>
        <w:spacing w:after="40"/>
        <w:ind w:left="340" w:hanging="142"/>
      </w:pPr>
      <w:r>
        <w:rPr>
          <w:rFonts w:ascii="Lato" w:hAnsi="Lato"/>
        </w:rPr>
        <w:t>Save per-case results for error analysis.</w:t>
      </w:r>
    </w:p>
    <w:p>
      <w:pPr>
        <w:pStyle w:val="ListBullet"/>
        <w:spacing w:after="40"/>
        <w:ind w:left="340" w:hanging="142"/>
      </w:pPr>
      <w:r>
        <w:rPr>
          <w:rFonts w:ascii="Lato" w:hAnsi="Lato"/>
        </w:rPr>
        <w:t>Do not change the benchmark or its parameters after observing which method wins, except for a documented bug fix.</w:t>
      </w:r>
    </w:p>
    <w:tbl>
      <w:tblPr>
        <w:tblW w:type="auto" w:w="0"/>
        <w:jc w:val="center"/>
        <w:tblLayout w:type="fixed"/>
        <w:tblLook w:firstColumn="1" w:firstRow="1" w:lastColumn="0" w:lastRow="0" w:noHBand="0" w:noVBand="1" w:val="04A0"/>
      </w:tblPr>
      <w:tblGrid>
        <w:gridCol w:w="992"/>
        <w:gridCol w:w="992"/>
        <w:gridCol w:w="992"/>
        <w:gridCol w:w="992"/>
        <w:gridCol w:w="992"/>
        <w:gridCol w:w="992"/>
        <w:gridCol w:w="992"/>
        <w:gridCol w:w="992"/>
        <w:gridCol w:w="992"/>
        <w:gridCol w:w="992"/>
      </w:tblGrid>
      <w:tr>
        <w:trPr>
          <w:tblHeader w:val="true"/>
        </w:trPr>
        <w:tc>
          <w:tcPr>
            <w:tcW w:type="dxa" w:w="1728"/>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4"/>
              </w:rPr>
              <w:t>Method</w:t>
            </w:r>
          </w:p>
        </w:tc>
        <w:tc>
          <w:tcPr>
            <w:tcW w:type="dxa" w:w="792"/>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4"/>
              </w:rPr>
              <w:t>Clean</w:t>
            </w:r>
          </w:p>
        </w:tc>
        <w:tc>
          <w:tcPr>
            <w:tcW w:type="dxa" w:w="792"/>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4"/>
              </w:rPr>
              <w:t>Amount</w:t>
            </w:r>
          </w:p>
        </w:tc>
        <w:tc>
          <w:tcPr>
            <w:tcW w:type="dxa" w:w="720"/>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4"/>
              </w:rPr>
              <w:t>Date</w:t>
            </w:r>
          </w:p>
        </w:tc>
        <w:tc>
          <w:tcPr>
            <w:tcW w:type="dxa" w:w="979"/>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4"/>
              </w:rPr>
              <w:t>Reference</w:t>
            </w:r>
          </w:p>
        </w:tc>
        <w:tc>
          <w:tcPr>
            <w:tcW w:type="dxa" w:w="792"/>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4"/>
              </w:rPr>
              <w:t>Entity</w:t>
            </w:r>
          </w:p>
        </w:tc>
        <w:tc>
          <w:tcPr>
            <w:tcW w:type="dxa" w:w="1037"/>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4"/>
              </w:rPr>
              <w:t>Description</w:t>
            </w:r>
          </w:p>
        </w:tc>
        <w:tc>
          <w:tcPr>
            <w:tcW w:type="dxa" w:w="835"/>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4"/>
              </w:rPr>
              <w:t>Missing</w:t>
            </w:r>
          </w:p>
        </w:tc>
        <w:tc>
          <w:tcPr>
            <w:tcW w:type="dxa" w:w="936"/>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4"/>
              </w:rPr>
              <w:t>Combined</w:t>
            </w:r>
          </w:p>
        </w:tc>
        <w:tc>
          <w:tcPr>
            <w:tcW w:type="dxa" w:w="749"/>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4"/>
              </w:rPr>
              <w:t>MRR</w:t>
            </w:r>
          </w:p>
        </w:tc>
      </w:tr>
      <w:tr>
        <w:trPr>
          <w:cantSplit/>
        </w:trPr>
        <w:tc>
          <w:tcPr>
            <w:tcW w:type="dxa" w:w="172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4"/>
              </w:rPr>
              <w:t>M0 Exact</w:t>
            </w:r>
          </w:p>
        </w:tc>
        <w:tc>
          <w:tcPr>
            <w:tcW w:type="dxa" w:w="79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79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72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979"/>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79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1037"/>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835"/>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93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749"/>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r>
      <w:tr>
        <w:trPr>
          <w:cantSplit/>
        </w:trPr>
        <w:tc>
          <w:tcPr>
            <w:tcW w:type="dxa" w:w="1728"/>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4"/>
              </w:rPr>
              <w:t>M1 Tolerant</w:t>
            </w:r>
          </w:p>
        </w:tc>
        <w:tc>
          <w:tcPr>
            <w:tcW w:type="dxa" w:w="79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79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72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979"/>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79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1037"/>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835"/>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93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749"/>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r>
      <w:tr>
        <w:trPr>
          <w:cantSplit/>
        </w:trPr>
        <w:tc>
          <w:tcPr>
            <w:tcW w:type="dxa" w:w="172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4"/>
              </w:rPr>
              <w:t>M2 Jaro-Winkler</w:t>
            </w:r>
          </w:p>
        </w:tc>
        <w:tc>
          <w:tcPr>
            <w:tcW w:type="dxa" w:w="79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79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72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979"/>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79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1037"/>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835"/>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93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749"/>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r>
      <w:tr>
        <w:trPr>
          <w:cantSplit/>
        </w:trPr>
        <w:tc>
          <w:tcPr>
            <w:tcW w:type="dxa" w:w="1728"/>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4"/>
              </w:rPr>
              <w:t>M3 3-gram</w:t>
            </w:r>
          </w:p>
        </w:tc>
        <w:tc>
          <w:tcPr>
            <w:tcW w:type="dxa" w:w="79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79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72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979"/>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79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1037"/>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835"/>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93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749"/>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r>
      <w:tr>
        <w:trPr>
          <w:cantSplit/>
        </w:trPr>
        <w:tc>
          <w:tcPr>
            <w:tcW w:type="dxa" w:w="172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4"/>
              </w:rPr>
              <w:t>M4 Hybrid</w:t>
            </w:r>
          </w:p>
        </w:tc>
        <w:tc>
          <w:tcPr>
            <w:tcW w:type="dxa" w:w="79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79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72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979"/>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79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1037"/>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835"/>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93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c>
          <w:tcPr>
            <w:tcW w:type="dxa" w:w="749"/>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4"/>
              </w:rPr>
              <w:t>-</w:t>
            </w:r>
          </w:p>
        </w:tc>
      </w:tr>
    </w:tbl>
    <w:p>
      <w:pPr>
        <w:spacing w:after="0"/>
      </w:pPr>
    </w:p>
    <w:tbl>
      <w:tblPr>
        <w:tblW w:type="auto" w:w="0"/>
        <w:jc w:val="center"/>
        <w:tblLayout w:type="autofit"/>
        <w:tblLook w:firstColumn="1" w:firstRow="1" w:lastColumn="0" w:lastRow="0" w:noHBand="0" w:noVBand="1" w:val="04A0"/>
      </w:tblPr>
      <w:tblGrid>
        <w:gridCol w:w="9916"/>
      </w:tblGrid>
      <w:tr>
        <w:trPr>
          <w:cantSplit/>
        </w:trPr>
        <w:tc>
          <w:tcPr>
            <w:tcW w:type="dxa" w:w="9916"/>
            <w:shd w:fill="E9F5F3"/>
            <w:tcMar>
              <w:top w:w="120" w:type="dxa"/>
              <w:start w:w="150" w:type="dxa"/>
              <w:bottom w:w="120" w:type="dxa"/>
              <w:end w:w="150" w:type="dxa"/>
            </w:tcMar>
            <w:tcBorders>
              <w:top w:val="single" w:sz="8" w:color="1B7F79"/>
              <w:bottom w:val="single" w:sz="8" w:color="1B7F79"/>
              <w:left w:val="single" w:sz="18" w:color="1B7F79"/>
              <w:right w:val="single" w:sz="8" w:color="1B7F79"/>
            </w:tcBorders>
          </w:tcPr>
          <w:p>
            <w:pPr>
              <w:spacing w:after="40"/>
            </w:pPr>
            <w:r>
              <w:rPr>
                <w:rFonts w:ascii="Lato" w:hAnsi="Lato"/>
                <w:b/>
                <w:color w:val="17324D"/>
              </w:rPr>
              <w:t>Criterion for success</w:t>
            </w:r>
          </w:p>
          <w:p>
            <w:pPr>
              <w:spacing w:after="0"/>
            </w:pPr>
            <w:r>
              <w:rPr>
                <w:rFonts w:ascii="Lato" w:hAnsi="Lato"/>
                <w:sz w:val="19"/>
              </w:rPr>
              <w:t>The experiment succeeds if it produces a reproducible comparison and explains where each method works or fails. M4 does not need to win in every scenario.</w:t>
            </w:r>
          </w:p>
        </w:tc>
      </w:tr>
    </w:tbl>
    <w:p>
      <w:pPr>
        <w:spacing w:after="0"/>
      </w:pPr>
    </w:p>
    <w:p>
      <w:pPr>
        <w:pStyle w:val="Heading1"/>
        <w:keepNext/>
      </w:pPr>
      <w:r>
        <w:rPr>
          <w:rFonts w:ascii="Lato" w:hAnsi="Lato"/>
          <w:b/>
          <w:color w:val="000000"/>
        </w:rPr>
        <w:t>9 Technical implementation plan</w:t>
      </w:r>
    </w:p>
    <w:p>
      <w:pPr>
        <w:pStyle w:val="Heading2"/>
        <w:keepNext/>
      </w:pPr>
      <w:r>
        <w:rPr>
          <w:rFonts w:ascii="Lato" w:hAnsi="Lato"/>
          <w:b/>
          <w:color w:val="000000"/>
        </w:rPr>
        <w:t>9.1 Technology and dependencies</w:t>
      </w:r>
    </w:p>
    <w:tbl>
      <w:tblPr>
        <w:tblW w:type="auto" w:w="0"/>
        <w:jc w:val="center"/>
        <w:tblLayout w:type="fixed"/>
        <w:tblLook w:firstColumn="1" w:firstRow="1" w:lastColumn="0" w:lastRow="0" w:noHBand="0" w:noVBand="1" w:val="04A0"/>
      </w:tblPr>
      <w:tblGrid>
        <w:gridCol w:w="3305"/>
        <w:gridCol w:w="3305"/>
        <w:gridCol w:w="3305"/>
      </w:tblGrid>
      <w:tr>
        <w:trPr>
          <w:tblHeader w:val="true"/>
        </w:trPr>
        <w:tc>
          <w:tcPr>
            <w:tcW w:type="dxa" w:w="1944"/>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Element</w:t>
            </w:r>
          </w:p>
        </w:tc>
        <w:tc>
          <w:tcPr>
            <w:tcW w:type="dxa" w:w="2376"/>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Choice</w:t>
            </w:r>
          </w:p>
        </w:tc>
        <w:tc>
          <w:tcPr>
            <w:tcW w:type="dxa" w:w="5400"/>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Reason</w:t>
            </w:r>
          </w:p>
        </w:tc>
      </w:tr>
      <w:tr>
        <w:trPr>
          <w:cantSplit/>
        </w:trPr>
        <w:tc>
          <w:tcPr>
            <w:tcW w:type="dxa" w:w="194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Language</w:t>
            </w:r>
          </w:p>
        </w:tc>
        <w:tc>
          <w:tcPr>
            <w:tcW w:type="dxa" w:w="237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Python 3.11+</w:t>
            </w:r>
          </w:p>
        </w:tc>
        <w:tc>
          <w:tcPr>
            <w:tcW w:type="dxa" w:w="540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Fast iteration, mature libraries and an experiment isolated from the product.</w:t>
            </w:r>
          </w:p>
        </w:tc>
      </w:tr>
      <w:tr>
        <w:trPr>
          <w:cantSplit/>
        </w:trPr>
        <w:tc>
          <w:tcPr>
            <w:tcW w:type="dxa" w:w="194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Jaro-Winkler</w:t>
            </w:r>
          </w:p>
        </w:tc>
        <w:tc>
          <w:tcPr>
            <w:tcW w:type="dxa" w:w="237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RapidFuzz</w:t>
            </w:r>
          </w:p>
        </w:tc>
        <w:tc>
          <w:tcPr>
            <w:tcW w:type="dxa" w:w="540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Maintained, normalized and efficient implementation.</w:t>
            </w:r>
          </w:p>
        </w:tc>
      </w:tr>
      <w:tr>
        <w:trPr>
          <w:cantSplit/>
        </w:trPr>
        <w:tc>
          <w:tcPr>
            <w:tcW w:type="dxa" w:w="194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Q-grams</w:t>
            </w:r>
          </w:p>
        </w:tc>
        <w:tc>
          <w:tcPr>
            <w:tcW w:type="dxa" w:w="237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Standard library</w:t>
            </w:r>
          </w:p>
        </w:tc>
        <w:tc>
          <w:tcPr>
            <w:tcW w:type="dxa" w:w="540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Counter + cosine are simple; avoid an unnecessary dependency.</w:t>
            </w:r>
          </w:p>
        </w:tc>
      </w:tr>
      <w:tr>
        <w:trPr>
          <w:cantSplit/>
        </w:trPr>
        <w:tc>
          <w:tcPr>
            <w:tcW w:type="dxa" w:w="194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Financial data</w:t>
            </w:r>
          </w:p>
        </w:tc>
        <w:tc>
          <w:tcPr>
            <w:tcW w:type="dxa" w:w="237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Decimal</w:t>
            </w:r>
          </w:p>
        </w:tc>
        <w:tc>
          <w:tcPr>
            <w:tcW w:type="dxa" w:w="540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Avoid binary floating-point imprecision.</w:t>
            </w:r>
          </w:p>
        </w:tc>
      </w:tr>
      <w:tr>
        <w:trPr>
          <w:cantSplit/>
        </w:trPr>
        <w:tc>
          <w:tcPr>
            <w:tcW w:type="dxa" w:w="194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Tests</w:t>
            </w:r>
          </w:p>
        </w:tc>
        <w:tc>
          <w:tcPr>
            <w:tcW w:type="dxa" w:w="237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pytest</w:t>
            </w:r>
          </w:p>
        </w:tc>
        <w:tc>
          <w:tcPr>
            <w:tcW w:type="dxa" w:w="540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Clear and fast tests.</w:t>
            </w:r>
          </w:p>
        </w:tc>
      </w:tr>
      <w:tr>
        <w:trPr>
          <w:cantSplit/>
        </w:trPr>
        <w:tc>
          <w:tcPr>
            <w:tcW w:type="dxa" w:w="194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Export</w:t>
            </w:r>
          </w:p>
        </w:tc>
        <w:tc>
          <w:tcPr>
            <w:tcW w:type="dxa" w:w="237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json, csv</w:t>
            </w:r>
          </w:p>
        </w:tc>
        <w:tc>
          <w:tcPr>
            <w:tcW w:type="dxa" w:w="540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Portable formats with no additional dependencies.</w:t>
            </w:r>
          </w:p>
        </w:tc>
      </w:tr>
    </w:tbl>
    <w:p>
      <w:pPr>
        <w:spacing w:after="0"/>
      </w:pPr>
    </w:p>
    <w:p>
      <w:pPr>
        <w:pStyle w:val="Heading2"/>
        <w:keepNext/>
      </w:pPr>
      <w:r>
        <w:rPr>
          <w:rFonts w:ascii="Lato" w:hAnsi="Lato"/>
          <w:b/>
          <w:color w:val="000000"/>
        </w:rPr>
        <w:t>9.2 Minimal project structure</w:t>
      </w:r>
    </w:p>
    <w:tbl>
      <w:tblPr>
        <w:tblW w:type="auto" w:w="0"/>
        <w:jc w:val="center"/>
        <w:tblLook w:firstColumn="1" w:firstRow="1" w:lastColumn="0" w:lastRow="0" w:noHBand="0" w:noVBand="1" w:val="04A0"/>
      </w:tblPr>
      <w:tblGrid>
        <w:gridCol w:w="9916"/>
      </w:tblGrid>
      <w:tr>
        <w:tc>
          <w:tcPr>
            <w:tcW w:type="dxa" w:w="9916"/>
            <w:shd w:fill="F3F5F7"/>
            <w:tcMar>
              <w:top w:w="90" w:type="dxa"/>
              <w:start w:w="120" w:type="dxa"/>
              <w:bottom w:w="90" w:type="dxa"/>
              <w:end w:w="120" w:type="dxa"/>
            </w:tcMar>
            <w:tcBorders>
              <w:top w:val="single" w:sz="5" w:color="D6DDE3"/>
              <w:bottom w:val="single" w:sz="5" w:color="D6DDE3"/>
              <w:left w:val="single" w:sz="5" w:color="D6DDE3"/>
              <w:right w:val="single" w:sz="5" w:color="D6DDE3"/>
            </w:tcBorders>
          </w:tcPr>
          <w:p>
            <w:pPr>
              <w:spacing w:after="0"/>
            </w:pPr>
            <w:r>
              <w:rPr>
                <w:rFonts w:ascii="Liberation Mono" w:hAnsi="Liberation Mono"/>
                <w:color w:val="17324D"/>
                <w:sz w:val="17"/>
              </w:rPr>
              <w:t>bank-reconciliation-benchmark/</w:t>
            </w:r>
            <w:r>
              <w:br/>
            </w:r>
            <w:r>
              <w:rPr>
                <w:rFonts w:ascii="Liberation Mono" w:hAnsi="Liberation Mono"/>
                <w:color w:val="17324D"/>
                <w:sz w:val="17"/>
              </w:rPr>
              <w:t xml:space="preserve">  pyproject.toml</w:t>
            </w:r>
            <w:r>
              <w:br/>
            </w:r>
            <w:r>
              <w:rPr>
                <w:rFonts w:ascii="Liberation Mono" w:hAnsi="Liberation Mono"/>
                <w:color w:val="17324D"/>
                <w:sz w:val="17"/>
              </w:rPr>
              <w:t xml:space="preserve">  README.md</w:t>
            </w:r>
            <w:r>
              <w:br/>
            </w:r>
            <w:r>
              <w:rPr>
                <w:rFonts w:ascii="Liberation Mono" w:hAnsi="Liberation Mono"/>
                <w:color w:val="17324D"/>
                <w:sz w:val="17"/>
              </w:rPr>
              <w:t xml:space="preserve">  src/recon_benchmark/</w:t>
            </w:r>
            <w:r>
              <w:br/>
            </w:r>
            <w:r>
              <w:rPr>
                <w:rFonts w:ascii="Liberation Mono" w:hAnsi="Liberation Mono"/>
                <w:color w:val="17324D"/>
                <w:sz w:val="17"/>
              </w:rPr>
              <w:t xml:space="preserve">    models.py</w:t>
            </w:r>
            <w:r>
              <w:br/>
            </w:r>
            <w:r>
              <w:rPr>
                <w:rFonts w:ascii="Liberation Mono" w:hAnsi="Liberation Mono"/>
                <w:color w:val="17324D"/>
                <w:sz w:val="17"/>
              </w:rPr>
              <w:t xml:space="preserve">    normalization.py</w:t>
            </w:r>
            <w:r>
              <w:br/>
            </w:r>
            <w:r>
              <w:rPr>
                <w:rFonts w:ascii="Liberation Mono" w:hAnsi="Liberation Mono"/>
                <w:color w:val="17324D"/>
                <w:sz w:val="17"/>
              </w:rPr>
              <w:t xml:space="preserve">    generator.py</w:t>
            </w:r>
            <w:r>
              <w:br/>
            </w:r>
            <w:r>
              <w:rPr>
                <w:rFonts w:ascii="Liberation Mono" w:hAnsi="Liberation Mono"/>
                <w:color w:val="17324D"/>
                <w:sz w:val="17"/>
              </w:rPr>
              <w:t xml:space="preserve">    perturbations.py</w:t>
            </w:r>
            <w:r>
              <w:br/>
            </w:r>
            <w:r>
              <w:rPr>
                <w:rFonts w:ascii="Liberation Mono" w:hAnsi="Liberation Mono"/>
                <w:color w:val="17324D"/>
                <w:sz w:val="17"/>
              </w:rPr>
              <w:t xml:space="preserve">    negatives.py</w:t>
            </w:r>
            <w:r>
              <w:br/>
            </w:r>
            <w:r>
              <w:rPr>
                <w:rFonts w:ascii="Liberation Mono" w:hAnsi="Liberation Mono"/>
                <w:color w:val="17324D"/>
                <w:sz w:val="17"/>
              </w:rPr>
              <w:t xml:space="preserve">    matchers.py</w:t>
            </w:r>
            <w:r>
              <w:br/>
            </w:r>
            <w:r>
              <w:rPr>
                <w:rFonts w:ascii="Liberation Mono" w:hAnsi="Liberation Mono"/>
                <w:color w:val="17324D"/>
                <w:sz w:val="17"/>
              </w:rPr>
              <w:t xml:space="preserve">    evaluation.py</w:t>
            </w:r>
            <w:r>
              <w:br/>
            </w:r>
            <w:r>
              <w:rPr>
                <w:rFonts w:ascii="Liberation Mono" w:hAnsi="Liberation Mono"/>
                <w:color w:val="17324D"/>
                <w:sz w:val="17"/>
              </w:rPr>
              <w:t xml:space="preserve">    cli.py</w:t>
            </w:r>
            <w:r>
              <w:br/>
            </w:r>
            <w:r>
              <w:rPr>
                <w:rFonts w:ascii="Liberation Mono" w:hAnsi="Liberation Mono"/>
                <w:color w:val="17324D"/>
                <w:sz w:val="17"/>
              </w:rPr>
              <w:t xml:space="preserve">  tests/</w:t>
            </w:r>
            <w:r>
              <w:br/>
            </w:r>
            <w:r>
              <w:rPr>
                <w:rFonts w:ascii="Liberation Mono" w:hAnsi="Liberation Mono"/>
                <w:color w:val="17324D"/>
                <w:sz w:val="17"/>
              </w:rPr>
              <w:t xml:space="preserve">    test_normalization.py</w:t>
            </w:r>
            <w:r>
              <w:br/>
            </w:r>
            <w:r>
              <w:rPr>
                <w:rFonts w:ascii="Liberation Mono" w:hAnsi="Liberation Mono"/>
                <w:color w:val="17324D"/>
                <w:sz w:val="17"/>
              </w:rPr>
              <w:t xml:space="preserve">    test_generator.py</w:t>
            </w:r>
            <w:r>
              <w:br/>
            </w:r>
            <w:r>
              <w:rPr>
                <w:rFonts w:ascii="Liberation Mono" w:hAnsi="Liberation Mono"/>
                <w:color w:val="17324D"/>
                <w:sz w:val="17"/>
              </w:rPr>
              <w:t xml:space="preserve">    test_matchers.py</w:t>
            </w:r>
            <w:r>
              <w:br/>
            </w:r>
            <w:r>
              <w:rPr>
                <w:rFonts w:ascii="Liberation Mono" w:hAnsi="Liberation Mono"/>
                <w:color w:val="17324D"/>
                <w:sz w:val="17"/>
              </w:rPr>
              <w:t xml:space="preserve">    test_evaluation.py</w:t>
            </w:r>
            <w:r>
              <w:br/>
            </w:r>
            <w:r>
              <w:rPr>
                <w:rFonts w:ascii="Liberation Mono" w:hAnsi="Liberation Mono"/>
                <w:color w:val="17324D"/>
                <w:sz w:val="17"/>
              </w:rPr>
              <w:t xml:space="preserve">    test_reproducibility.py</w:t>
            </w:r>
            <w:r>
              <w:br/>
            </w:r>
            <w:r>
              <w:rPr>
                <w:rFonts w:ascii="Liberation Mono" w:hAnsi="Liberation Mono"/>
                <w:color w:val="17324D"/>
                <w:sz w:val="17"/>
              </w:rPr>
              <w:t xml:space="preserve">  benchmarks/</w:t>
            </w:r>
            <w:r>
              <w:br/>
            </w:r>
            <w:r>
              <w:rPr>
                <w:rFonts w:ascii="Liberation Mono" w:hAnsi="Liberation Mono"/>
                <w:color w:val="17324D"/>
                <w:sz w:val="17"/>
              </w:rPr>
              <w:t xml:space="preserve">  results/</w:t>
            </w:r>
            <w:r>
              <w:br/>
            </w:r>
            <w:r>
              <w:rPr>
                <w:rFonts w:ascii="Liberation Mono" w:hAnsi="Liberation Mono"/>
                <w:color w:val="17324D"/>
                <w:sz w:val="17"/>
              </w:rPr>
              <w:t xml:space="preserve">  figures/</w:t>
            </w:r>
          </w:p>
        </w:tc>
      </w:tr>
    </w:tbl>
    <w:p>
      <w:pPr>
        <w:spacing w:after="0"/>
      </w:pPr>
    </w:p>
    <w:p>
      <w:pPr>
        <w:spacing w:after="100"/>
      </w:pPr>
      <w:r>
        <w:rPr>
          <w:rFonts w:ascii="Lato" w:hAnsi="Lato"/>
        </w:rPr>
        <w:t>File boundaries reflect real responsibilities. Do not create additional interfaces, services or abstractions without a need. A simple mapping from method name to scoring function is sufficient.</w:t>
      </w:r>
    </w:p>
    <w:p>
      <w:pPr>
        <w:pStyle w:val="Heading2"/>
        <w:keepNext/>
      </w:pPr>
      <w:r>
        <w:rPr>
          <w:rFonts w:ascii="Lato" w:hAnsi="Lato"/>
          <w:b/>
          <w:color w:val="000000"/>
        </w:rPr>
        <w:t>9.3 Functional contracts</w:t>
      </w:r>
    </w:p>
    <w:tbl>
      <w:tblPr>
        <w:tblW w:type="auto" w:w="0"/>
        <w:jc w:val="center"/>
        <w:tblLayout w:type="fixed"/>
        <w:tblLook w:firstColumn="1" w:firstRow="1" w:lastColumn="0" w:lastRow="0" w:noHBand="0" w:noVBand="1" w:val="04A0"/>
      </w:tblPr>
      <w:tblGrid>
        <w:gridCol w:w="4958"/>
        <w:gridCol w:w="4958"/>
      </w:tblGrid>
      <w:tr>
        <w:trPr>
          <w:tblHeader w:val="true"/>
        </w:trPr>
        <w:tc>
          <w:tcPr>
            <w:tcW w:type="dxa" w:w="3816"/>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Function</w:t>
            </w:r>
          </w:p>
        </w:tc>
        <w:tc>
          <w:tcPr>
            <w:tcW w:type="dxa" w:w="5904"/>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Responsibility</w:t>
            </w:r>
          </w:p>
        </w:tc>
      </w:tr>
      <w:tr>
        <w:trPr>
          <w:cantSplit/>
        </w:trPr>
        <w:tc>
          <w:tcPr>
            <w:tcW w:type="dxa" w:w="381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generate_canonical_record(rng, index)</w:t>
            </w:r>
          </w:p>
        </w:tc>
        <w:tc>
          <w:tcPr>
            <w:tcW w:type="dxa" w:w="59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Creates the base accounting record.</w:t>
            </w:r>
          </w:p>
        </w:tc>
      </w:tr>
      <w:tr>
        <w:trPr>
          <w:cantSplit/>
        </w:trPr>
        <w:tc>
          <w:tcPr>
            <w:tcW w:type="dxa" w:w="381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derive_bank_transaction(record)</w:t>
            </w:r>
          </w:p>
        </w:tc>
        <w:tc>
          <w:tcPr>
            <w:tcW w:type="dxa" w:w="59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Creates the bank side before noise.</w:t>
            </w:r>
          </w:p>
        </w:tc>
      </w:tr>
      <w:tr>
        <w:trPr>
          <w:cantSplit/>
        </w:trPr>
        <w:tc>
          <w:tcPr>
            <w:tcW w:type="dxa" w:w="381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apply_perturbation(transaction, scenario, rng)</w:t>
            </w:r>
          </w:p>
        </w:tc>
        <w:tc>
          <w:tcPr>
            <w:tcW w:type="dxa" w:w="59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Applies only the documented changes.</w:t>
            </w:r>
          </w:p>
        </w:tc>
      </w:tr>
      <w:tr>
        <w:trPr>
          <w:cantSplit/>
        </w:trPr>
        <w:tc>
          <w:tcPr>
            <w:tcW w:type="dxa" w:w="381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generate_hard_negatives(record, pool, rng)</w:t>
            </w:r>
          </w:p>
        </w:tc>
        <w:tc>
          <w:tcPr>
            <w:tcW w:type="dxa" w:w="59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Produces nine valid, non-identical candidates.</w:t>
            </w:r>
          </w:p>
        </w:tc>
      </w:tr>
      <w:tr>
        <w:trPr>
          <w:cantSplit/>
        </w:trPr>
        <w:tc>
          <w:tcPr>
            <w:tcW w:type="dxa" w:w="381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normalize_*()</w:t>
            </w:r>
          </w:p>
        </w:tc>
        <w:tc>
          <w:tcPr>
            <w:tcW w:type="dxa" w:w="59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Pure, deterministic transformations for each field.</w:t>
            </w:r>
          </w:p>
        </w:tc>
      </w:tr>
      <w:tr>
        <w:trPr>
          <w:cantSplit/>
        </w:trPr>
        <w:tc>
          <w:tcPr>
            <w:tcW w:type="dxa" w:w="381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score_m0 ... score_m4</w:t>
            </w:r>
          </w:p>
        </w:tc>
        <w:tc>
          <w:tcPr>
            <w:tcW w:type="dxa" w:w="59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Receive only transaction and candidate; return [0,1].</w:t>
            </w:r>
          </w:p>
        </w:tc>
      </w:tr>
      <w:tr>
        <w:trPr>
          <w:cantSplit/>
        </w:trPr>
        <w:tc>
          <w:tcPr>
            <w:tcW w:type="dxa" w:w="381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rank_candidates()</w:t>
            </w:r>
          </w:p>
        </w:tc>
        <w:tc>
          <w:tcPr>
            <w:tcW w:type="dxa" w:w="59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Orders by score and preserves ties.</w:t>
            </w:r>
          </w:p>
        </w:tc>
      </w:tr>
      <w:tr>
        <w:trPr>
          <w:cantSplit/>
        </w:trPr>
        <w:tc>
          <w:tcPr>
            <w:tcW w:type="dxa" w:w="381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evaluate_case()</w:t>
            </w:r>
          </w:p>
        </w:tc>
        <w:tc>
          <w:tcPr>
            <w:tcW w:type="dxa" w:w="59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Computes unique_top1, reciprocal rank and tie.</w:t>
            </w:r>
          </w:p>
        </w:tc>
      </w:tr>
      <w:tr>
        <w:trPr>
          <w:cantSplit/>
        </w:trPr>
        <w:tc>
          <w:tcPr>
            <w:tcW w:type="dxa" w:w="381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aggregate_results()</w:t>
            </w:r>
          </w:p>
        </w:tc>
        <w:tc>
          <w:tcPr>
            <w:tcW w:type="dxa" w:w="59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Produces metrics by seed/scenario/method.</w:t>
            </w:r>
          </w:p>
        </w:tc>
      </w:tr>
    </w:tbl>
    <w:p>
      <w:pPr>
        <w:spacing w:after="0"/>
      </w:pPr>
    </w:p>
    <w:p>
      <w:pPr>
        <w:pStyle w:val="Heading2"/>
        <w:keepNext/>
      </w:pPr>
      <w:r>
        <w:rPr>
          <w:rFonts w:ascii="Lato" w:hAnsi="Lato"/>
          <w:b/>
          <w:color w:val="000000"/>
        </w:rPr>
        <w:t>9.4 Implementation order</w:t>
      </w:r>
    </w:p>
    <w:p>
      <w:pPr>
        <w:spacing w:after="60"/>
        <w:ind w:left="397" w:hanging="312"/>
      </w:pPr>
      <w:r>
        <w:rPr>
          <w:rFonts w:ascii="Lato" w:hAnsi="Lato"/>
          <w:b/>
          <w:color w:val="17324D"/>
        </w:rPr>
        <w:t>1.  Create models.py with immutable dataclasses and explicit serialization.</w:t>
      </w:r>
      <w:r>
        <w:rPr>
          <w:rFonts w:ascii="Lato" w:hAnsi="Lato"/>
        </w:rPr>
      </w:r>
    </w:p>
    <w:p>
      <w:pPr>
        <w:spacing w:after="60"/>
        <w:ind w:left="397" w:hanging="312"/>
      </w:pPr>
      <w:r>
        <w:rPr>
          <w:rFonts w:ascii="Lato" w:hAnsi="Lato"/>
          <w:b/>
          <w:color w:val="17324D"/>
        </w:rPr>
        <w:t>2.  Implement normalization.py and its unit tests.</w:t>
      </w:r>
      <w:r>
        <w:rPr>
          <w:rFonts w:ascii="Lato" w:hAnsi="Lato"/>
        </w:rPr>
      </w:r>
    </w:p>
    <w:p>
      <w:pPr>
        <w:spacing w:after="60"/>
        <w:ind w:left="397" w:hanging="312"/>
      </w:pPr>
      <w:r>
        <w:rPr>
          <w:rFonts w:ascii="Lato" w:hAnsi="Lato"/>
          <w:b/>
          <w:color w:val="17324D"/>
        </w:rPr>
        <w:t>3.  Implement the canonical generator and a development seed with 20 cases.</w:t>
      </w:r>
      <w:r>
        <w:rPr>
          <w:rFonts w:ascii="Lato" w:hAnsi="Lato"/>
        </w:rPr>
      </w:r>
    </w:p>
    <w:p>
      <w:pPr>
        <w:spacing w:after="60"/>
        <w:ind w:left="397" w:hanging="312"/>
      </w:pPr>
      <w:r>
        <w:rPr>
          <w:rFonts w:ascii="Lato" w:hAnsi="Lato"/>
          <w:b/>
          <w:color w:val="17324D"/>
        </w:rPr>
        <w:t>4.  Implement one perturbation at a time, with boundary tests.</w:t>
      </w:r>
      <w:r>
        <w:rPr>
          <w:rFonts w:ascii="Lato" w:hAnsi="Lato"/>
        </w:rPr>
      </w:r>
    </w:p>
    <w:p>
      <w:pPr>
        <w:spacing w:after="60"/>
        <w:ind w:left="397" w:hanging="312"/>
      </w:pPr>
      <w:r>
        <w:rPr>
          <w:rFonts w:ascii="Lato" w:hAnsi="Lato"/>
          <w:b/>
          <w:color w:val="17324D"/>
        </w:rPr>
        <w:t>5.  Implement hard negatives and invariants.</w:t>
      </w:r>
      <w:r>
        <w:rPr>
          <w:rFonts w:ascii="Lato" w:hAnsi="Lato"/>
        </w:rPr>
      </w:r>
    </w:p>
    <w:p>
      <w:pPr>
        <w:spacing w:after="60"/>
        <w:ind w:left="397" w:hanging="312"/>
      </w:pPr>
      <w:r>
        <w:rPr>
          <w:rFonts w:ascii="Lato" w:hAnsi="Lato"/>
          <w:b/>
          <w:color w:val="17324D"/>
        </w:rPr>
        <w:t>6.  Manually inspect clean, reference-typo, missing and combined cases.</w:t>
      </w:r>
      <w:r>
        <w:rPr>
          <w:rFonts w:ascii="Lato" w:hAnsi="Lato"/>
        </w:rPr>
      </w:r>
    </w:p>
    <w:p>
      <w:pPr>
        <w:spacing w:after="60"/>
        <w:ind w:left="397" w:hanging="312"/>
      </w:pPr>
      <w:r>
        <w:rPr>
          <w:rFonts w:ascii="Lato" w:hAnsi="Lato"/>
          <w:b/>
          <w:color w:val="17324D"/>
        </w:rPr>
        <w:t>7.  Implement M0 and M1; validate scores and ties.</w:t>
      </w:r>
      <w:r>
        <w:rPr>
          <w:rFonts w:ascii="Lato" w:hAnsi="Lato"/>
        </w:rPr>
      </w:r>
    </w:p>
    <w:p>
      <w:pPr>
        <w:spacing w:after="60"/>
        <w:ind w:left="397" w:hanging="312"/>
      </w:pPr>
      <w:r>
        <w:rPr>
          <w:rFonts w:ascii="Lato" w:hAnsi="Lato"/>
          <w:b/>
          <w:color w:val="17324D"/>
        </w:rPr>
        <w:t>8.  Add RapidFuzz and implement M2.</w:t>
      </w:r>
      <w:r>
        <w:rPr>
          <w:rFonts w:ascii="Lato" w:hAnsi="Lato"/>
        </w:rPr>
      </w:r>
    </w:p>
    <w:p>
      <w:pPr>
        <w:spacing w:after="60"/>
        <w:ind w:left="397" w:hanging="312"/>
      </w:pPr>
      <w:r>
        <w:rPr>
          <w:rFonts w:ascii="Lato" w:hAnsi="Lato"/>
          <w:b/>
          <w:color w:val="17324D"/>
        </w:rPr>
        <w:t>9.  Implement q-gram cosine and M3/M4.</w:t>
      </w:r>
      <w:r>
        <w:rPr>
          <w:rFonts w:ascii="Lato" w:hAnsi="Lato"/>
        </w:rPr>
      </w:r>
    </w:p>
    <w:p>
      <w:pPr>
        <w:spacing w:after="60"/>
        <w:ind w:left="397" w:hanging="312"/>
      </w:pPr>
      <w:r>
        <w:rPr>
          <w:rFonts w:ascii="Lato" w:hAnsi="Lato"/>
          <w:b/>
          <w:color w:val="17324D"/>
        </w:rPr>
        <w:t>10.  Implement evaluation and export.</w:t>
      </w:r>
      <w:r>
        <w:rPr>
          <w:rFonts w:ascii="Lato" w:hAnsi="Lato"/>
        </w:rPr>
      </w:r>
    </w:p>
    <w:p>
      <w:pPr>
        <w:spacing w:after="60"/>
        <w:ind w:left="397" w:hanging="312"/>
      </w:pPr>
      <w:r>
        <w:rPr>
          <w:rFonts w:ascii="Lato" w:hAnsi="Lato"/>
          <w:b/>
          <w:color w:val="17324D"/>
        </w:rPr>
        <w:t>11.  Execute a complete smoke run with seed 7.</w:t>
      </w:r>
      <w:r>
        <w:rPr>
          <w:rFonts w:ascii="Lato" w:hAnsi="Lato"/>
        </w:rPr>
      </w:r>
    </w:p>
    <w:p>
      <w:pPr>
        <w:spacing w:after="60"/>
        <w:ind w:left="397" w:hanging="312"/>
      </w:pPr>
      <w:r>
        <w:rPr>
          <w:rFonts w:ascii="Lato" w:hAnsi="Lato"/>
          <w:b/>
          <w:color w:val="17324D"/>
        </w:rPr>
        <w:t>12.  Freeze the configuration and run seeds 42-46.</w:t>
      </w:r>
      <w:r>
        <w:rPr>
          <w:rFonts w:ascii="Lato" w:hAnsi="Lato"/>
        </w:rPr>
      </w:r>
    </w:p>
    <w:p>
      <w:pPr>
        <w:pStyle w:val="Heading2"/>
        <w:keepNext/>
      </w:pPr>
      <w:r>
        <w:rPr>
          <w:rFonts w:ascii="Lato" w:hAnsi="Lato"/>
          <w:b/>
          <w:color w:val="000000"/>
        </w:rPr>
        <w:t>9.5 Recommended CLI</w:t>
      </w:r>
    </w:p>
    <w:tbl>
      <w:tblPr>
        <w:tblW w:type="auto" w:w="0"/>
        <w:jc w:val="center"/>
        <w:tblLook w:firstColumn="1" w:firstRow="1" w:lastColumn="0" w:lastRow="0" w:noHBand="0" w:noVBand="1" w:val="04A0"/>
      </w:tblPr>
      <w:tblGrid>
        <w:gridCol w:w="9916"/>
      </w:tblGrid>
      <w:tr>
        <w:tc>
          <w:tcPr>
            <w:tcW w:type="dxa" w:w="9916"/>
            <w:shd w:fill="F3F5F7"/>
            <w:tcMar>
              <w:top w:w="90" w:type="dxa"/>
              <w:start w:w="120" w:type="dxa"/>
              <w:bottom w:w="90" w:type="dxa"/>
              <w:end w:w="120" w:type="dxa"/>
            </w:tcMar>
            <w:tcBorders>
              <w:top w:val="single" w:sz="5" w:color="D6DDE3"/>
              <w:bottom w:val="single" w:sz="5" w:color="D6DDE3"/>
              <w:left w:val="single" w:sz="5" w:color="D6DDE3"/>
              <w:right w:val="single" w:sz="5" w:color="D6DDE3"/>
            </w:tcBorders>
          </w:tcPr>
          <w:p>
            <w:pPr>
              <w:spacing w:after="0"/>
            </w:pPr>
            <w:r>
              <w:rPr>
                <w:rFonts w:ascii="Liberation Mono" w:hAnsi="Liberation Mono"/>
                <w:color w:val="17324D"/>
                <w:sz w:val="17"/>
              </w:rPr>
              <w:t>python -m recon_benchmark.cli generate --seed 7 --cases-per-scenario 3</w:t>
            </w:r>
            <w:r>
              <w:br/>
            </w:r>
            <w:r>
              <w:rPr>
                <w:rFonts w:ascii="Liberation Mono" w:hAnsi="Liberation Mono"/>
                <w:color w:val="17324D"/>
                <w:sz w:val="17"/>
              </w:rPr>
              <w:t>python -m recon_benchmark.cli validate --input benchmarks/seed_7.jsonl</w:t>
            </w:r>
            <w:r>
              <w:br/>
            </w:r>
            <w:r>
              <w:rPr>
                <w:rFonts w:ascii="Liberation Mono" w:hAnsi="Liberation Mono"/>
                <w:color w:val="17324D"/>
                <w:sz w:val="17"/>
              </w:rPr>
              <w:t>python -m recon_benchmark.cli evaluate --seed 7 --methods all</w:t>
            </w:r>
            <w:r>
              <w:br/>
            </w:r>
            <w:r>
              <w:rPr>
                <w:rFonts w:ascii="Liberation Mono" w:hAnsi="Liberation Mono"/>
                <w:color w:val="17324D"/>
                <w:sz w:val="17"/>
              </w:rPr>
              <w:t>python -m recon_benchmark.cli run-final --seeds 42 43 44 45 46</w:t>
            </w:r>
          </w:p>
        </w:tc>
      </w:tr>
    </w:tbl>
    <w:p>
      <w:pPr>
        <w:spacing w:after="0"/>
      </w:pPr>
    </w:p>
    <w:p>
      <w:pPr>
        <w:pStyle w:val="Heading2"/>
        <w:keepNext/>
      </w:pPr>
      <w:r>
        <w:rPr>
          <w:rFonts w:ascii="Lato" w:hAnsi="Lato"/>
          <w:b/>
          <w:color w:val="000000"/>
        </w:rPr>
        <w:t>9.6 Outputs</w:t>
      </w:r>
    </w:p>
    <w:tbl>
      <w:tblPr>
        <w:tblW w:type="auto" w:w="0"/>
        <w:jc w:val="center"/>
        <w:tblLayout w:type="fixed"/>
        <w:tblLook w:firstColumn="1" w:firstRow="1" w:lastColumn="0" w:lastRow="0" w:noHBand="0" w:noVBand="1" w:val="04A0"/>
      </w:tblPr>
      <w:tblGrid>
        <w:gridCol w:w="4958"/>
        <w:gridCol w:w="4958"/>
      </w:tblGrid>
      <w:tr>
        <w:trPr>
          <w:tblHeader w:val="true"/>
        </w:trPr>
        <w:tc>
          <w:tcPr>
            <w:tcW w:type="dxa" w:w="3168"/>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File</w:t>
            </w:r>
          </w:p>
        </w:tc>
        <w:tc>
          <w:tcPr>
            <w:tcW w:type="dxa" w:w="6552"/>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Contents</w:t>
            </w:r>
          </w:p>
        </w:tc>
      </w:tr>
      <w:tr>
        <w:trPr>
          <w:cantSplit/>
        </w:trPr>
        <w:tc>
          <w:tcPr>
            <w:tcW w:type="dxa" w:w="316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benchmarks/seed_&lt;n&gt;.jsonl</w:t>
            </w:r>
          </w:p>
        </w:tc>
        <w:tc>
          <w:tcPr>
            <w:tcW w:type="dxa" w:w="655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Complete cases, raw values, scenario, ground truth and perturbations.</w:t>
            </w:r>
          </w:p>
        </w:tc>
      </w:tr>
      <w:tr>
        <w:trPr>
          <w:cantSplit/>
        </w:trPr>
        <w:tc>
          <w:tcPr>
            <w:tcW w:type="dxa" w:w="3168"/>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results/per_case.csv</w:t>
            </w:r>
          </w:p>
        </w:tc>
        <w:tc>
          <w:tcPr>
            <w:tcW w:type="dxa" w:w="655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True-candidate score/rank, top score, tie count and method.</w:t>
            </w:r>
          </w:p>
        </w:tc>
      </w:tr>
      <w:tr>
        <w:trPr>
          <w:cantSplit/>
        </w:trPr>
        <w:tc>
          <w:tcPr>
            <w:tcW w:type="dxa" w:w="316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results/by_scenario.csv</w:t>
            </w:r>
          </w:p>
        </w:tc>
        <w:tc>
          <w:tcPr>
            <w:tcW w:type="dxa" w:w="655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Unique Top-1, MRR and tie rate by scenario/method/seed.</w:t>
            </w:r>
          </w:p>
        </w:tc>
      </w:tr>
      <w:tr>
        <w:trPr>
          <w:cantSplit/>
        </w:trPr>
        <w:tc>
          <w:tcPr>
            <w:tcW w:type="dxa" w:w="3168"/>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results/summary.csv</w:t>
            </w:r>
          </w:p>
        </w:tc>
        <w:tc>
          <w:tcPr>
            <w:tcW w:type="dxa" w:w="655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Mean and standard deviation across seeds.</w:t>
            </w:r>
          </w:p>
        </w:tc>
      </w:tr>
      <w:tr>
        <w:trPr>
          <w:cantSplit/>
        </w:trPr>
        <w:tc>
          <w:tcPr>
            <w:tcW w:type="dxa" w:w="316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results/manifest.json</w:t>
            </w:r>
          </w:p>
        </w:tc>
        <w:tc>
          <w:tcPr>
            <w:tcW w:type="dxa" w:w="655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Configuration, seeds, Python, dependencies, timestamp and commit.</w:t>
            </w:r>
          </w:p>
        </w:tc>
      </w:tr>
      <w:tr>
        <w:trPr>
          <w:cantSplit/>
        </w:trPr>
        <w:tc>
          <w:tcPr>
            <w:tcW w:type="dxa" w:w="3168"/>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figures/robustness_by_scenario.png</w:t>
            </w:r>
          </w:p>
        </w:tc>
        <w:tc>
          <w:tcPr>
            <w:tcW w:type="dxa" w:w="655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Optional figure for the paper, generated only after the results are frozen.</w:t>
            </w:r>
          </w:p>
        </w:tc>
      </w:tr>
    </w:tbl>
    <w:p>
      <w:pPr>
        <w:spacing w:after="0"/>
      </w:pPr>
    </w:p>
    <w:p>
      <w:pPr>
        <w:pStyle w:val="Heading1"/>
        <w:keepNext/>
      </w:pPr>
      <w:r>
        <w:rPr>
          <w:rFonts w:ascii="Lato" w:hAnsi="Lato"/>
          <w:b/>
          <w:color w:val="000000"/>
        </w:rPr>
        <w:t>10 Validation strategy</w:t>
      </w:r>
    </w:p>
    <w:p>
      <w:pPr>
        <w:pStyle w:val="Heading2"/>
        <w:keepNext/>
      </w:pPr>
      <w:r>
        <w:rPr>
          <w:rFonts w:ascii="Lato" w:hAnsi="Lato"/>
          <w:b/>
          <w:color w:val="000000"/>
        </w:rPr>
        <w:t>10.1 Required tests</w:t>
      </w:r>
    </w:p>
    <w:tbl>
      <w:tblPr>
        <w:tblW w:type="auto" w:w="0"/>
        <w:jc w:val="center"/>
        <w:tblLayout w:type="fixed"/>
        <w:tblLook w:firstColumn="1" w:firstRow="1" w:lastColumn="0" w:lastRow="0" w:noHBand="0" w:noVBand="1" w:val="04A0"/>
      </w:tblPr>
      <w:tblGrid>
        <w:gridCol w:w="4958"/>
        <w:gridCol w:w="4958"/>
      </w:tblGrid>
      <w:tr>
        <w:trPr>
          <w:tblHeader w:val="true"/>
        </w:trPr>
        <w:tc>
          <w:tcPr>
            <w:tcW w:type="dxa" w:w="2160"/>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Area</w:t>
            </w:r>
          </w:p>
        </w:tc>
        <w:tc>
          <w:tcPr>
            <w:tcW w:type="dxa" w:w="7560"/>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Behaviour protected</w:t>
            </w:r>
          </w:p>
        </w:tc>
      </w:tr>
      <w:tr>
        <w:trPr>
          <w:cantSplit/>
        </w:trPr>
        <w:tc>
          <w:tcPr>
            <w:tcW w:type="dxa" w:w="216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Normalization</w:t>
            </w:r>
          </w:p>
        </w:tc>
        <w:tc>
          <w:tcPr>
            <w:tcW w:type="dxa" w:w="756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Accents, punctuation, spaces, suffixes, references and missing values.</w:t>
            </w:r>
          </w:p>
        </w:tc>
      </w:tr>
      <w:tr>
        <w:trPr>
          <w:cantSplit/>
        </w:trPr>
        <w:tc>
          <w:tcPr>
            <w:tcW w:type="dxa" w:w="216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Reproducibility</w:t>
            </w:r>
          </w:p>
        </w:tc>
        <w:tc>
          <w:tcPr>
            <w:tcW w:type="dxa" w:w="756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The same seed generates the same benchmark; different seeds produce different cases.</w:t>
            </w:r>
          </w:p>
        </w:tc>
      </w:tr>
      <w:tr>
        <w:trPr>
          <w:cantSplit/>
        </w:trPr>
        <w:tc>
          <w:tcPr>
            <w:tcW w:type="dxa" w:w="216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Integrity</w:t>
            </w:r>
          </w:p>
        </w:tc>
        <w:tc>
          <w:tcPr>
            <w:tcW w:type="dxa" w:w="756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10 candidates, one true ID, unique IDs, no identical negative.</w:t>
            </w:r>
          </w:p>
        </w:tc>
      </w:tr>
      <w:tr>
        <w:trPr>
          <w:cantSplit/>
        </w:trPr>
        <w:tc>
          <w:tcPr>
            <w:tcW w:type="dxa" w:w="216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Perturbations</w:t>
            </w:r>
          </w:p>
        </w:tc>
        <w:tc>
          <w:tcPr>
            <w:tcW w:type="dxa" w:w="756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Each scenario changes only the expected field; combined applies three distinct families.</w:t>
            </w:r>
          </w:p>
        </w:tc>
      </w:tr>
      <w:tr>
        <w:trPr>
          <w:cantSplit/>
        </w:trPr>
        <w:tc>
          <w:tcPr>
            <w:tcW w:type="dxa" w:w="216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Scores</w:t>
            </w:r>
          </w:p>
        </w:tc>
        <w:tc>
          <w:tcPr>
            <w:tcW w:type="dxa" w:w="756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All methods return values in [0,1].</w:t>
            </w:r>
          </w:p>
        </w:tc>
      </w:tr>
      <w:tr>
        <w:trPr>
          <w:cantSplit/>
        </w:trPr>
        <w:tc>
          <w:tcPr>
            <w:tcW w:type="dxa" w:w="216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Missing</w:t>
            </w:r>
          </w:p>
        </w:tc>
        <w:tc>
          <w:tcPr>
            <w:tcW w:type="dxa" w:w="756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An absent field is excluded; it does not cause division by zero.</w:t>
            </w:r>
          </w:p>
        </w:tc>
      </w:tr>
      <w:tr>
        <w:trPr>
          <w:cantSplit/>
        </w:trPr>
        <w:tc>
          <w:tcPr>
            <w:tcW w:type="dxa" w:w="216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Ranking</w:t>
            </w:r>
          </w:p>
        </w:tc>
        <w:tc>
          <w:tcPr>
            <w:tcW w:type="dxa" w:w="756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Ordering, average rank and unique top-1 with ties.</w:t>
            </w:r>
          </w:p>
        </w:tc>
      </w:tr>
      <w:tr>
        <w:trPr>
          <w:cantSplit/>
        </w:trPr>
        <w:tc>
          <w:tcPr>
            <w:tcW w:type="dxa" w:w="216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Integration</w:t>
            </w:r>
          </w:p>
        </w:tc>
        <w:tc>
          <w:tcPr>
            <w:tcW w:type="dxa" w:w="756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A small complete run produces all expected files and rows.</w:t>
            </w:r>
          </w:p>
        </w:tc>
      </w:tr>
    </w:tbl>
    <w:p>
      <w:pPr>
        <w:spacing w:after="0"/>
      </w:pPr>
    </w:p>
    <w:p>
      <w:pPr>
        <w:pStyle w:val="Heading2"/>
        <w:keepNext/>
      </w:pPr>
      <w:r>
        <w:rPr>
          <w:rFonts w:ascii="Lato" w:hAnsi="Lato"/>
          <w:b/>
          <w:color w:val="000000"/>
        </w:rPr>
        <w:t>10.2 Experimental freeze</w:t>
      </w:r>
    </w:p>
    <w:tbl>
      <w:tblPr>
        <w:tblW w:type="auto" w:w="0"/>
        <w:jc w:val="center"/>
        <w:tblLayout w:type="autofit"/>
        <w:tblLook w:firstColumn="1" w:firstRow="1" w:lastColumn="0" w:lastRow="0" w:noHBand="0" w:noVBand="1" w:val="04A0"/>
      </w:tblPr>
      <w:tblGrid>
        <w:gridCol w:w="9916"/>
      </w:tblGrid>
      <w:tr>
        <w:trPr>
          <w:cantSplit/>
        </w:trPr>
        <w:tc>
          <w:tcPr>
            <w:tcW w:type="dxa" w:w="9916"/>
            <w:shd w:fill="FFF4D6"/>
            <w:tcMar>
              <w:top w:w="120" w:type="dxa"/>
              <w:start w:w="150" w:type="dxa"/>
              <w:bottom w:w="120" w:type="dxa"/>
              <w:end w:w="150" w:type="dxa"/>
            </w:tcMar>
            <w:tcBorders>
              <w:top w:val="single" w:sz="8" w:color="D49B18"/>
              <w:bottom w:val="single" w:sz="8" w:color="D49B18"/>
              <w:left w:val="single" w:sz="18" w:color="D49B18"/>
              <w:right w:val="single" w:sz="8" w:color="D49B18"/>
            </w:tcBorders>
          </w:tcPr>
          <w:p>
            <w:pPr>
              <w:spacing w:after="40"/>
            </w:pPr>
            <w:r>
              <w:rPr>
                <w:rFonts w:ascii="Lato" w:hAnsi="Lato"/>
                <w:b/>
                <w:color w:val="17324D"/>
              </w:rPr>
              <w:t>Freeze rule</w:t>
            </w:r>
          </w:p>
          <w:p>
            <w:pPr>
              <w:spacing w:after="0"/>
            </w:pPr>
            <w:r>
              <w:rPr>
                <w:rFonts w:ascii="Lato" w:hAnsi="Lato"/>
                <w:sz w:val="19"/>
              </w:rPr>
              <w:t>After seed 7 passes tests and manual inspection, save a configuration manifest. Run the final seeds without changing perturbations, candidates, normalization, thresholds or comparators. Subsequent changes may only fix confirmed bugs and must be recorded.</w:t>
            </w:r>
          </w:p>
        </w:tc>
      </w:tr>
    </w:tbl>
    <w:p>
      <w:pPr>
        <w:spacing w:after="0"/>
      </w:pPr>
    </w:p>
    <w:p>
      <w:pPr>
        <w:pStyle w:val="Heading2"/>
        <w:keepNext/>
      </w:pPr>
      <w:r>
        <w:rPr>
          <w:rFonts w:ascii="Lato" w:hAnsi="Lato"/>
          <w:b/>
          <w:color w:val="000000"/>
        </w:rPr>
        <w:t>10.3 Checklist before the final run</w:t>
      </w:r>
    </w:p>
    <w:p>
      <w:pPr>
        <w:pStyle w:val="ListBullet"/>
        <w:spacing w:after="40"/>
        <w:ind w:left="340" w:hanging="142"/>
      </w:pPr>
      <w:r>
        <w:rPr>
          <w:rFonts w:ascii="Lato" w:hAnsi="Lato"/>
        </w:rPr>
        <w:t>All tests pass.</w:t>
      </w:r>
    </w:p>
    <w:p>
      <w:pPr>
        <w:pStyle w:val="ListBullet"/>
        <w:spacing w:after="40"/>
        <w:ind w:left="340" w:hanging="142"/>
      </w:pPr>
      <w:r>
        <w:rPr>
          <w:rFonts w:ascii="Lato" w:hAnsi="Lato"/>
        </w:rPr>
        <w:t>The 20 smoke cases have been manually inspected.</w:t>
      </w:r>
    </w:p>
    <w:p>
      <w:pPr>
        <w:pStyle w:val="ListBullet"/>
        <w:spacing w:after="40"/>
        <w:ind w:left="340" w:hanging="142"/>
      </w:pPr>
      <w:r>
        <w:rPr>
          <w:rFonts w:ascii="Lato" w:hAnsi="Lato"/>
        </w:rPr>
        <w:t>Perturbations do not reveal the true candidate through formatting or IDs.</w:t>
      </w:r>
    </w:p>
    <w:p>
      <w:pPr>
        <w:pStyle w:val="ListBullet"/>
        <w:spacing w:after="40"/>
        <w:ind w:left="340" w:hanging="142"/>
      </w:pPr>
      <w:r>
        <w:rPr>
          <w:rFonts w:ascii="Lato" w:hAnsi="Lato"/>
        </w:rPr>
        <w:t>Candidate order is shuffled.</w:t>
      </w:r>
    </w:p>
    <w:p>
      <w:pPr>
        <w:pStyle w:val="ListBullet"/>
        <w:spacing w:after="40"/>
        <w:ind w:left="340" w:hanging="142"/>
      </w:pPr>
      <w:r>
        <w:rPr>
          <w:rFonts w:ascii="Lato" w:hAnsi="Lato"/>
        </w:rPr>
        <w:t>The M1-M4 thresholds are recorded in the manifest.</w:t>
      </w:r>
    </w:p>
    <w:p>
      <w:pPr>
        <w:pStyle w:val="ListBullet"/>
        <w:spacing w:after="40"/>
        <w:ind w:left="340" w:hanging="142"/>
      </w:pPr>
      <w:r>
        <w:rPr>
          <w:rFonts w:ascii="Lato" w:hAnsi="Lato"/>
        </w:rPr>
        <w:t>Dependency versions are pinned.</w:t>
      </w:r>
    </w:p>
    <w:p>
      <w:pPr>
        <w:pStyle w:val="ListBullet"/>
        <w:spacing w:after="40"/>
        <w:ind w:left="340" w:hanging="142"/>
      </w:pPr>
      <w:r>
        <w:rPr>
          <w:rFonts w:ascii="Lato" w:hAnsi="Lato"/>
        </w:rPr>
        <w:t>The final script runs from scratch in a clean environment.</w:t>
      </w:r>
    </w:p>
    <w:p>
      <w:pPr>
        <w:pStyle w:val="Heading1"/>
        <w:keepNext/>
      </w:pPr>
      <w:r>
        <w:rPr>
          <w:rFonts w:ascii="Lato" w:hAnsi="Lato"/>
          <w:b/>
          <w:color w:val="000000"/>
        </w:rPr>
        <w:t>11 Execution plan through 6 September</w:t>
      </w:r>
    </w:p>
    <w:tbl>
      <w:tblPr>
        <w:tblW w:type="auto" w:w="0"/>
        <w:jc w:val="center"/>
        <w:tblLayout w:type="fixed"/>
        <w:tblLook w:firstColumn="1" w:firstRow="1" w:lastColumn="0" w:lastRow="0" w:noHBand="0" w:noVBand="1" w:val="04A0"/>
      </w:tblPr>
      <w:tblGrid>
        <w:gridCol w:w="3305"/>
        <w:gridCol w:w="3305"/>
        <w:gridCol w:w="3305"/>
      </w:tblGrid>
      <w:tr>
        <w:trPr>
          <w:tblHeader w:val="true"/>
        </w:trPr>
        <w:tc>
          <w:tcPr>
            <w:tcW w:type="dxa" w:w="1152"/>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Date</w:t>
            </w:r>
          </w:p>
        </w:tc>
        <w:tc>
          <w:tcPr>
            <w:tcW w:type="dxa" w:w="4320"/>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Work</w:t>
            </w:r>
          </w:p>
        </w:tc>
        <w:tc>
          <w:tcPr>
            <w:tcW w:type="dxa" w:w="4248"/>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Definition of Done</w:t>
            </w:r>
          </w:p>
        </w:tc>
      </w:tr>
      <w:tr>
        <w:trPr>
          <w:cantSplit/>
        </w:trPr>
        <w:tc>
          <w:tcPr>
            <w:tcW w:type="dxa" w:w="115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31 Aug</w:t>
            </w:r>
          </w:p>
        </w:tc>
        <w:tc>
          <w:tcPr>
            <w:tcW w:type="dxa" w:w="432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Generator, normalization, perturbations and hard negatives.</w:t>
            </w:r>
          </w:p>
        </w:tc>
        <w:tc>
          <w:tcPr>
            <w:tcW w:type="dxa" w:w="424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Development benchmark with seed 7 is valid and inspected.</w:t>
            </w:r>
          </w:p>
        </w:tc>
      </w:tr>
      <w:tr>
        <w:trPr>
          <w:cantSplit/>
        </w:trPr>
        <w:tc>
          <w:tcPr>
            <w:tcW w:type="dxa" w:w="115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1 Sep</w:t>
            </w:r>
          </w:p>
        </w:tc>
        <w:tc>
          <w:tcPr>
            <w:tcW w:type="dxa" w:w="432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Implement M0-M4, ranking, metrics and tests.</w:t>
            </w:r>
          </w:p>
        </w:tc>
        <w:tc>
          <w:tcPr>
            <w:tcW w:type="dxa" w:w="4248"/>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Complete smoke run with outputs.</w:t>
            </w:r>
          </w:p>
        </w:tc>
      </w:tr>
      <w:tr>
        <w:trPr>
          <w:cantSplit/>
        </w:trPr>
        <w:tc>
          <w:tcPr>
            <w:tcW w:type="dxa" w:w="115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2 Sep</w:t>
            </w:r>
          </w:p>
        </w:tc>
        <w:tc>
          <w:tcPr>
            <w:tcW w:type="dxa" w:w="432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Freeze, run seeds 42-46, analyse errors and generate the table.</w:t>
            </w:r>
          </w:p>
        </w:tc>
        <w:tc>
          <w:tcPr>
            <w:tcW w:type="dxa" w:w="424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Final results immutable except for bugs.</w:t>
            </w:r>
          </w:p>
        </w:tc>
      </w:tr>
      <w:tr>
        <w:trPr>
          <w:cantSplit/>
        </w:trPr>
        <w:tc>
          <w:tcPr>
            <w:tcW w:type="dxa" w:w="115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3 Sep</w:t>
            </w:r>
          </w:p>
        </w:tc>
        <w:tc>
          <w:tcPr>
            <w:tcW w:type="dxa" w:w="432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Write the first paper draft and figure/table.</w:t>
            </w:r>
          </w:p>
        </w:tc>
        <w:tc>
          <w:tcPr>
            <w:tcW w:type="dxa" w:w="4248"/>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Complete scientific content, even if over 2 pages.</w:t>
            </w:r>
          </w:p>
        </w:tc>
      </w:tr>
      <w:tr>
        <w:trPr>
          <w:cantSplit/>
        </w:trPr>
        <w:tc>
          <w:tcPr>
            <w:tcW w:type="dxa" w:w="115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4 Sep</w:t>
            </w:r>
          </w:p>
        </w:tc>
        <w:tc>
          <w:tcPr>
            <w:tcW w:type="dxa" w:w="432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Condense into the RECPAD template.</w:t>
            </w:r>
          </w:p>
        </w:tc>
        <w:tc>
          <w:tcPr>
            <w:tcW w:type="dxa" w:w="424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At most 2 pages including references.</w:t>
            </w:r>
          </w:p>
        </w:tc>
      </w:tr>
      <w:tr>
        <w:trPr>
          <w:cantSplit/>
        </w:trPr>
        <w:tc>
          <w:tcPr>
            <w:tcW w:type="dxa" w:w="115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5 Sep</w:t>
            </w:r>
          </w:p>
        </w:tc>
        <w:tc>
          <w:tcPr>
            <w:tcW w:type="dxa" w:w="432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Scientific review, English, blind review and PDF.</w:t>
            </w:r>
          </w:p>
        </w:tc>
        <w:tc>
          <w:tcPr>
            <w:tcW w:type="dxa" w:w="4248"/>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Submission-ready version.</w:t>
            </w:r>
          </w:p>
        </w:tc>
      </w:tr>
      <w:tr>
        <w:trPr>
          <w:cantSplit/>
        </w:trPr>
        <w:tc>
          <w:tcPr>
            <w:tcW w:type="dxa" w:w="115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6 Sep</w:t>
            </w:r>
          </w:p>
        </w:tc>
        <w:tc>
          <w:tcPr>
            <w:tcW w:type="dxa" w:w="432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Buffer and submission.</w:t>
            </w:r>
          </w:p>
        </w:tc>
        <w:tc>
          <w:tcPr>
            <w:tcW w:type="dxa" w:w="424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Critical corrections only; submission completed.</w:t>
            </w:r>
          </w:p>
        </w:tc>
      </w:tr>
    </w:tbl>
    <w:p>
      <w:pPr>
        <w:spacing w:after="0"/>
      </w:pPr>
    </w:p>
    <w:p>
      <w:pPr>
        <w:pStyle w:val="Heading2"/>
        <w:keepNext/>
      </w:pPr>
      <w:r>
        <w:rPr>
          <w:rFonts w:ascii="Lato" w:hAnsi="Lato"/>
          <w:b/>
          <w:color w:val="000000"/>
        </w:rPr>
        <w:t>11.1 Stop rules</w:t>
      </w:r>
    </w:p>
    <w:p>
      <w:pPr>
        <w:pStyle w:val="ListBullet"/>
        <w:spacing w:after="40"/>
        <w:ind w:left="340" w:hanging="142"/>
      </w:pPr>
      <w:r>
        <w:rPr>
          <w:rFonts w:ascii="Lato" w:hAnsi="Lato"/>
        </w:rPr>
        <w:t>Do not resume product research unless an essential factual question remains.</w:t>
      </w:r>
    </w:p>
    <w:p>
      <w:pPr>
        <w:pStyle w:val="ListBullet"/>
        <w:spacing w:after="40"/>
        <w:ind w:left="340" w:hanging="142"/>
      </w:pPr>
      <w:r>
        <w:rPr>
          <w:rFonts w:ascii="Lato" w:hAnsi="Lato"/>
        </w:rPr>
        <w:t>Do not add new fields to the benchmark.</w:t>
      </w:r>
    </w:p>
    <w:p>
      <w:pPr>
        <w:pStyle w:val="ListBullet"/>
        <w:spacing w:after="40"/>
        <w:ind w:left="340" w:hanging="142"/>
      </w:pPr>
      <w:r>
        <w:rPr>
          <w:rFonts w:ascii="Lato" w:hAnsi="Lato"/>
        </w:rPr>
        <w:t>Do not add embeddings, LLMs, ML training or learned weights.</w:t>
      </w:r>
    </w:p>
    <w:p>
      <w:pPr>
        <w:pStyle w:val="ListBullet"/>
        <w:spacing w:after="40"/>
        <w:ind w:left="340" w:hanging="142"/>
      </w:pPr>
      <w:r>
        <w:rPr>
          <w:rFonts w:ascii="Lato" w:hAnsi="Lato"/>
        </w:rPr>
        <w:t>Do not implement grouping or partial matching.</w:t>
      </w:r>
    </w:p>
    <w:p>
      <w:pPr>
        <w:pStyle w:val="ListBullet"/>
        <w:spacing w:after="40"/>
        <w:ind w:left="340" w:hanging="142"/>
      </w:pPr>
      <w:r>
        <w:rPr>
          <w:rFonts w:ascii="Lato" w:hAnsi="Lato"/>
        </w:rPr>
        <w:t>Do not adjust the benchmark to favour the hybrid method.</w:t>
      </w:r>
    </w:p>
    <w:p>
      <w:pPr>
        <w:pStyle w:val="ListBullet"/>
        <w:spacing w:after="40"/>
        <w:ind w:left="340" w:hanging="142"/>
      </w:pPr>
      <w:r>
        <w:rPr>
          <w:rFonts w:ascii="Lato" w:hAnsi="Lato"/>
        </w:rPr>
        <w:t>Stop research once there is sufficient evidence to implement and validate.</w:t>
      </w:r>
    </w:p>
    <w:p>
      <w:pPr>
        <w:pStyle w:val="Heading1"/>
        <w:keepNext/>
      </w:pPr>
      <w:r>
        <w:rPr>
          <w:rFonts w:ascii="Lato" w:hAnsi="Lato"/>
          <w:b/>
          <w:color w:val="000000"/>
        </w:rPr>
        <w:t>12 Risks and mitigation</w:t>
      </w:r>
    </w:p>
    <w:tbl>
      <w:tblPr>
        <w:tblW w:type="auto" w:w="0"/>
        <w:jc w:val="center"/>
        <w:tblLayout w:type="fixed"/>
        <w:tblLook w:firstColumn="1" w:firstRow="1" w:lastColumn="0" w:lastRow="0" w:noHBand="0" w:noVBand="1" w:val="04A0"/>
      </w:tblPr>
      <w:tblGrid>
        <w:gridCol w:w="3305"/>
        <w:gridCol w:w="3305"/>
        <w:gridCol w:w="3305"/>
      </w:tblGrid>
      <w:tr>
        <w:trPr>
          <w:tblHeader w:val="true"/>
        </w:trPr>
        <w:tc>
          <w:tcPr>
            <w:tcW w:type="dxa" w:w="2232"/>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6"/>
              </w:rPr>
              <w:t>Risk</w:t>
            </w:r>
          </w:p>
        </w:tc>
        <w:tc>
          <w:tcPr>
            <w:tcW w:type="dxa" w:w="2880"/>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6"/>
              </w:rPr>
              <w:t>Impact</w:t>
            </w:r>
          </w:p>
        </w:tc>
        <w:tc>
          <w:tcPr>
            <w:tcW w:type="dxa" w:w="4608"/>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6"/>
              </w:rPr>
              <w:t>Mitigation</w:t>
            </w:r>
          </w:p>
        </w:tc>
      </w:tr>
      <w:tr>
        <w:trPr>
          <w:cantSplit/>
        </w:trPr>
        <w:tc>
          <w:tcPr>
            <w:tcW w:type="dxa" w:w="223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Benchmark too easy</w:t>
            </w:r>
          </w:p>
        </w:tc>
        <w:tc>
          <w:tcPr>
            <w:tcW w:type="dxa" w:w="288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Results close to 100% and not informative.</w:t>
            </w:r>
          </w:p>
        </w:tc>
        <w:tc>
          <w:tcPr>
            <w:tcW w:type="dxa" w:w="460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Nine structured hard negatives; deliberately ambiguous N9.</w:t>
            </w:r>
          </w:p>
        </w:tc>
      </w:tr>
      <w:tr>
        <w:trPr>
          <w:cantSplit/>
        </w:trPr>
        <w:tc>
          <w:tcPr>
            <w:tcW w:type="dxa" w:w="223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Benchmark favours M4</w:t>
            </w:r>
          </w:p>
        </w:tc>
        <w:tc>
          <w:tcPr>
            <w:tcW w:type="dxa" w:w="288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Circular conclusion.</w:t>
            </w:r>
          </w:p>
        </w:tc>
        <w:tc>
          <w:tcPr>
            <w:tcW w:type="dxa" w:w="4608"/>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Freeze before results, equal weights and disclosure of all methods.</w:t>
            </w:r>
          </w:p>
        </w:tc>
      </w:tr>
      <w:tr>
        <w:trPr>
          <w:cantSplit/>
        </w:trPr>
        <w:tc>
          <w:tcPr>
            <w:tcW w:type="dxa" w:w="223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Dependence on one seed</w:t>
            </w:r>
          </w:p>
        </w:tc>
        <w:tc>
          <w:tcPr>
            <w:tcW w:type="dxa" w:w="288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Accidental result.</w:t>
            </w:r>
          </w:p>
        </w:tc>
        <w:tc>
          <w:tcPr>
            <w:tcW w:type="dxa" w:w="460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Five evaluation seeds with mean/standard deviation.</w:t>
            </w:r>
          </w:p>
        </w:tc>
      </w:tr>
      <w:tr>
        <w:trPr>
          <w:cantSplit/>
        </w:trPr>
        <w:tc>
          <w:tcPr>
            <w:tcW w:type="dxa" w:w="223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Normalization explains the entire gain</w:t>
            </w:r>
          </w:p>
        </w:tc>
        <w:tc>
          <w:tcPr>
            <w:tcW w:type="dxa" w:w="288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Incorrect attribution to the matcher.</w:t>
            </w:r>
          </w:p>
        </w:tc>
        <w:tc>
          <w:tcPr>
            <w:tcW w:type="dxa" w:w="4608"/>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M4-noNorm ablation.</w:t>
            </w:r>
          </w:p>
        </w:tc>
      </w:tr>
      <w:tr>
        <w:trPr>
          <w:cantSplit/>
        </w:trPr>
        <w:tc>
          <w:tcPr>
            <w:tcW w:type="dxa" w:w="223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Missing treated as mismatch</w:t>
            </w:r>
          </w:p>
        </w:tc>
        <w:tc>
          <w:tcPr>
            <w:tcW w:type="dxa" w:w="288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False negatives.</w:t>
            </w:r>
          </w:p>
        </w:tc>
        <w:tc>
          <w:tcPr>
            <w:tcW w:type="dxa" w:w="460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Exclude the field from the mean and measure tie rate.</w:t>
            </w:r>
          </w:p>
        </w:tc>
      </w:tr>
      <w:tr>
        <w:trPr>
          <w:cantSplit/>
        </w:trPr>
        <w:tc>
          <w:tcPr>
            <w:tcW w:type="dxa" w:w="223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Ground-truth leakage</w:t>
            </w:r>
          </w:p>
        </w:tc>
        <w:tc>
          <w:tcPr>
            <w:tcW w:type="dxa" w:w="288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Artificially high results.</w:t>
            </w:r>
          </w:p>
        </w:tc>
        <w:tc>
          <w:tcPr>
            <w:tcW w:type="dxa" w:w="4608"/>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IDs/scenario excluded from scoring; shuffled candidates.</w:t>
            </w:r>
          </w:p>
        </w:tc>
      </w:tr>
      <w:tr>
        <w:trPr>
          <w:cantSplit/>
        </w:trPr>
        <w:tc>
          <w:tcPr>
            <w:tcW w:type="dxa" w:w="2232"/>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Excessive claims</w:t>
            </w:r>
          </w:p>
        </w:tc>
        <w:tc>
          <w:tcPr>
            <w:tcW w:type="dxa" w:w="2880"/>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Scientific rejection.</w:t>
            </w:r>
          </w:p>
        </w:tc>
        <w:tc>
          <w:tcPr>
            <w:tcW w:type="dxa" w:w="4608"/>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Limit conclusions to synthetic data, 1:1 and tested perturbations.</w:t>
            </w:r>
          </w:p>
        </w:tc>
      </w:tr>
      <w:tr>
        <w:trPr>
          <w:cantSplit/>
        </w:trPr>
        <w:tc>
          <w:tcPr>
            <w:tcW w:type="dxa" w:w="2232"/>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6"/>
              </w:rPr>
              <w:t>Delay</w:t>
            </w:r>
          </w:p>
        </w:tc>
        <w:tc>
          <w:tcPr>
            <w:tcW w:type="dxa" w:w="2880"/>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Incomplete paper.</w:t>
            </w:r>
          </w:p>
        </w:tc>
        <w:tc>
          <w:tcPr>
            <w:tcW w:type="dxa" w:w="4608"/>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6"/>
              </w:rPr>
              <w:t>Freeze the scope and use a minimal implementation without speculative architecture.</w:t>
            </w:r>
          </w:p>
        </w:tc>
      </w:tr>
    </w:tbl>
    <w:p>
      <w:pPr>
        <w:spacing w:after="0"/>
      </w:pPr>
    </w:p>
    <w:p>
      <w:pPr>
        <w:pStyle w:val="Heading1"/>
        <w:keepNext/>
      </w:pPr>
      <w:r>
        <w:rPr>
          <w:rFonts w:ascii="Lato" w:hAnsi="Lato"/>
          <w:b/>
          <w:color w:val="000000"/>
        </w:rPr>
        <w:t>13 Permitted and unsupported claims</w:t>
      </w:r>
    </w:p>
    <w:tbl>
      <w:tblPr>
        <w:tblW w:type="auto" w:w="0"/>
        <w:jc w:val="center"/>
        <w:tblLayout w:type="fixed"/>
        <w:tblLook w:firstColumn="1" w:firstRow="1" w:lastColumn="0" w:lastRow="0" w:noHBand="0" w:noVBand="1" w:val="04A0"/>
      </w:tblPr>
      <w:tblGrid>
        <w:gridCol w:w="4958"/>
        <w:gridCol w:w="4958"/>
      </w:tblGrid>
      <w:tr>
        <w:trPr>
          <w:tblHeader w:val="true"/>
        </w:trPr>
        <w:tc>
          <w:tcPr>
            <w:tcW w:type="dxa" w:w="4824"/>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We may claim</w:t>
            </w:r>
          </w:p>
        </w:tc>
        <w:tc>
          <w:tcPr>
            <w:tcW w:type="dxa" w:w="4824"/>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We may not claim</w:t>
            </w:r>
          </w:p>
        </w:tc>
      </w:tr>
      <w:tr>
        <w:trPr>
          <w:cantSplit/>
        </w:trPr>
        <w:tc>
          <w:tcPr>
            <w:tcW w:type="dxa" w:w="482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The benchmark is reproducible and has known ground truth.</w:t>
            </w:r>
          </w:p>
        </w:tc>
        <w:tc>
          <w:tcPr>
            <w:tcW w:type="dxa" w:w="482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The benchmark represents all variability in real data.</w:t>
            </w:r>
          </w:p>
        </w:tc>
      </w:tr>
      <w:tr>
        <w:trPr>
          <w:cantSplit/>
        </w:trPr>
        <w:tc>
          <w:tcPr>
            <w:tcW w:type="dxa" w:w="482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Method X was more robust than Y in the tested scenarios.</w:t>
            </w:r>
          </w:p>
        </w:tc>
        <w:tc>
          <w:tcPr>
            <w:tcW w:type="dxa" w:w="482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Method X is superior in production or to commercial products.</w:t>
            </w:r>
          </w:p>
        </w:tc>
      </w:tr>
      <w:tr>
        <w:trPr>
          <w:cantSplit/>
        </w:trPr>
        <w:tc>
          <w:tcPr>
            <w:tcW w:type="dxa" w:w="482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Normalization had a given effect on the benchmark.</w:t>
            </w:r>
          </w:p>
        </w:tc>
        <w:tc>
          <w:tcPr>
            <w:tcW w:type="dxa" w:w="482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The same normalization will have the same effect at every bank.</w:t>
            </w:r>
          </w:p>
        </w:tc>
      </w:tr>
      <w:tr>
        <w:trPr>
          <w:cantSplit/>
        </w:trPr>
        <w:tc>
          <w:tcPr>
            <w:tcW w:type="dxa" w:w="482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The field-aware matcher combines known comparators transparently.</w:t>
            </w:r>
          </w:p>
        </w:tc>
        <w:tc>
          <w:tcPr>
            <w:tcW w:type="dxa" w:w="482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M4 is an unprecedented invention or a new universal state of the art.</w:t>
            </w:r>
          </w:p>
        </w:tc>
      </w:tr>
      <w:tr>
        <w:trPr>
          <w:cantSplit/>
        </w:trPr>
        <w:tc>
          <w:tcPr>
            <w:tcW w:type="dxa" w:w="482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Hard negatives increased test ambiguity.</w:t>
            </w:r>
          </w:p>
        </w:tc>
        <w:tc>
          <w:tcPr>
            <w:tcW w:type="dxa" w:w="482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The benchmark measures 1:N, N:N or accounting creation.</w:t>
            </w:r>
          </w:p>
        </w:tc>
      </w:tr>
    </w:tbl>
    <w:p>
      <w:pPr>
        <w:spacing w:after="0"/>
      </w:pPr>
    </w:p>
    <w:p>
      <w:pPr>
        <w:pStyle w:val="Heading1"/>
        <w:keepNext/>
      </w:pPr>
      <w:r>
        <w:rPr>
          <w:rFonts w:ascii="Lato" w:hAnsi="Lato"/>
          <w:b/>
          <w:color w:val="000000"/>
        </w:rPr>
        <w:t>14 Definition of Done</w:t>
      </w:r>
    </w:p>
    <w:tbl>
      <w:tblPr>
        <w:tblW w:type="auto" w:w="0"/>
        <w:jc w:val="center"/>
        <w:tblLayout w:type="fixed"/>
        <w:tblLook w:firstColumn="1" w:firstRow="1" w:lastColumn="0" w:lastRow="0" w:noHBand="0" w:noVBand="1" w:val="04A0"/>
      </w:tblPr>
      <w:tblGrid>
        <w:gridCol w:w="4958"/>
        <w:gridCol w:w="4958"/>
      </w:tblGrid>
      <w:tr>
        <w:trPr>
          <w:tblHeader w:val="true"/>
        </w:trPr>
        <w:tc>
          <w:tcPr>
            <w:tcW w:type="dxa" w:w="2016"/>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Area</w:t>
            </w:r>
          </w:p>
        </w:tc>
        <w:tc>
          <w:tcPr>
            <w:tcW w:type="dxa" w:w="7704"/>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Completion condition</w:t>
            </w:r>
          </w:p>
        </w:tc>
      </w:tr>
      <w:tr>
        <w:trPr>
          <w:cantSplit/>
        </w:trPr>
        <w:tc>
          <w:tcPr>
            <w:tcW w:type="dxa" w:w="201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Protocol</w:t>
            </w:r>
          </w:p>
        </w:tc>
        <w:tc>
          <w:tcPr>
            <w:tcW w:type="dxa" w:w="77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Research question, scope, fields, scenarios, methods, metrics and seeds are frozen.</w:t>
            </w:r>
          </w:p>
        </w:tc>
      </w:tr>
      <w:tr>
        <w:trPr>
          <w:cantSplit/>
        </w:trPr>
        <w:tc>
          <w:tcPr>
            <w:tcW w:type="dxa" w:w="201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Generator</w:t>
            </w:r>
          </w:p>
        </w:tc>
        <w:tc>
          <w:tcPr>
            <w:tcW w:type="dxa" w:w="77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4 000 reproducible final cases with validated invariants.</w:t>
            </w:r>
          </w:p>
        </w:tc>
      </w:tr>
      <w:tr>
        <w:trPr>
          <w:cantSplit/>
        </w:trPr>
        <w:tc>
          <w:tcPr>
            <w:tcW w:type="dxa" w:w="201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Methods</w:t>
            </w:r>
          </w:p>
        </w:tc>
        <w:tc>
          <w:tcPr>
            <w:tcW w:type="dxa" w:w="77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M0-M4 and M4-noNorm implemented without using ground truth.</w:t>
            </w:r>
          </w:p>
        </w:tc>
      </w:tr>
      <w:tr>
        <w:trPr>
          <w:cantSplit/>
        </w:trPr>
        <w:tc>
          <w:tcPr>
            <w:tcW w:type="dxa" w:w="201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Quality</w:t>
            </w:r>
          </w:p>
        </w:tc>
        <w:tc>
          <w:tcPr>
            <w:tcW w:type="dxa" w:w="77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Unit and integration tests pass; smoke cases inspected.</w:t>
            </w:r>
          </w:p>
        </w:tc>
      </w:tr>
      <w:tr>
        <w:trPr>
          <w:cantSplit/>
        </w:trPr>
        <w:tc>
          <w:tcPr>
            <w:tcW w:type="dxa" w:w="201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Results</w:t>
            </w:r>
          </w:p>
        </w:tc>
        <w:tc>
          <w:tcPr>
            <w:tcW w:type="dxa" w:w="77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Per-case and per-scenario CSVs, with a summary across seeds.</w:t>
            </w:r>
          </w:p>
        </w:tc>
      </w:tr>
      <w:tr>
        <w:trPr>
          <w:cantSplit/>
        </w:trPr>
        <w:tc>
          <w:tcPr>
            <w:tcW w:type="dxa" w:w="201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Reproducibility</w:t>
            </w:r>
          </w:p>
        </w:tc>
        <w:tc>
          <w:tcPr>
            <w:tcW w:type="dxa" w:w="77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Manifest and pinned dependencies; final run executable from scratch.</w:t>
            </w:r>
          </w:p>
        </w:tc>
      </w:tr>
      <w:tr>
        <w:trPr>
          <w:cantSplit/>
        </w:trPr>
        <w:tc>
          <w:tcPr>
            <w:tcW w:type="dxa" w:w="201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Paper</w:t>
            </w:r>
          </w:p>
        </w:tc>
        <w:tc>
          <w:tcPr>
            <w:tcW w:type="dxa" w:w="77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Table/figure derived directly from outputs, consistent claims and a 2-page limit.</w:t>
            </w:r>
          </w:p>
        </w:tc>
      </w:tr>
    </w:tbl>
    <w:p>
      <w:pPr>
        <w:spacing w:after="0"/>
      </w:pPr>
    </w:p>
    <w:tbl>
      <w:tblPr>
        <w:tblW w:type="auto" w:w="0"/>
        <w:jc w:val="center"/>
        <w:tblLayout w:type="autofit"/>
        <w:tblLook w:firstColumn="1" w:firstRow="1" w:lastColumn="0" w:lastRow="0" w:noHBand="0" w:noVBand="1" w:val="04A0"/>
      </w:tblPr>
      <w:tblGrid>
        <w:gridCol w:w="9916"/>
      </w:tblGrid>
      <w:tr>
        <w:trPr>
          <w:cantSplit/>
        </w:trPr>
        <w:tc>
          <w:tcPr>
            <w:tcW w:type="dxa" w:w="9916"/>
            <w:shd w:fill="E9F5F3"/>
            <w:tcMar>
              <w:top w:w="120" w:type="dxa"/>
              <w:start w:w="150" w:type="dxa"/>
              <w:bottom w:w="120" w:type="dxa"/>
              <w:end w:w="150" w:type="dxa"/>
            </w:tcMar>
            <w:tcBorders>
              <w:top w:val="single" w:sz="8" w:color="1B7F79"/>
              <w:bottom w:val="single" w:sz="8" w:color="1B7F79"/>
              <w:left w:val="single" w:sz="18" w:color="1B7F79"/>
              <w:right w:val="single" w:sz="8" w:color="1B7F79"/>
            </w:tcBorders>
          </w:tcPr>
          <w:p>
            <w:pPr>
              <w:spacing w:after="40"/>
            </w:pPr>
            <w:r>
              <w:rPr>
                <w:rFonts w:ascii="Lato" w:hAnsi="Lato"/>
                <w:b/>
                <w:color w:val="17324D"/>
              </w:rPr>
              <w:t>Recommended final decision</w:t>
            </w:r>
          </w:p>
          <w:p>
            <w:pPr>
              <w:spacing w:after="0"/>
            </w:pPr>
            <w:r>
              <w:rPr>
                <w:rFonts w:ascii="Lato" w:hAnsi="Lato"/>
                <w:sz w:val="19"/>
              </w:rPr>
              <w:t>Implement M0-M4 with equal weighting, use five evaluation seeds and retain the 1:1 benchmark. This configuration progressively isolates exact matching, tolerances, two string-similarity families and a field-aware combination without requiring training data or arbitrary weights.</w:t>
            </w:r>
          </w:p>
        </w:tc>
      </w:tr>
    </w:tbl>
    <w:p>
      <w:pPr>
        <w:spacing w:after="0"/>
      </w:pPr>
    </w:p>
    <w:p>
      <w:pPr>
        <w:pStyle w:val="Heading1"/>
        <w:keepNext/>
      </w:pPr>
      <w:r>
        <w:rPr>
          <w:rFonts w:ascii="Lato" w:hAnsi="Lato"/>
          <w:b/>
          <w:color w:val="000000"/>
        </w:rPr>
        <w:t>15 Glossary for first time readers</w:t>
      </w:r>
    </w:p>
    <w:tbl>
      <w:tblPr>
        <w:tblW w:type="auto" w:w="0"/>
        <w:jc w:val="center"/>
        <w:tblLayout w:type="fixed"/>
        <w:tblLook w:firstColumn="1" w:firstRow="1" w:lastColumn="0" w:lastRow="0" w:noHBand="0" w:noVBand="1" w:val="04A0"/>
      </w:tblPr>
      <w:tblGrid>
        <w:gridCol w:w="4958"/>
        <w:gridCol w:w="4958"/>
      </w:tblGrid>
      <w:tr>
        <w:trPr>
          <w:tblHeader w:val="true"/>
        </w:trPr>
        <w:tc>
          <w:tcPr>
            <w:tcW w:type="dxa" w:w="2304"/>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Term</w:t>
            </w:r>
          </w:p>
        </w:tc>
        <w:tc>
          <w:tcPr>
            <w:tcW w:type="dxa" w:w="7416"/>
            <w:shd w:fill="17324D"/>
            <w:tcMar>
              <w:top w:w="90" w:type="dxa"/>
              <w:start w:w="90" w:type="dxa"/>
              <w:bottom w:w="90" w:type="dxa"/>
              <w:end w:w="90" w:type="dxa"/>
            </w:tcMar>
            <w:vAlign w:val="center"/>
            <w:tcBorders>
              <w:top w:val="single" w:sz="6" w:color="17324D"/>
              <w:bottom w:val="single" w:sz="6" w:color="17324D"/>
              <w:left w:val="single" w:sz="4" w:color="FFFFFF"/>
              <w:right w:val="single" w:sz="4" w:color="FFFFFF"/>
            </w:tcBorders>
          </w:tcPr>
          <w:p>
            <w:pPr>
              <w:keepNext/>
              <w:jc w:val="left"/>
            </w:pPr>
            <w:r>
              <w:rPr>
                <w:rFonts w:ascii="Lato" w:hAnsi="Lato"/>
                <w:b/>
                <w:color w:val="FFFFFF"/>
                <w:sz w:val="17"/>
              </w:rPr>
              <w:t>Definition</w:t>
            </w:r>
          </w:p>
        </w:tc>
      </w:tr>
      <w:tr>
        <w:trPr>
          <w:cantSplit/>
        </w:trPr>
        <w:tc>
          <w:tcPr>
            <w:tcW w:type="dxa" w:w="23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Accounting Record</w:t>
            </w:r>
          </w:p>
        </w:tc>
        <w:tc>
          <w:tcPr>
            <w:tcW w:type="dxa" w:w="741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Internal candidate record: a simplified posting, document or open item.</w:t>
            </w:r>
          </w:p>
        </w:tc>
      </w:tr>
      <w:tr>
        <w:trPr>
          <w:cantSplit/>
        </w:trPr>
        <w:tc>
          <w:tcPr>
            <w:tcW w:type="dxa" w:w="23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Bank Transaction</w:t>
            </w:r>
          </w:p>
        </w:tc>
        <w:tc>
          <w:tcPr>
            <w:tcW w:type="dxa" w:w="741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Bank movement to be associated with an internal record.</w:t>
            </w:r>
          </w:p>
        </w:tc>
      </w:tr>
      <w:tr>
        <w:trPr>
          <w:cantSplit/>
        </w:trPr>
        <w:tc>
          <w:tcPr>
            <w:tcW w:type="dxa" w:w="23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Candidate</w:t>
            </w:r>
          </w:p>
        </w:tc>
        <w:tc>
          <w:tcPr>
            <w:tcW w:type="dxa" w:w="741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A possible Accounting Record presented to the matcher.</w:t>
            </w:r>
          </w:p>
        </w:tc>
      </w:tr>
      <w:tr>
        <w:trPr>
          <w:cantSplit/>
        </w:trPr>
        <w:tc>
          <w:tcPr>
            <w:tcW w:type="dxa" w:w="23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Ground truth</w:t>
            </w:r>
          </w:p>
        </w:tc>
        <w:tc>
          <w:tcPr>
            <w:tcW w:type="dxa" w:w="741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Known correct match used only for evaluation.</w:t>
            </w:r>
          </w:p>
        </w:tc>
      </w:tr>
      <w:tr>
        <w:trPr>
          <w:cantSplit/>
        </w:trPr>
        <w:tc>
          <w:tcPr>
            <w:tcW w:type="dxa" w:w="23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Record linkage</w:t>
            </w:r>
          </w:p>
        </w:tc>
        <w:tc>
          <w:tcPr>
            <w:tcW w:type="dxa" w:w="741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Identification of records from different sources that represent the same object/event.</w:t>
            </w:r>
          </w:p>
        </w:tc>
      </w:tr>
      <w:tr>
        <w:trPr>
          <w:cantSplit/>
        </w:trPr>
        <w:tc>
          <w:tcPr>
            <w:tcW w:type="dxa" w:w="23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Normalization</w:t>
            </w:r>
          </w:p>
        </w:tc>
        <w:tc>
          <w:tcPr>
            <w:tcW w:type="dxa" w:w="741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Transformation of different formats into a comparable representation.</w:t>
            </w:r>
          </w:p>
        </w:tc>
      </w:tr>
      <w:tr>
        <w:trPr>
          <w:cantSplit/>
        </w:trPr>
        <w:tc>
          <w:tcPr>
            <w:tcW w:type="dxa" w:w="23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Perturbation</w:t>
            </w:r>
          </w:p>
        </w:tc>
        <w:tc>
          <w:tcPr>
            <w:tcW w:type="dxa" w:w="741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Controlled change introduced in a field of the true pair.</w:t>
            </w:r>
          </w:p>
        </w:tc>
      </w:tr>
      <w:tr>
        <w:trPr>
          <w:cantSplit/>
        </w:trPr>
        <w:tc>
          <w:tcPr>
            <w:tcW w:type="dxa" w:w="23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Hard negative</w:t>
            </w:r>
          </w:p>
        </w:tc>
        <w:tc>
          <w:tcPr>
            <w:tcW w:type="dxa" w:w="741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Incorrect candidate that retains sufficient evidence to be plausible.</w:t>
            </w:r>
          </w:p>
        </w:tc>
      </w:tr>
      <w:tr>
        <w:trPr>
          <w:cantSplit/>
        </w:trPr>
        <w:tc>
          <w:tcPr>
            <w:tcW w:type="dxa" w:w="23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Similarity</w:t>
            </w:r>
          </w:p>
        </w:tc>
        <w:tc>
          <w:tcPr>
            <w:tcW w:type="dxa" w:w="741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Value between 0 and 1 representing closeness between two values.</w:t>
            </w:r>
          </w:p>
        </w:tc>
      </w:tr>
      <w:tr>
        <w:trPr>
          <w:cantSplit/>
        </w:trPr>
        <w:tc>
          <w:tcPr>
            <w:tcW w:type="dxa" w:w="23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Score</w:t>
            </w:r>
          </w:p>
        </w:tc>
        <w:tc>
          <w:tcPr>
            <w:tcW w:type="dxa" w:w="741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Aggregation of similarities across the available fields.</w:t>
            </w:r>
          </w:p>
        </w:tc>
      </w:tr>
      <w:tr>
        <w:trPr>
          <w:cantSplit/>
        </w:trPr>
        <w:tc>
          <w:tcPr>
            <w:tcW w:type="dxa" w:w="23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Rank</w:t>
            </w:r>
          </w:p>
        </w:tc>
        <w:tc>
          <w:tcPr>
            <w:tcW w:type="dxa" w:w="741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Candidate position after sorting the scores.</w:t>
            </w:r>
          </w:p>
        </w:tc>
      </w:tr>
      <w:tr>
        <w:trPr>
          <w:cantSplit/>
        </w:trPr>
        <w:tc>
          <w:tcPr>
            <w:tcW w:type="dxa" w:w="23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MRR</w:t>
            </w:r>
          </w:p>
        </w:tc>
        <w:tc>
          <w:tcPr>
            <w:tcW w:type="dxa" w:w="741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Mean reciprocal rank of the first correct candidate.</w:t>
            </w:r>
          </w:p>
        </w:tc>
      </w:tr>
      <w:tr>
        <w:trPr>
          <w:cantSplit/>
        </w:trPr>
        <w:tc>
          <w:tcPr>
            <w:tcW w:type="dxa" w:w="2304"/>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Ablation</w:t>
            </w:r>
          </w:p>
        </w:tc>
        <w:tc>
          <w:tcPr>
            <w:tcW w:type="dxa" w:w="7416"/>
            <w:shd w:fill="FFFFFF"/>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Experiment that removes part of a method to measure its contribution.</w:t>
            </w:r>
          </w:p>
        </w:tc>
      </w:tr>
      <w:tr>
        <w:trPr>
          <w:cantSplit/>
        </w:trPr>
        <w:tc>
          <w:tcPr>
            <w:tcW w:type="dxa" w:w="2304"/>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sz w:val="17"/>
              </w:rPr>
              <w:t>Tie rate</w:t>
            </w:r>
          </w:p>
        </w:tc>
        <w:tc>
          <w:tcPr>
            <w:tcW w:type="dxa" w:w="7416"/>
            <w:shd w:fill="F3F5F7"/>
            <w:tcMar>
              <w:top w:w="85" w:type="dxa"/>
              <w:start w:w="90" w:type="dxa"/>
              <w:bottom w:w="85" w:type="dxa"/>
              <w:end w:w="90" w:type="dxa"/>
            </w:tcMar>
            <w:vAlign w:val="top"/>
            <w:tcBorders>
              <w:top w:val="single" w:sz="3" w:color="D6DDE3"/>
              <w:bottom w:val="single" w:sz="3" w:color="D6DDE3"/>
              <w:left w:val="single" w:sz="3" w:color="D6DDE3"/>
              <w:right w:val="single" w:sz="3" w:color="D6DDE3"/>
            </w:tcBorders>
          </w:tcPr>
          <w:p>
            <w:pPr>
              <w:spacing w:after="0"/>
            </w:pPr>
            <w:r>
              <w:rPr>
                <w:rFonts w:ascii="Lato" w:hAnsi="Lato"/>
                <w:b w:val="0"/>
                <w:sz w:val="17"/>
              </w:rPr>
              <w:t>Percentage of cases with more than one candidate tied at the highest score.</w:t>
            </w:r>
          </w:p>
        </w:tc>
      </w:tr>
    </w:tbl>
    <w:p>
      <w:pPr>
        <w:spacing w:after="0"/>
      </w:pPr>
    </w:p>
    <w:p>
      <w:pPr>
        <w:pStyle w:val="Heading1"/>
        <w:keepNext/>
      </w:pPr>
      <w:r>
        <w:rPr>
          <w:rFonts w:ascii="Lato" w:hAnsi="Lato"/>
          <w:b/>
          <w:color w:val="000000"/>
        </w:rPr>
        <w:t>16 References</w:t>
      </w:r>
    </w:p>
    <w:p>
      <w:pPr>
        <w:pStyle w:val="Heading2"/>
        <w:keepNext/>
      </w:pPr>
      <w:r>
        <w:rPr>
          <w:rFonts w:ascii="Lato" w:hAnsi="Lato"/>
          <w:b/>
          <w:color w:val="000000"/>
        </w:rPr>
        <w:t>16.1 Scientific and methodological references</w:t>
      </w:r>
    </w:p>
    <w:p>
      <w:pPr>
        <w:spacing w:after="80"/>
      </w:pPr>
      <w:r>
        <w:rPr>
          <w:rFonts w:ascii="Lato" w:hAnsi="Lato"/>
          <w:b/>
          <w:color w:val="1B7F79"/>
        </w:rPr>
        <w:t xml:space="preserve">[C1] </w:t>
      </w:r>
      <w:r>
        <w:rPr>
          <w:rFonts w:ascii="Lato" w:hAnsi="Lato"/>
          <w:sz w:val="18"/>
        </w:rPr>
        <w:t xml:space="preserve">Fellegi, I. P.; Sunter, A. B. (1969). A Theory for Record Linkage. Journal of the American Statistical Association, 64(328), 1183-1210. DOI: 10.1080/01621459.1969.10501049 </w:t>
      </w:r>
      <w:hyperlink r:id="rId11">
        <w:r>
          <w:rPr>
            <w:rFonts w:ascii="Lato" w:hAnsi="Lato"/>
            <w:color w:val="246B8E"/>
            <w:u w:val="single"/>
          </w:rPr>
          <w:t>Link</w:t>
        </w:r>
      </w:hyperlink>
    </w:p>
    <w:p>
      <w:pPr>
        <w:spacing w:after="80"/>
      </w:pPr>
      <w:r>
        <w:rPr>
          <w:rFonts w:ascii="Lato" w:hAnsi="Lato"/>
          <w:b/>
          <w:color w:val="1B7F79"/>
        </w:rPr>
        <w:t xml:space="preserve">[C2] </w:t>
      </w:r>
      <w:r>
        <w:rPr>
          <w:rFonts w:ascii="Lato" w:hAnsi="Lato"/>
          <w:sz w:val="18"/>
        </w:rPr>
        <w:t xml:space="preserve">Jaro, M. A. (1989). Advances in Record-Linkage Methodology as Applied to Matching the 1985 Census of Tampa, Florida. JASA, 84(406), 414-420. DOI: 10.1080/01621459.1989.10478785 </w:t>
      </w:r>
      <w:hyperlink r:id="rId12">
        <w:r>
          <w:rPr>
            <w:rFonts w:ascii="Lato" w:hAnsi="Lato"/>
            <w:color w:val="246B8E"/>
            <w:u w:val="single"/>
          </w:rPr>
          <w:t>Link</w:t>
        </w:r>
      </w:hyperlink>
    </w:p>
    <w:p>
      <w:pPr>
        <w:spacing w:after="80"/>
      </w:pPr>
      <w:r>
        <w:rPr>
          <w:rFonts w:ascii="Lato" w:hAnsi="Lato"/>
          <w:b/>
          <w:color w:val="1B7F79"/>
        </w:rPr>
        <w:t xml:space="preserve">[C3] </w:t>
      </w:r>
      <w:r>
        <w:rPr>
          <w:rFonts w:ascii="Lato" w:hAnsi="Lato"/>
          <w:sz w:val="18"/>
        </w:rPr>
        <w:t xml:space="preserve">Winkler, W. E. (1990). String Comparator Metrics and Enhanced Decision Rules in the Fellegi-Sunter Model of Record Linkage. Proceedings of the ASA Section on Survey Research Methods. </w:t>
      </w:r>
      <w:hyperlink r:id="rId13">
        <w:r>
          <w:rPr>
            <w:rFonts w:ascii="Lato" w:hAnsi="Lato"/>
            <w:color w:val="246B8E"/>
            <w:u w:val="single"/>
          </w:rPr>
          <w:t>Link</w:t>
        </w:r>
      </w:hyperlink>
    </w:p>
    <w:p>
      <w:pPr>
        <w:spacing w:after="80"/>
      </w:pPr>
      <w:r>
        <w:rPr>
          <w:rFonts w:ascii="Lato" w:hAnsi="Lato"/>
          <w:b/>
          <w:color w:val="1B7F79"/>
        </w:rPr>
        <w:t xml:space="preserve">[C4] </w:t>
      </w:r>
      <w:r>
        <w:rPr>
          <w:rFonts w:ascii="Lato" w:hAnsi="Lato"/>
          <w:sz w:val="18"/>
        </w:rPr>
        <w:t xml:space="preserve">Ukkonen, E. (1992). Approximate String-Matching with Q-Grams and Maximal Matches. Theoretical Computer Science, 92(1), 191-211. DOI: 10.1016/0304-3975(92)90143-4 </w:t>
      </w:r>
      <w:hyperlink r:id="rId14">
        <w:r>
          <w:rPr>
            <w:rFonts w:ascii="Lato" w:hAnsi="Lato"/>
            <w:color w:val="246B8E"/>
            <w:u w:val="single"/>
          </w:rPr>
          <w:t>Link</w:t>
        </w:r>
      </w:hyperlink>
    </w:p>
    <w:p>
      <w:pPr>
        <w:spacing w:after="80"/>
      </w:pPr>
      <w:r>
        <w:rPr>
          <w:rFonts w:ascii="Lato" w:hAnsi="Lato"/>
          <w:b/>
          <w:color w:val="1B7F79"/>
        </w:rPr>
        <w:t xml:space="preserve">[C5] </w:t>
      </w:r>
      <w:r>
        <w:rPr>
          <w:rFonts w:ascii="Lato" w:hAnsi="Lato"/>
          <w:sz w:val="18"/>
        </w:rPr>
        <w:t xml:space="preserve">Cohen, W. W.; Ravikumar, P.; Fienberg, S. E. (2003). A Comparison of String Distance Metrics for Name-Matching Tasks. IJCAI Workshop on Information Integration on the Web. </w:t>
      </w:r>
      <w:hyperlink r:id="rId15">
        <w:r>
          <w:rPr>
            <w:rFonts w:ascii="Lato" w:hAnsi="Lato"/>
            <w:color w:val="246B8E"/>
            <w:u w:val="single"/>
          </w:rPr>
          <w:t>Link</w:t>
        </w:r>
      </w:hyperlink>
    </w:p>
    <w:p>
      <w:pPr>
        <w:spacing w:after="80"/>
      </w:pPr>
      <w:r>
        <w:rPr>
          <w:rFonts w:ascii="Lato" w:hAnsi="Lato"/>
          <w:b/>
          <w:color w:val="1B7F79"/>
        </w:rPr>
        <w:t xml:space="preserve">[C6] </w:t>
      </w:r>
      <w:r>
        <w:rPr>
          <w:rFonts w:ascii="Lato" w:hAnsi="Lato"/>
          <w:sz w:val="18"/>
        </w:rPr>
        <w:t xml:space="preserve">Voorhees, E. M.; Tice, D. M. (1999/2000). The TREC-8 Question Answering Track Report. NIST / LREC. Defines Mean Reciprocal Rank as the mean of reciprocal ranks. </w:t>
      </w:r>
      <w:hyperlink r:id="rId16">
        <w:r>
          <w:rPr>
            <w:rFonts w:ascii="Lato" w:hAnsi="Lato"/>
            <w:color w:val="246B8E"/>
            <w:u w:val="single"/>
          </w:rPr>
          <w:t>Link</w:t>
        </w:r>
      </w:hyperlink>
    </w:p>
    <w:p>
      <w:pPr>
        <w:spacing w:after="80"/>
      </w:pPr>
      <w:r>
        <w:rPr>
          <w:rFonts w:ascii="Lato" w:hAnsi="Lato"/>
          <w:b/>
          <w:color w:val="1B7F79"/>
        </w:rPr>
        <w:t xml:space="preserve">[C7] </w:t>
      </w:r>
      <w:r>
        <w:rPr>
          <w:rFonts w:ascii="Lato" w:hAnsi="Lato"/>
          <w:sz w:val="18"/>
        </w:rPr>
        <w:t xml:space="preserve">Office for National Statistics (2021). Developing Standard Tools for Data Linkage. A missing comparison returns null rather than false to avoid false negatives. </w:t>
      </w:r>
      <w:hyperlink r:id="rId17">
        <w:r>
          <w:rPr>
            <w:rFonts w:ascii="Lato" w:hAnsi="Lato"/>
            <w:color w:val="246B8E"/>
            <w:u w:val="single"/>
          </w:rPr>
          <w:t>Link</w:t>
        </w:r>
      </w:hyperlink>
    </w:p>
    <w:p>
      <w:pPr>
        <w:spacing w:after="80"/>
      </w:pPr>
      <w:r>
        <w:rPr>
          <w:rFonts w:ascii="Lato" w:hAnsi="Lato"/>
          <w:b/>
          <w:color w:val="1B7F79"/>
        </w:rPr>
        <w:t xml:space="preserve">[C8] </w:t>
      </w:r>
      <w:r>
        <w:rPr>
          <w:rFonts w:ascii="Lato" w:hAnsi="Lato"/>
          <w:sz w:val="18"/>
        </w:rPr>
        <w:t xml:space="preserve">Munoz, J.; Jalili, M.; Tafakori, L. (2025). Enhancing Bookkeeper Decision Support Through Graph Representation Learning for Bank Reconciliation. The Journal of Finance and Data Science, 11, 100170. DOI: 10.1016/j.jfds.2025.100170 </w:t>
      </w:r>
      <w:hyperlink r:id="rId18">
        <w:r>
          <w:rPr>
            <w:rFonts w:ascii="Lato" w:hAnsi="Lato"/>
            <w:color w:val="246B8E"/>
            <w:u w:val="single"/>
          </w:rPr>
          <w:t>Link</w:t>
        </w:r>
      </w:hyperlink>
    </w:p>
    <w:p>
      <w:pPr>
        <w:pStyle w:val="Heading2"/>
        <w:keepNext/>
      </w:pPr>
      <w:r>
        <w:rPr>
          <w:rFonts w:ascii="Lato" w:hAnsi="Lato"/>
          <w:b/>
          <w:color w:val="000000"/>
        </w:rPr>
        <w:t>16.2 Industrial sources and conference</w:t>
      </w:r>
    </w:p>
    <w:p>
      <w:pPr>
        <w:spacing w:after="80"/>
      </w:pPr>
      <w:r>
        <w:rPr>
          <w:rFonts w:ascii="Lato" w:hAnsi="Lato"/>
          <w:b/>
          <w:color w:val="1B7F79"/>
        </w:rPr>
        <w:t xml:space="preserve">[I1] </w:t>
      </w:r>
      <w:r>
        <w:rPr>
          <w:rFonts w:ascii="Lato" w:hAnsi="Lato"/>
          <w:sz w:val="18"/>
        </w:rPr>
      </w:r>
      <w:r>
        <w:rPr>
          <w:b w:val="0"/>
          <w:color w:val="000000"/>
        </w:rPr>
        <w:t xml:space="preserve">Document A - Comparative study of 15 reconciliation engines. Internal evidence notebook with validated claims, limitations and official references for each product. </w:t>
      </w:r>
    </w:p>
    <w:p>
      <w:pPr>
        <w:spacing w:after="80"/>
      </w:pPr>
      <w:r>
        <w:rPr>
          <w:rFonts w:ascii="Lato" w:hAnsi="Lato"/>
          <w:b/>
          <w:color w:val="1B7F79"/>
        </w:rPr>
        <w:t xml:space="preserve">[I2] </w:t>
      </w:r>
      <w:r>
        <w:rPr>
          <w:rFonts w:ascii="Lato" w:hAnsi="Lato"/>
          <w:sz w:val="18"/>
        </w:rPr>
      </w:r>
      <w:r>
        <w:rPr>
          <w:b w:val="0"/>
          <w:color w:val="000000"/>
        </w:rPr>
        <w:t xml:space="preserve">Oracle Fusion Cloud - Reconciliation Matching Rules. Representative reference for criteria, cardinality, grouping and advanced matching. </w:t>
      </w:r>
      <w:hyperlink r:id="rId19">
        <w:r>
          <w:rPr>
            <w:rFonts w:ascii="Lato" w:hAnsi="Lato"/>
            <w:color w:val="246B8E"/>
            <w:u w:val="single"/>
          </w:rPr>
          <w:t>Link</w:t>
        </w:r>
      </w:hyperlink>
    </w:p>
    <w:p>
      <w:pPr>
        <w:spacing w:after="80"/>
      </w:pPr>
      <w:r>
        <w:rPr>
          <w:rFonts w:ascii="Lato" w:hAnsi="Lato"/>
          <w:b/>
          <w:color w:val="1B7F79"/>
        </w:rPr>
        <w:t xml:space="preserve">[I3] </w:t>
      </w:r>
      <w:r>
        <w:rPr>
          <w:rFonts w:ascii="Lato" w:hAnsi="Lato"/>
          <w:sz w:val="18"/>
        </w:rPr>
      </w:r>
      <w:r>
        <w:rPr>
          <w:b w:val="0"/>
          <w:color w:val="000000"/>
        </w:rPr>
        <w:t xml:space="preserve">SAP S/4HANA - Processing Rules / Cash Application. Representative reference for regex, algorithms, ML proposals and confidence. </w:t>
      </w:r>
      <w:hyperlink r:id="rId20">
        <w:r>
          <w:rPr>
            <w:rFonts w:ascii="Lato" w:hAnsi="Lato"/>
            <w:color w:val="246B8E"/>
            <w:u w:val="single"/>
          </w:rPr>
          <w:t>Link</w:t>
        </w:r>
      </w:hyperlink>
    </w:p>
    <w:p>
      <w:pPr>
        <w:spacing w:after="80"/>
      </w:pPr>
      <w:r>
        <w:rPr>
          <w:rFonts w:ascii="Lato" w:hAnsi="Lato"/>
          <w:b/>
          <w:color w:val="1B7F79"/>
        </w:rPr>
        <w:t xml:space="preserve">[I4] </w:t>
      </w:r>
      <w:r>
        <w:rPr>
          <w:rFonts w:ascii="Lato" w:hAnsi="Lato"/>
          <w:sz w:val="18"/>
        </w:rPr>
      </w:r>
      <w:r>
        <w:rPr>
          <w:b w:val="0"/>
          <w:color w:val="000000"/>
        </w:rPr>
        <w:t xml:space="preserve">ReconArt - AI Reconciliation. Representative reference for fuzzy matching, confidence thresholds and weighted scoring. </w:t>
      </w:r>
      <w:hyperlink r:id="rId21">
        <w:r>
          <w:rPr>
            <w:rFonts w:ascii="Lato" w:hAnsi="Lato"/>
            <w:color w:val="246B8E"/>
            <w:u w:val="single"/>
          </w:rPr>
          <w:t>Link</w:t>
        </w:r>
      </w:hyperlink>
    </w:p>
    <w:p>
      <w:pPr>
        <w:spacing w:after="80"/>
      </w:pPr>
      <w:r>
        <w:rPr>
          <w:rFonts w:ascii="Lato" w:hAnsi="Lato"/>
          <w:b/>
          <w:color w:val="1B7F79"/>
        </w:rPr>
        <w:t xml:space="preserve">[I5] </w:t>
      </w:r>
      <w:r>
        <w:rPr>
          <w:rFonts w:ascii="Lato" w:hAnsi="Lato"/>
          <w:sz w:val="18"/>
        </w:rPr>
      </w:r>
      <w:r>
        <w:rPr>
          <w:b w:val="0"/>
          <w:color w:val="000000"/>
        </w:rPr>
        <w:t xml:space="preserve">PHC GO - Automatic bank reconciliation. Representative reference for simple matching policies, temporal tolerances and ambiguities. </w:t>
      </w:r>
      <w:hyperlink r:id="rId22">
        <w:r>
          <w:rPr>
            <w:rFonts w:ascii="Lato" w:hAnsi="Lato"/>
            <w:color w:val="246B8E"/>
            <w:u w:val="single"/>
          </w:rPr>
          <w:t>Link</w:t>
        </w:r>
      </w:hyperlink>
    </w:p>
    <w:p>
      <w:pPr>
        <w:spacing w:after="80"/>
      </w:pPr>
      <w:r>
        <w:rPr>
          <w:rFonts w:ascii="Lato" w:hAnsi="Lato"/>
          <w:b/>
          <w:color w:val="1B7F79"/>
        </w:rPr>
        <w:t xml:space="preserve">[I6] </w:t>
      </w:r>
      <w:r>
        <w:rPr>
          <w:rFonts w:ascii="Lato" w:hAnsi="Lato"/>
          <w:sz w:val="18"/>
        </w:rPr>
      </w:r>
      <w:r>
        <w:rPr>
          <w:b w:val="0"/>
          <w:color w:val="000000"/>
        </w:rPr>
        <w:t xml:space="preserve">Eticadata ERP v17 - New features. Representative reference for source mapping, criteria and field-level tolerances. </w:t>
      </w:r>
      <w:hyperlink r:id="rId23">
        <w:r>
          <w:rPr>
            <w:rFonts w:ascii="Lato" w:hAnsi="Lato"/>
            <w:color w:val="246B8E"/>
            <w:u w:val="single"/>
          </w:rPr>
          <w:t>Link</w:t>
        </w:r>
      </w:hyperlink>
    </w:p>
    <w:p>
      <w:pPr>
        <w:spacing w:after="80"/>
      </w:pPr>
      <w:r>
        <w:rPr>
          <w:rFonts w:ascii="Lato" w:hAnsi="Lato"/>
          <w:b/>
          <w:color w:val="1B7F79"/>
        </w:rPr>
        <w:t xml:space="preserve">[I7] </w:t>
      </w:r>
      <w:r>
        <w:rPr>
          <w:rFonts w:ascii="Lato" w:hAnsi="Lato"/>
          <w:sz w:val="18"/>
        </w:rPr>
      </w:r>
      <w:r>
        <w:rPr>
          <w:b w:val="0"/>
          <w:color w:val="000000"/>
        </w:rPr>
        <w:t xml:space="preserve">nBanks Public API. Representative reference for structured transactions, payer/merchant, partial reconciliation and subtransactions. </w:t>
      </w:r>
      <w:hyperlink r:id="rId24">
        <w:r>
          <w:rPr>
            <w:rFonts w:ascii="Lato" w:hAnsi="Lato"/>
            <w:color w:val="246B8E"/>
            <w:u w:val="single"/>
          </w:rPr>
          <w:t>Link</w:t>
        </w:r>
      </w:hyperlink>
    </w:p>
    <w:p>
      <w:pPr>
        <w:spacing w:after="80"/>
      </w:pPr>
      <w:r>
        <w:rPr>
          <w:rFonts w:ascii="Lato" w:hAnsi="Lato"/>
          <w:b/>
          <w:color w:val="1B7F79"/>
        </w:rPr>
        <w:t xml:space="preserve">[R1] </w:t>
      </w:r>
      <w:r>
        <w:rPr>
          <w:rFonts w:ascii="Lato" w:hAnsi="Lato"/>
          <w:sz w:val="18"/>
        </w:rPr>
      </w:r>
      <w:r>
        <w:rPr>
          <w:b w:val="0"/>
          <w:color w:val="000000"/>
        </w:rPr>
        <w:t xml:space="preserve">RECPAD 2026 - Call for Papers. Deadline of 6 September 2026 and a maximum of 2 pages including references. </w:t>
      </w:r>
      <w:hyperlink r:id="rId25">
        <w:r>
          <w:rPr>
            <w:rFonts w:ascii="Lato" w:hAnsi="Lato"/>
            <w:color w:val="246B8E"/>
            <w:u w:val="single"/>
          </w:rPr>
          <w:t>Link</w:t>
        </w:r>
      </w:hyperlink>
    </w:p>
    <w:p>
      <w:pPr>
        <w:pStyle w:val="Heading2"/>
        <w:keepNext/>
      </w:pPr>
      <w:r>
        <w:rPr>
          <w:rFonts w:ascii="Lato" w:hAnsi="Lato"/>
          <w:b/>
          <w:color w:val="000000"/>
        </w:rPr>
        <w:t>16.3 Note on sources</w:t>
      </w:r>
    </w:p>
    <w:p>
      <w:pPr>
        <w:spacing w:after="100"/>
      </w:pPr>
      <w:r>
        <w:rPr>
          <w:rFonts w:ascii="Lato" w:hAnsi="Lato"/>
        </w:rPr>
        <w:t>Industrial references motivate requirements and scenarios; they do not establish scientific novelty or compare product performance. Document A retains the full validation of the 15 engines. The final paper should favour scientific references and use only the industrial evidence strictly needed to establish the problem context.</w:t>
      </w:r>
    </w:p>
    <w:p>
      <w:pPr>
        <w:pStyle w:val="Heading1"/>
        <w:keepNext/>
      </w:pPr>
      <w:r>
        <w:rPr>
          <w:rFonts w:ascii="Lato" w:hAnsi="Lato"/>
          <w:b/>
          <w:color w:val="000000"/>
        </w:rPr>
        <w:t>Conclusion</w:t>
      </w:r>
    </w:p>
    <w:p>
      <w:pPr>
        <w:spacing w:after="100"/>
      </w:pPr>
      <w:r>
        <w:rPr>
          <w:rFonts w:ascii="Lato" w:hAnsi="Lato"/>
        </w:rPr>
        <w:t>The plan turns an extensive industrial study into a small, controlled and implementable experiment. Its progression is deliberate: exact equality, financial tolerances, two classic families of text similarity and a field-aware combination. The design clearly distinguishes what came from the engines, what came from the literature and what is our own experimental choice.</w:t>
      </w:r>
    </w:p>
    <w:p>
      <w:pPr>
        <w:spacing w:after="100"/>
      </w:pPr>
      <w:r>
        <w:rPr>
          <w:rFonts w:ascii="Lato" w:hAnsi="Lato"/>
        </w:rPr>
        <w:t>The next priority is to implement the generator and tests using development seed 7. Once that sample has been validated, the configuration is frozen and the five evaluation seeds are run without result-driven tuning.</w:t>
      </w:r>
    </w:p>
    <w:sectPr w:rsidR="00FC693F" w:rsidRPr="0006063C" w:rsidSect="00034616">
      <w:headerReference w:type="default" r:id="rId9"/>
      <w:footerReference w:type="default" r:id="rId10"/>
      <w:pgSz w:w="12240" w:h="15840"/>
      <w:pgMar w:top="1020" w:right="1162" w:bottom="935" w:left="1162"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4A5560"/>
        <w:sz w:val="17"/>
      </w:rPr>
      <w:t xml:space="preserve">Page </w:t>
    </w:r>
    <w:r>
      <w:rPr>
        <w:rFonts w:ascii="Lato" w:hAnsi="Lato"/>
        <w:color w:val="4A556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6DDE3"/>
      </w:pBdr>
    </w:pPr>
    <w:r>
      <w:rPr>
        <w:rFonts w:ascii="Lato" w:hAnsi="Lato"/>
        <w:color w:val="000000"/>
        <w:sz w:val="16"/>
      </w:rPr>
      <w:t>RECPAD 2026  |  Experimental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00"/>
    </w:pPr>
    <w:rPr>
      <w:rFonts w:ascii="Lato" w:hAnsi="La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ato" w:hAnsi="Lato"/>
      <w:b/>
      <w:bCs/>
      <w:color w:val="000000"/>
      <w:sz w:val="33"/>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ato" w:hAnsi="Lato"/>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ato" w:hAnsi="Lato"/>
      <w:b/>
      <w:bCs/>
      <w:color w:val="1B7F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ato" w:hAnsi="Lato"/>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ato" w:hAnsi="Lato"/>
      <w:sz w:val="20"/>
    </w:rPr>
  </w:style>
  <w:style w:type="paragraph" w:styleId="ListBullet2">
    <w:name w:val="List Bullet 2"/>
    <w:basedOn w:val="Normal"/>
    <w:uiPriority w:val="99"/>
    <w:unhideWhenUsed/>
    <w:rsid w:val="00326F90"/>
    <w:pPr>
      <w:numPr>
        <w:numId w:val="2"/>
      </w:numPr>
      <w:contextualSpacing/>
    </w:pPr>
    <w:rPr>
      <w:rFonts w:ascii="Lato" w:hAnsi="La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ato" w:hAnsi="La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80/01621459.1969.10501049" TargetMode="External"/><Relationship Id="rId12" Type="http://schemas.openxmlformats.org/officeDocument/2006/relationships/hyperlink" Target="https://doi.org/10.1080/01621459.1989.10478785" TargetMode="External"/><Relationship Id="rId13" Type="http://schemas.openxmlformats.org/officeDocument/2006/relationships/hyperlink" Target="https://eric.ed.gov/?id=ED325505" TargetMode="External"/><Relationship Id="rId14" Type="http://schemas.openxmlformats.org/officeDocument/2006/relationships/hyperlink" Target="https://doi.org/10.1016/0304-3975(92)90143-4" TargetMode="External"/><Relationship Id="rId15" Type="http://schemas.openxmlformats.org/officeDocument/2006/relationships/hyperlink" Target="https://www.isi.edu/websites/ijcai03/papers/Cohen-p.pdf" TargetMode="External"/><Relationship Id="rId16" Type="http://schemas.openxmlformats.org/officeDocument/2006/relationships/hyperlink" Target="https://tsapps.nist.gov/publication/get_pdf.cfm?pub_id=151495" TargetMode="External"/><Relationship Id="rId17" Type="http://schemas.openxmlformats.org/officeDocument/2006/relationships/hyperlink" Target="https://www.ons.gov.uk/methodology/methodologicalpublications/generalmethodology/onsworkingpaperseries/developingstandardtoolsfordatalinkagefebruary2021" TargetMode="External"/><Relationship Id="rId18" Type="http://schemas.openxmlformats.org/officeDocument/2006/relationships/hyperlink" Target="https://doi.org/10.1016/j.jfds.2025.100170" TargetMode="External"/><Relationship Id="rId19" Type="http://schemas.openxmlformats.org/officeDocument/2006/relationships/hyperlink" Target="https://docs.oracle.com/en/cloud/saas/financials/26c/fairp/reconciliation-matching-rules.html" TargetMode="External"/><Relationship Id="rId20" Type="http://schemas.openxmlformats.org/officeDocument/2006/relationships/hyperlink" Target="https://help.sap.com/docs/SAP_S4HANA_CLOUD/918bca53037f408f91a2295d04ac16bc/4865ed7d26304aa1b011db7a52131bea.html" TargetMode="External"/><Relationship Id="rId21" Type="http://schemas.openxmlformats.org/officeDocument/2006/relationships/hyperlink" Target="https://www.reconart.com/software-overview/ai-reconciliation/" TargetMode="External"/><Relationship Id="rId22" Type="http://schemas.openxmlformats.org/officeDocument/2006/relationships/hyperlink" Target="https://helpcenter.phcgo.net/pt/sug/ptxview.aspx?stamp=g15ee%3Acfd%3Ad%3A53dc6825c2" TargetMode="External"/><Relationship Id="rId23" Type="http://schemas.openxmlformats.org/officeDocument/2006/relationships/hyperlink" Target="https://partners.eticadata.com/Data/Sites/1/media/Downloads/NOVIDADES%20ERP%20v17.pdf" TargetMode="External"/><Relationship Id="rId24" Type="http://schemas.openxmlformats.org/officeDocument/2006/relationships/hyperlink" Target="https://api.nbanks.net/" TargetMode="External"/><Relationship Id="rId25" Type="http://schemas.openxmlformats.org/officeDocument/2006/relationships/hyperlink" Target="https://recpad2026.estgv.ipv.pt/call-for-pap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Implementation Plan for the RECPAD 2026 Benchmark</dc:title>
  <dc:subject>English translation of the superseded implementation plan</dc:subject>
  <dc:creator>Projeto RECPAD 2026</dc:creator>
  <cp:keywords>RECPAD, reconhecimento de padrões, record linkage, reconciliação bancária, benchmark sintético</cp:keywords>
  <dc:description>Documento de trabalho interno</dc:description>
  <cp:lastModifiedBy/>
  <cp:revision>1</cp:revision>
  <dcterms:created xsi:type="dcterms:W3CDTF">2013-12-23T23:15:00Z</dcterms:created>
  <dcterms:modified xsi:type="dcterms:W3CDTF">2013-12-23T23:15:00Z</dcterms:modified>
  <cp:category/>
  <dc:language>en-GB</dc:language>
</cp:coreProperties>
</file>