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80"/>
      </w:pPr>
      <w:r>
        <w:rPr>
          <w:rFonts w:ascii="Lato" w:hAnsi="Lato"/>
          <w:b/>
          <w:color w:val="1B7F79"/>
          <w:sz w:val="21"/>
        </w:rPr>
        <w:t>DOCUMENTO B</w:t>
      </w:r>
    </w:p>
    <w:p>
      <w:pPr>
        <w:pStyle w:val="Title"/>
        <w:spacing w:after="160"/>
      </w:pPr>
      <w:r>
        <w:rPr>
          <w:rFonts w:ascii="Lato" w:hAnsi="Lato"/>
          <w:b/>
          <w:color w:val="17324D"/>
          <w:sz w:val="50"/>
        </w:rPr>
        <w:t>Plano de Implementação e Fundamentação do Benchmark Experimental</w:t>
      </w:r>
    </w:p>
    <w:p>
      <w:pPr>
        <w:pStyle w:val="Subtitle"/>
        <w:spacing w:after="400"/>
      </w:pPr>
      <w:r>
        <w:rPr>
          <w:rFonts w:ascii="Lato" w:hAnsi="Lato"/>
          <w:color w:val="4A5560"/>
          <w:sz w:val="26"/>
        </w:rPr>
        <w:t>Reconciliação bancária como problema de reconhecimento de padrões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rHeight w:val="140" w:hRule="exact"/>
        </w:trPr>
        <w:tc>
          <w:tcPr>
            <w:tcW w:type="dxa" w:w="2016"/>
            <w:shd w:fill="1B7F7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2016"/>
            <w:shd w:fill="246B8E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5616"/>
            <w:shd w:fill="17324D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after="1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6"/>
      </w:tblGrid>
      <w:tr>
        <w:trPr>
          <w:cantSplit/>
        </w:trPr>
        <w:tc>
          <w:tcPr>
            <w:tcW w:type="dxa" w:w="9916"/>
            <w:shd w:fill="E9F5F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1B7F79"/>
              <w:bottom w:val="single" w:sz="8" w:color="1B7F79"/>
              <w:left w:val="single" w:sz="18" w:color="1B7F79"/>
              <w:right w:val="single" w:sz="8" w:color="1B7F79"/>
            </w:tcBorders>
          </w:tcPr>
          <w:p>
            <w:pPr>
              <w:spacing w:after="40"/>
            </w:pPr>
            <w:r>
              <w:rPr>
                <w:rFonts w:ascii="Lato" w:hAnsi="Lato"/>
                <w:b/>
                <w:color w:val="17324D"/>
              </w:rPr>
              <w:t>Objetivo do documento</w:t>
            </w:r>
          </w:p>
          <w:p>
            <w:pPr>
              <w:spacing w:after="0"/>
            </w:pPr>
            <w:r>
              <w:rPr>
                <w:rFonts w:ascii="Lato" w:hAnsi="Lato"/>
                <w:sz w:val="19"/>
              </w:rPr>
              <w:t>Explicar, de forma executável e compreensível para uma pessoa sem contacto prévio com a área, como construir e avaliar um benchmark sintético de matching 1:1 para reconciliação bancária, indicando a origem de cada ideia, o motivo de cada decisão e os limites das conclusões.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58"/>
        <w:gridCol w:w="4958"/>
      </w:tblGrid>
      <w:tr>
        <w:tc>
          <w:tcPr>
            <w:tcW w:type="dxa" w:w="2376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r>
              <w:rPr>
                <w:rFonts w:ascii="Lato" w:hAnsi="Lato"/>
                <w:b/>
                <w:color w:val="17324D"/>
                <w:sz w:val="18"/>
              </w:rPr>
              <w:t>Destino</w:t>
            </w:r>
          </w:p>
        </w:tc>
        <w:tc>
          <w:tcPr>
            <w:tcW w:type="dxa" w:w="73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r>
              <w:rPr>
                <w:rFonts w:ascii="Lato" w:hAnsi="Lato"/>
                <w:sz w:val="18"/>
              </w:rPr>
              <w:t>Paper de 2 páginas para a RECPAD 2026</w:t>
            </w:r>
          </w:p>
        </w:tc>
      </w:tr>
      <w:tr>
        <w:tc>
          <w:tcPr>
            <w:tcW w:type="dxa" w:w="2376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r>
              <w:rPr>
                <w:rFonts w:ascii="Lato" w:hAnsi="Lato"/>
                <w:b/>
                <w:color w:val="17324D"/>
                <w:sz w:val="18"/>
              </w:rPr>
              <w:t>Prazo de submissão</w:t>
            </w:r>
          </w:p>
        </w:tc>
        <w:tc>
          <w:tcPr>
            <w:tcW w:type="dxa" w:w="73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r>
              <w:rPr>
                <w:rFonts w:ascii="Lato" w:hAnsi="Lato"/>
                <w:sz w:val="18"/>
              </w:rPr>
              <w:t>6 de setembro de 2026</w:t>
            </w:r>
          </w:p>
        </w:tc>
      </w:tr>
      <w:tr>
        <w:tc>
          <w:tcPr>
            <w:tcW w:type="dxa" w:w="2376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r>
              <w:rPr>
                <w:rFonts w:ascii="Lato" w:hAnsi="Lato"/>
                <w:b/>
                <w:color w:val="17324D"/>
                <w:sz w:val="18"/>
              </w:rPr>
              <w:t>Base disponível</w:t>
            </w:r>
          </w:p>
        </w:tc>
        <w:tc>
          <w:tcPr>
            <w:tcW w:type="dxa" w:w="73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r>
              <w:rPr>
                <w:rFonts w:ascii="Lato" w:hAnsi="Lato"/>
                <w:sz w:val="18"/>
              </w:rPr>
              <w:t>Estudo crítico de 15 motores de reconciliação; sem dados reais</w:t>
            </w:r>
          </w:p>
        </w:tc>
      </w:tr>
      <w:tr>
        <w:tc>
          <w:tcPr>
            <w:tcW w:type="dxa" w:w="2376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r>
              <w:rPr>
                <w:rFonts w:ascii="Lato" w:hAnsi="Lato"/>
                <w:b/>
                <w:color w:val="17324D"/>
                <w:sz w:val="18"/>
              </w:rPr>
              <w:t>Estado</w:t>
            </w:r>
          </w:p>
        </w:tc>
        <w:tc>
          <w:tcPr>
            <w:tcW w:type="dxa" w:w="73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r>
              <w:rPr>
                <w:rFonts w:ascii="Lato" w:hAnsi="Lato"/>
                <w:sz w:val="18"/>
              </w:rPr>
              <w:t>Protocolo recomendado e pronto para implementação</w:t>
            </w:r>
          </w:p>
        </w:tc>
      </w:tr>
    </w:tbl>
    <w:p>
      <w:pPr>
        <w:spacing w:before="440" w:after="0"/>
      </w:pPr>
      <w:r>
        <w:rPr>
          <w:rFonts w:ascii="Lato" w:hAnsi="Lato"/>
          <w:color w:val="4A5560"/>
          <w:sz w:val="19"/>
        </w:rPr>
        <w:t>Data: 31 de agosto de 2026</w:t>
      </w:r>
    </w:p>
    <w:p>
      <w:pPr>
        <w:spacing w:after="0"/>
      </w:pPr>
      <w:r>
        <w:rPr>
          <w:rFonts w:ascii="Lato" w:hAnsi="Lato"/>
          <w:i/>
          <w:color w:val="4A5560"/>
          <w:sz w:val="19"/>
        </w:rPr>
        <w:t>Documento de trabalho interno - Português de Portugal</w:t>
      </w:r>
    </w:p>
    <w:p>
      <w:r>
        <w:br w:type="page"/>
      </w: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Resumo executivo</w:t>
      </w:r>
    </w:p>
    <w:p>
      <w:pPr>
        <w:spacing w:after="100"/>
      </w:pPr>
      <w:r>
        <w:rPr>
          <w:rFonts w:ascii="Lato" w:hAnsi="Lato"/>
        </w:rPr>
        <w:t>O trabalho parte de uma limitação real: existe um estudo detalhado de 15 soluções comerciais, mas não existe um conjunto de reconciliações bancárias reais que possa ser utilizado como ground truth. A resposta proposta é um benchmark sintético controlado, onde cada correspondência correta é conhecida por construção e onde o ruído é introduzido de forma explícita e reproduzível.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65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345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Recomendação final</w:t>
            </w:r>
          </w:p>
        </w:tc>
        <w:tc>
          <w:tcPr>
            <w:tcW w:type="dxa" w:w="460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Razão principal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Problema</w:t>
            </w:r>
          </w:p>
        </w:tc>
        <w:tc>
          <w:tcPr>
            <w:tcW w:type="dxa" w:w="34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Ranking de candidatos 1:1</w:t>
            </w:r>
          </w:p>
        </w:tc>
        <w:tc>
          <w:tcPr>
            <w:tcW w:type="dxa" w:w="46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É mensurável, cabe no prazo e corresponde ao núcleo de record linkage.</w:t>
            </w:r>
          </w:p>
        </w:tc>
      </w:tr>
      <w:tr>
        <w:trPr>
          <w:cantSplit/>
        </w:trPr>
        <w:tc>
          <w:tcPr>
            <w:tcW w:type="dxa" w:w="165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Dados</w:t>
            </w:r>
          </w:p>
        </w:tc>
        <w:tc>
          <w:tcPr>
            <w:tcW w:type="dxa" w:w="345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Benchmark sintético controlado</w:t>
            </w:r>
          </w:p>
        </w:tc>
        <w:tc>
          <w:tcPr>
            <w:tcW w:type="dxa" w:w="460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Não requer dados confidenciais e fornece ground truth conhecido.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Métodos</w:t>
            </w:r>
          </w:p>
        </w:tc>
        <w:tc>
          <w:tcPr>
            <w:tcW w:type="dxa" w:w="34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Exact, tolerante, Jaro-Winkler, 3-gram e híbrido field-aware</w:t>
            </w:r>
          </w:p>
        </w:tc>
        <w:tc>
          <w:tcPr>
            <w:tcW w:type="dxa" w:w="46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Cria uma progressão transparente entre regras rígidas e similaridade textual.</w:t>
            </w:r>
          </w:p>
        </w:tc>
      </w:tr>
      <w:tr>
        <w:trPr>
          <w:cantSplit/>
        </w:trPr>
        <w:tc>
          <w:tcPr>
            <w:tcW w:type="dxa" w:w="165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Avaliação</w:t>
            </w:r>
          </w:p>
        </w:tc>
        <w:tc>
          <w:tcPr>
            <w:tcW w:type="dxa" w:w="345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Unique Top-1, MRR e tie rate</w:t>
            </w:r>
          </w:p>
        </w:tc>
        <w:tc>
          <w:tcPr>
            <w:tcW w:type="dxa" w:w="460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Mede acerto, posição do candidato correto e ambiguidade.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Reprodutibilidade</w:t>
            </w:r>
          </w:p>
        </w:tc>
        <w:tc>
          <w:tcPr>
            <w:tcW w:type="dxa" w:w="34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Cinco seeds de avaliação</w:t>
            </w:r>
          </w:p>
        </w:tc>
        <w:tc>
          <w:tcPr>
            <w:tcW w:type="dxa" w:w="46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Reduz dependência de uma única amostra aleatória.</w:t>
            </w:r>
          </w:p>
        </w:tc>
      </w:tr>
      <w:tr>
        <w:trPr>
          <w:cantSplit/>
        </w:trPr>
        <w:tc>
          <w:tcPr>
            <w:tcW w:type="dxa" w:w="165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Scope</w:t>
            </w:r>
          </w:p>
        </w:tc>
        <w:tc>
          <w:tcPr>
            <w:tcW w:type="dxa" w:w="345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Sem ML treinado, LLM, embeddings ou grouping</w:t>
            </w:r>
          </w:p>
        </w:tc>
        <w:tc>
          <w:tcPr>
            <w:tcW w:type="dxa" w:w="460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Evita overengineering e claims que não podem ser validados no prazo.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6"/>
      </w:tblGrid>
      <w:tr>
        <w:trPr>
          <w:cantSplit/>
        </w:trPr>
        <w:tc>
          <w:tcPr>
            <w:tcW w:type="dxa" w:w="9916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49B18"/>
              <w:bottom w:val="single" w:sz="8" w:color="D49B18"/>
              <w:left w:val="single" w:sz="18" w:color="D49B18"/>
              <w:right w:val="single" w:sz="8" w:color="D49B18"/>
            </w:tcBorders>
          </w:tcPr>
          <w:p>
            <w:pPr>
              <w:spacing w:after="40"/>
            </w:pPr>
            <w:r>
              <w:rPr>
                <w:rFonts w:ascii="Lato" w:hAnsi="Lato"/>
                <w:b/>
                <w:color w:val="17324D"/>
              </w:rPr>
              <w:t>Mensagem central</w:t>
            </w:r>
          </w:p>
          <w:p>
            <w:pPr>
              <w:spacing w:after="0"/>
            </w:pPr>
            <w:r>
              <w:rPr>
                <w:rFonts w:ascii="Lato" w:hAnsi="Lato"/>
                <w:sz w:val="19"/>
              </w:rPr>
              <w:t>O estudo dos motores comerciais não serve para copiar um algoritmo proprietário. Serve para identificar os sinais e falhas relevantes do domínio. A literatura de record linkage fornece os comparadores. O benchmark mede, de forma controlada, como esses comparadores reagem a ruído financeiro.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Como ler este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8"/>
              </w:rPr>
              <w:t>Etiqueta</w:t>
            </w:r>
          </w:p>
        </w:tc>
        <w:tc>
          <w:tcPr>
            <w:tcW w:type="dxa" w:w="748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8"/>
              </w:rPr>
              <w:t>Evidência industrial</w:t>
            </w:r>
          </w:p>
        </w:tc>
        <w:tc>
          <w:tcPr>
            <w:tcW w:type="dxa" w:w="748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8"/>
              </w:rPr>
              <w:t>Conclusão retirada do estudo crítico dos 15 motores e respetivas fontes oficiais.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8"/>
              </w:rPr>
              <w:t>Base científica</w:t>
            </w:r>
          </w:p>
        </w:tc>
        <w:tc>
          <w:tcPr>
            <w:tcW w:type="dxa" w:w="748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8"/>
              </w:rPr>
              <w:t>Conceito ou algoritmo sustentado por literatura académica ou metodologia pública.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8"/>
              </w:rPr>
              <w:t>Decisão de projeto</w:t>
            </w:r>
          </w:p>
        </w:tc>
        <w:tc>
          <w:tcPr>
            <w:tcW w:type="dxa" w:w="748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8"/>
              </w:rPr>
              <w:t>Escolha feita para este benchmark; deve ser assumida como desenho experimental, não como verdade universal.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Mapa do documento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1.  </w:t>
      </w:r>
      <w:r>
        <w:rPr>
          <w:rFonts w:ascii="Lato" w:hAnsi="Lato"/>
        </w:rPr>
        <w:t>Contexto, objetivo e limites do trabalho.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2.  </w:t>
      </w:r>
      <w:r>
        <w:rPr>
          <w:rFonts w:ascii="Lato" w:hAnsi="Lato"/>
        </w:rPr>
        <w:t>Como o estudo dos 15 motores conduz à pergunta experimental.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3.  </w:t>
      </w:r>
      <w:r>
        <w:rPr>
          <w:rFonts w:ascii="Lato" w:hAnsi="Lato"/>
        </w:rPr>
        <w:t>Origem científica dos métodos selecionados.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4.  </w:t>
      </w:r>
      <w:r>
        <w:rPr>
          <w:rFonts w:ascii="Lato" w:hAnsi="Lato"/>
        </w:rPr>
        <w:t>Arquitetura do benchmark e geração dos dados.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5.  </w:t>
      </w:r>
      <w:r>
        <w:rPr>
          <w:rFonts w:ascii="Lato" w:hAnsi="Lato"/>
        </w:rPr>
        <w:t>Normalização, perturbações e hard negatives.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6.  </w:t>
      </w:r>
      <w:r>
        <w:rPr>
          <w:rFonts w:ascii="Lato" w:hAnsi="Lato"/>
        </w:rPr>
        <w:t>Métodos M0-M4 e métricas de avaliação.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7.  </w:t>
      </w:r>
      <w:r>
        <w:rPr>
          <w:rFonts w:ascii="Lato" w:hAnsi="Lato"/>
        </w:rPr>
        <w:t>Plano técnico de implementação, testes e outputs.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8.  </w:t>
      </w:r>
      <w:r>
        <w:rPr>
          <w:rFonts w:ascii="Lato" w:hAnsi="Lato"/>
        </w:rPr>
        <w:t>Cronograma até à submissão, riscos e definition of done.</w:t>
      </w: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1. Contexto, objetivo e limites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1.1 Condições de partida</w:t>
      </w:r>
    </w:p>
    <w:p>
      <w:pPr>
        <w:pStyle w:val="ListBullet"/>
        <w:spacing w:after="80"/>
        <w:ind w:left="340" w:hanging="142"/>
      </w:pPr>
      <w:r>
        <w:rPr>
          <w:rFonts w:ascii="Lato" w:hAnsi="Lato"/>
        </w:rPr>
        <w:t>Prazo de submissão: 6 de setembro de 2026.</w:t>
      </w:r>
    </w:p>
    <w:p>
      <w:pPr>
        <w:pStyle w:val="ListBullet"/>
        <w:spacing w:after="80"/>
        <w:ind w:left="340" w:hanging="142"/>
      </w:pPr>
      <w:r>
        <w:rPr>
          <w:rFonts w:ascii="Lato" w:hAnsi="Lato"/>
        </w:rPr>
        <w:t>Limite do artigo: 2 páginas, incluindo referências [R1].</w:t>
      </w:r>
    </w:p>
    <w:p>
      <w:pPr>
        <w:pStyle w:val="ListBullet"/>
        <w:spacing w:after="80"/>
        <w:ind w:left="340" w:hanging="142"/>
      </w:pPr>
      <w:r>
        <w:rPr>
          <w:rFonts w:ascii="Lato" w:hAnsi="Lato"/>
        </w:rPr>
        <w:t>Ativo disponível: estudo crítico de 15 motores/soluções de reconciliação (Documento A).</w:t>
      </w:r>
    </w:p>
    <w:p>
      <w:pPr>
        <w:pStyle w:val="ListBullet"/>
        <w:spacing w:after="80"/>
        <w:ind w:left="340" w:hanging="142"/>
      </w:pPr>
      <w:r>
        <w:rPr>
          <w:rFonts w:ascii="Lato" w:hAnsi="Lato"/>
        </w:rPr>
        <w:t>Limitação: não existem dados bancários e contabilísticos reais com correspondências validadas.</w:t>
      </w:r>
    </w:p>
    <w:p>
      <w:pPr>
        <w:pStyle w:val="ListBullet"/>
        <w:spacing w:after="80"/>
        <w:ind w:left="340" w:hanging="142"/>
      </w:pPr>
      <w:r>
        <w:rPr>
          <w:rFonts w:ascii="Lato" w:hAnsi="Lato"/>
        </w:rPr>
        <w:t>Objetivo científico: avaliar estratégias transparentes de pattern matching, e não comparar marcas comerciais.</w:t>
      </w:r>
    </w:p>
    <w:p>
      <w:pPr>
        <w:spacing w:after="100"/>
      </w:pPr>
      <w:r>
        <w:rPr>
          <w:rFonts w:ascii="Lato" w:hAnsi="Lato"/>
        </w:rPr>
        <w:t>A ausência de dados reais impede claims sobre desempenho operacional em produção, mas não impede uma experiência científica controlada. O benchmark sintético permite conhecer a resposta correta, variar um fator de cada vez e repetir a experiência com as mesmas condições.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1.2 Pergunta de investigação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6"/>
      </w:tblGrid>
      <w:tr>
        <w:trPr>
          <w:cantSplit/>
        </w:trPr>
        <w:tc>
          <w:tcPr>
            <w:tcW w:type="dxa" w:w="9916"/>
            <w:shd w:fill="EAF3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246B8E"/>
              <w:bottom w:val="single" w:sz="8" w:color="246B8E"/>
              <w:left w:val="single" w:sz="18" w:color="246B8E"/>
              <w:right w:val="single" w:sz="8" w:color="246B8E"/>
            </w:tcBorders>
          </w:tcPr>
          <w:p>
            <w:pPr>
              <w:spacing w:after="40"/>
            </w:pPr>
            <w:r>
              <w:rPr>
                <w:rFonts w:ascii="Lato" w:hAnsi="Lato"/>
                <w:b/>
                <w:color w:val="17324D"/>
              </w:rPr>
              <w:t>Research question</w:t>
            </w:r>
          </w:p>
          <w:p>
            <w:pPr>
              <w:spacing w:after="0"/>
            </w:pPr>
            <w:r>
              <w:rPr>
                <w:rFonts w:ascii="Lato" w:hAnsi="Lato"/>
                <w:sz w:val="19"/>
              </w:rPr>
              <w:t>How robust are transparent pattern-matching strategies to common perturbations in bank reconciliation records?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6"/>
      </w:tblGrid>
      <w:tr>
        <w:trPr>
          <w:cantSplit/>
        </w:trPr>
        <w:tc>
          <w:tcPr>
            <w:tcW w:type="dxa" w:w="9916"/>
            <w:shd w:fill="E9F5F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1B7F79"/>
              <w:bottom w:val="single" w:sz="8" w:color="1B7F79"/>
              <w:left w:val="single" w:sz="18" w:color="1B7F79"/>
              <w:right w:val="single" w:sz="8" w:color="1B7F79"/>
            </w:tcBorders>
          </w:tcPr>
          <w:p>
            <w:pPr>
              <w:spacing w:after="40"/>
            </w:pPr>
            <w:r>
              <w:rPr>
                <w:rFonts w:ascii="Lato" w:hAnsi="Lato"/>
                <w:b/>
                <w:color w:val="17324D"/>
              </w:rPr>
              <w:t>Hipótese de trabalho</w:t>
            </w:r>
          </w:p>
          <w:p>
            <w:pPr>
              <w:spacing w:after="0"/>
            </w:pPr>
            <w:r>
              <w:rPr>
                <w:rFonts w:ascii="Lato" w:hAnsi="Lato"/>
                <w:sz w:val="19"/>
              </w:rPr>
              <w:t>Comparadores adequados ao tipo de campo - montante, data, referência, entidade e descrição - devem ser mais robustos a ruído heterogéneo do que igualdade exata ou a aplicação da mesma métrica textual a todos os campos.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1.3 Scope congelado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482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Incluído</w:t>
            </w:r>
          </w:p>
        </w:tc>
        <w:tc>
          <w:tcPr>
            <w:tcW w:type="dxa" w:w="482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Excluído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Duas fontes: movimento bancário e registo contabilístico.</w:t>
            </w:r>
          </w:p>
        </w:tc>
        <w:tc>
          <w:tcPr>
            <w:tcW w:type="dxa" w:w="48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Reconciliação 1:N, N:1, N:N e multi-way.</w:t>
            </w:r>
          </w:p>
        </w:tc>
      </w:tr>
      <w:tr>
        <w:trPr>
          <w:cantSplit/>
        </w:trPr>
        <w:tc>
          <w:tcPr>
            <w:tcW w:type="dxa" w:w="482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Uma correspondência correta por movimento.</w:t>
            </w:r>
          </w:p>
        </w:tc>
        <w:tc>
          <w:tcPr>
            <w:tcW w:type="dxa" w:w="482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Criação contabilística, liquidação, workflow e aprovação.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Ranking de 10 candidatos por caso.</w:t>
            </w:r>
          </w:p>
        </w:tc>
        <w:tc>
          <w:tcPr>
            <w:tcW w:type="dxa" w:w="48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Treino de modelos, embeddings, LLM e graph neural networks.</w:t>
            </w:r>
          </w:p>
        </w:tc>
      </w:tr>
      <w:tr>
        <w:trPr>
          <w:cantSplit/>
        </w:trPr>
        <w:tc>
          <w:tcPr>
            <w:tcW w:type="dxa" w:w="482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Campos: amount, date, reference, entity e description.</w:t>
            </w:r>
          </w:p>
        </w:tc>
        <w:tc>
          <w:tcPr>
            <w:tcW w:type="dxa" w:w="482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IBAN, value date, currency e transaction type nesta primeira versão.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Perturbações e hard negatives controlados.</w:t>
            </w:r>
          </w:p>
        </w:tc>
        <w:tc>
          <w:tcPr>
            <w:tcW w:type="dxa" w:w="48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Comparação direta de produtos comerciais.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6"/>
      </w:tblGrid>
      <w:tr>
        <w:trPr>
          <w:cantSplit/>
        </w:trPr>
        <w:tc>
          <w:tcPr>
            <w:tcW w:type="dxa" w:w="9916"/>
            <w:shd w:fill="FCECE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B34747"/>
              <w:bottom w:val="single" w:sz="8" w:color="B34747"/>
              <w:left w:val="single" w:sz="18" w:color="B34747"/>
              <w:right w:val="single" w:sz="8" w:color="B34747"/>
            </w:tcBorders>
          </w:tcPr>
          <w:p>
            <w:pPr>
              <w:spacing w:after="40"/>
            </w:pPr>
            <w:r>
              <w:rPr>
                <w:rFonts w:ascii="Lato" w:hAnsi="Lato"/>
                <w:b/>
                <w:color w:val="17324D"/>
              </w:rPr>
              <w:t>Guardrail científico</w:t>
            </w:r>
          </w:p>
          <w:p>
            <w:pPr>
              <w:spacing w:after="0"/>
            </w:pPr>
            <w:r>
              <w:rPr>
                <w:rFonts w:ascii="Lato" w:hAnsi="Lato"/>
                <w:sz w:val="19"/>
              </w:rPr>
              <w:t>O paper poderá afirmar robustez relativa em cenários sintéticos controlados. Não poderá afirmar desempenho em dados reais, superioridade sobre produtos comerciais ou generalização para matching agrupado.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2. Do estudo industrial ao problema experimental</w:t>
      </w:r>
    </w:p>
    <w:p>
      <w:pPr>
        <w:spacing w:after="100"/>
      </w:pPr>
      <w:r>
        <w:rPr>
          <w:rFonts w:ascii="Lato" w:hAnsi="Lato"/>
        </w:rPr>
        <w:t>O Documento A funciona como evidence notebook. A implementação não reproduz nenhum motor comercial; utiliza apenas os padrões recorrentes encontrados para decidir o que deve ser testado.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Finding industrial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Evidência consolidada</w:t>
            </w:r>
          </w:p>
        </w:tc>
        <w:tc>
          <w:tcPr>
            <w:tcW w:type="dxa" w:w="381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Consequência no benchmark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Matching multiatributo</w:t>
            </w:r>
          </w:p>
        </w:tc>
        <w:tc>
          <w:tcPr>
            <w:tcW w:type="dxa" w:w="367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Amount, Date, Reference, Description e Entity surgem repetidamente.</w:t>
            </w:r>
          </w:p>
        </w:tc>
        <w:tc>
          <w:tcPr>
            <w:tcW w:type="dxa" w:w="38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Usar cinco campos e produzir um score por campo.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Preparação antes do matching</w:t>
            </w:r>
          </w:p>
        </w:tc>
        <w:tc>
          <w:tcPr>
            <w:tcW w:type="dxa" w:w="367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Parsing, normalização, standardization e enrichment aparecem em vários produtos.</w:t>
            </w:r>
          </w:p>
        </w:tc>
        <w:tc>
          <w:tcPr>
            <w:tcW w:type="dxa" w:w="38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Separar normalization do matcher e medir a sua contribuição.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Tolerâncias</w:t>
            </w:r>
          </w:p>
        </w:tc>
        <w:tc>
          <w:tcPr>
            <w:tcW w:type="dxa" w:w="367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Diferenças de data e montante são explicitamente aceites por vários motores.</w:t>
            </w:r>
          </w:p>
        </w:tc>
        <w:tc>
          <w:tcPr>
            <w:tcW w:type="dxa" w:w="38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Criar amount noise e date drift; incluir baseline tolerante.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Variação textual</w:t>
            </w:r>
          </w:p>
        </w:tc>
        <w:tc>
          <w:tcPr>
            <w:tcW w:type="dxa" w:w="367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Existem exact description, regex, fuzzy matching e ML.</w:t>
            </w:r>
          </w:p>
        </w:tc>
        <w:tc>
          <w:tcPr>
            <w:tcW w:type="dxa" w:w="38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Comparar exact, Jaro-Winkler e character 3-grams.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Ambiguidade</w:t>
            </w:r>
          </w:p>
        </w:tc>
        <w:tc>
          <w:tcPr>
            <w:tcW w:type="dxa" w:w="367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Oracle, Dynamics, PHC GO e suggested matching distinguem candidato válido de candidato único.</w:t>
            </w:r>
          </w:p>
        </w:tc>
        <w:tc>
          <w:tcPr>
            <w:tcW w:type="dxa" w:w="38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Criar hard negatives e usar Unique Top-1.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Human review</w:t>
            </w:r>
          </w:p>
        </w:tc>
        <w:tc>
          <w:tcPr>
            <w:tcW w:type="dxa" w:w="367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Várias soluções separam sugestão de decisão automática.</w:t>
            </w:r>
          </w:p>
        </w:tc>
        <w:tc>
          <w:tcPr>
            <w:tcW w:type="dxa" w:w="38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Avaliar ranking; não forçar um auto-match quando existe empate.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Grouping e partial</w:t>
            </w:r>
          </w:p>
        </w:tc>
        <w:tc>
          <w:tcPr>
            <w:tcW w:type="dxa" w:w="367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1:N, N:N, multi-way e partial são comuns.</w:t>
            </w:r>
          </w:p>
        </w:tc>
        <w:tc>
          <w:tcPr>
            <w:tcW w:type="dxa" w:w="38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Declarar como future work e não contaminar o primeiro benchmark.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Provider enrichment</w:t>
            </w:r>
          </w:p>
        </w:tc>
        <w:tc>
          <w:tcPr>
            <w:tcW w:type="dxa" w:w="367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nBanks mostra payer, merchant, IBAN e referências já estruturadas.</w:t>
            </w:r>
          </w:p>
        </w:tc>
        <w:tc>
          <w:tcPr>
            <w:tcW w:type="dxa" w:w="38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Tratar Reference/Entity como sinais estruturados, distintos de Description.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2.1 Por que não comparar produtos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Os algoritmos internos são frequentemente proprietários ou insuficientemente documentados.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Os produtos têm scopes diferentes: alguns são bank-specific, outros multi-source, outros orientados a accounting actions.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As métricas comerciais não são comparáveis entre si e muitas são vendor claims.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Uma comparação justa exigiria os mesmos dados, configuração, candidatos e ground truth, condições que não possuímos.</w:t>
      </w:r>
    </w:p>
    <w:p>
      <w:pPr>
        <w:spacing w:after="100"/>
      </w:pPr>
      <w:r>
        <w:rPr>
          <w:rFonts w:ascii="Lato" w:hAnsi="Lato"/>
        </w:rPr>
        <w:t>A contribuição possível é, por isso, uma avaliação reproduzível de métodos conhecidos num problema e num conjunto de perturbações motivados pela prática industrial.</w:t>
      </w: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3. Origem científica e proveniência das ideias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3.1 Record linkage como formulação base</w:t>
      </w:r>
    </w:p>
    <w:p>
      <w:pPr>
        <w:spacing w:after="100"/>
      </w:pPr>
      <w:r>
        <w:rPr>
          <w:rFonts w:ascii="Lato" w:hAnsi="Lato"/>
        </w:rPr>
        <w:t>Record linkage procura decidir se dois registos provenientes de fontes diferentes representam a mesma entidade, objeto ou evento. O modelo clássico de Fellegi-Sunter formaliza a decisão a partir de um vetor de comparações entre atributos [C1]. Jaro desenvolveu metodologias de record linkage aplicadas a grandes ficheiros e comparações imperfeitas [C2].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D6DDE3"/>
              <w:bottom w:val="single" w:sz="5" w:color="D6DDE3"/>
              <w:left w:val="single" w:sz="5" w:color="D6DDE3"/>
              <w:right w:val="single" w:sz="5" w:color="D6DD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17324D"/>
                <w:sz w:val="17"/>
              </w:rPr>
              <w:t>bank_transaction  &lt;-&gt;  accounting_record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comparison_vector = [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amount_score,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date_score,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reference_score,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entity_score,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description_score,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]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Lato" w:hAnsi="Lato"/>
        </w:rPr>
        <w:t>Esta representação é a base do benchmark. A implementação não tenta aprender probabilidades Fellegi-Sunter; adota apenas a ideia fundamental de produzir evidência separada por atributo.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3.2 Jaro-Winkler</w:t>
      </w:r>
    </w:p>
    <w:p>
      <w:pPr>
        <w:spacing w:after="100"/>
      </w:pPr>
      <w:r>
        <w:rPr>
          <w:rFonts w:ascii="Lato" w:hAnsi="Lato"/>
        </w:rPr>
        <w:t>Jaro-Winkler é um comparador de strings oriundo da literatura de record linkage, concebido para lidar com variações tipográficas em strings curtas, como nomes e identificadores [C2, C3]. A extensão de Winkler favorece prefixos comuns. Por esse motivo é uma escolha defensável para Reference e Entity, mas não é automaticamente a melhor opção para descrições longas.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D6DDE3"/>
              <w:bottom w:val="single" w:sz="5" w:color="D6DDE3"/>
              <w:left w:val="single" w:sz="5" w:color="D6DDE3"/>
              <w:right w:val="single" w:sz="5" w:color="D6DD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17324D"/>
                <w:sz w:val="17"/>
              </w:rPr>
              <w:t>FT2026/0187  &lt;-&gt;  FT2026/0178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ACME PORTUGAL  &lt;-&gt;  ACME PORTUGLA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Jaro-Winkler normalized similarity -&gt; value in [0, 1]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3.3 Character q-grams e cosine similarity</w:t>
      </w:r>
    </w:p>
    <w:p>
      <w:pPr>
        <w:spacing w:after="100"/>
      </w:pPr>
      <w:r>
        <w:rPr>
          <w:rFonts w:ascii="Lato" w:hAnsi="Lato"/>
        </w:rPr>
        <w:t>Q-grams representam uma string por pequenos fragmentos de caracteres. Ukkonen formalizou q-grams para approximate string matching [C4]. Comparações experimentais de métricas de nomes e registos mostram o valor de métodos baseados em tokens/vetores e de esquemas híbridos [C5]. Neste plano são usados trigrams (q=3) e cosine similarity sobre frequências de fragmentos.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D6DDE3"/>
              <w:bottom w:val="single" w:sz="5" w:color="D6DDE3"/>
              <w:left w:val="single" w:sz="5" w:color="D6DDE3"/>
              <w:right w:val="single" w:sz="5" w:color="D6DD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17324D"/>
                <w:sz w:val="17"/>
              </w:rPr>
              <w:t>"acme" with boundary markers: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^ac, acm, cme, me$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similarity = cosine(qgram_counts(text_a), qgram_counts(text_b))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Lato" w:hAnsi="Lato"/>
        </w:rPr>
        <w:t>A motivação é preservar evidência local mesmo quando existe truncation, punctuation, abreviação ou pequenas alterações de ordem. Não se afirma que q=3 seja universalmente ótimo; é uma decisão simples, documentada e reproduzível para este proof-of-concept.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3.4 Field-aware matching</w:t>
      </w:r>
    </w:p>
    <w:p>
      <w:pPr>
        <w:spacing w:after="100"/>
      </w:pPr>
      <w:r>
        <w:rPr>
          <w:rFonts w:ascii="Lato" w:hAnsi="Lato"/>
        </w:rPr>
        <w:t>A literatura de record linkage representa pares através de múltiplas features, e Cohen et al. mostram que métricas distintas podem ter comportamentos diferentes e ser combinadas [C5]. O estudo industrial mostra também que os campos financeiros têm naturezas distintas. Daí resulta a configuração M4: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58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88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Comparador recomendado</w:t>
            </w:r>
          </w:p>
        </w:tc>
        <w:tc>
          <w:tcPr>
            <w:tcW w:type="dxa" w:w="525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Razão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Amount</w:t>
            </w:r>
          </w:p>
        </w:tc>
        <w:tc>
          <w:tcPr>
            <w:tcW w:type="dxa" w:w="288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Tolerância numérica</w:t>
            </w:r>
          </w:p>
        </w:tc>
        <w:tc>
          <w:tcPr>
            <w:tcW w:type="dxa" w:w="52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Campo quantitativo; string similarity não tem significado.</w:t>
            </w:r>
          </w:p>
        </w:tc>
      </w:tr>
      <w:tr>
        <w:trPr>
          <w:cantSplit/>
        </w:trPr>
        <w:tc>
          <w:tcPr>
            <w:tcW w:type="dxa" w:w="158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Date</w:t>
            </w:r>
          </w:p>
        </w:tc>
        <w:tc>
          <w:tcPr>
            <w:tcW w:type="dxa" w:w="288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Tolerância temporal</w:t>
            </w:r>
          </w:p>
        </w:tc>
        <w:tc>
          <w:tcPr>
            <w:tcW w:type="dxa" w:w="525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A diferença relevante é medida em dias.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Reference</w:t>
            </w:r>
          </w:p>
        </w:tc>
        <w:tc>
          <w:tcPr>
            <w:tcW w:type="dxa" w:w="288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Jaro-Winkler</w:t>
            </w:r>
          </w:p>
        </w:tc>
        <w:tc>
          <w:tcPr>
            <w:tcW w:type="dxa" w:w="52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Identificador curto, estruturado e sensível a typos/transposições.</w:t>
            </w:r>
          </w:p>
        </w:tc>
      </w:tr>
      <w:tr>
        <w:trPr>
          <w:cantSplit/>
        </w:trPr>
        <w:tc>
          <w:tcPr>
            <w:tcW w:type="dxa" w:w="158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Entity</w:t>
            </w:r>
          </w:p>
        </w:tc>
        <w:tc>
          <w:tcPr>
            <w:tcW w:type="dxa" w:w="288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Jaro-Winkler</w:t>
            </w:r>
          </w:p>
        </w:tc>
        <w:tc>
          <w:tcPr>
            <w:tcW w:type="dxa" w:w="525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Nome relativamente curto com abreviações e erros ortográficos.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Description</w:t>
            </w:r>
          </w:p>
        </w:tc>
        <w:tc>
          <w:tcPr>
            <w:tcW w:type="dxa" w:w="288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Character 3-gram cosine</w:t>
            </w:r>
          </w:p>
        </w:tc>
        <w:tc>
          <w:tcPr>
            <w:tcW w:type="dxa" w:w="52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Texto mais longo, ruidoso, truncado e com boilerplate bancário.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Lato" w:hAnsi="Lato"/>
        </w:rPr>
        <w:t>A combinação field-aware é uma decisão deste projeto baseada em métodos existentes; não será apresentada como um algoritmo completamente novo. Para evitar pesos arbitrários sem dados de treino, os campos disponíveis têm peso igual.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3.5 Ranking e métricas</w:t>
      </w:r>
    </w:p>
    <w:p>
      <w:pPr>
        <w:spacing w:after="100"/>
      </w:pPr>
      <w:r>
        <w:rPr>
          <w:rFonts w:ascii="Lato" w:hAnsi="Lato"/>
        </w:rPr>
        <w:t>Cada movimento tem uma lista de candidatos. Por isso a avaliação deve considerar a posição do candidato correto. Mean Reciprocal Rank atribui 1 ao primeiro lugar, 1/2 ao segundo, 1/3 ao terceiro, e calcula a média [C6]. Unique Top-1 é acrescentado como regra operacional: um empate no topo é ambíguo e não conta como decisão automática correta.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3.6 Valores em falta</w:t>
      </w:r>
    </w:p>
    <w:p>
      <w:pPr>
        <w:spacing w:after="100"/>
      </w:pPr>
      <w:r>
        <w:rPr>
          <w:rFonts w:ascii="Lato" w:hAnsi="Lato"/>
        </w:rPr>
        <w:t>Um campo ausente não prova desacordo. Metodologias públicas de data linkage evitam converter null diretamente num false match, precisamente para não gerar falsos negativos [C7]. Por isso, quando um campo está ausente num dos lados, esse campo é excluído da média e os restantes campos são renormalizados.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3.7 Mapa de proveniência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237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Ideia</w:t>
            </w:r>
          </w:p>
        </w:tc>
        <w:tc>
          <w:tcPr>
            <w:tcW w:type="dxa" w:w="324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Origem</w:t>
            </w:r>
          </w:p>
        </w:tc>
        <w:tc>
          <w:tcPr>
            <w:tcW w:type="dxa" w:w="410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O que é utilizado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Campos e perturbações</w:t>
            </w:r>
          </w:p>
        </w:tc>
        <w:tc>
          <w:tcPr>
            <w:tcW w:type="dxa" w:w="32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Documento A - estudo de 15 motores</w:t>
            </w:r>
          </w:p>
        </w:tc>
        <w:tc>
          <w:tcPr>
            <w:tcW w:type="dxa" w:w="41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Seleção de sinais e problemas do domínio.</w:t>
            </w:r>
          </w:p>
        </w:tc>
      </w:tr>
      <w:tr>
        <w:trPr>
          <w:cantSplit/>
        </w:trPr>
        <w:tc>
          <w:tcPr>
            <w:tcW w:type="dxa" w:w="237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Comparação multicampo</w:t>
            </w:r>
          </w:p>
        </w:tc>
        <w:tc>
          <w:tcPr>
            <w:tcW w:type="dxa" w:w="324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Fellegi-Sunter [C1]</w:t>
            </w:r>
          </w:p>
        </w:tc>
        <w:tc>
          <w:tcPr>
            <w:tcW w:type="dxa" w:w="41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Vetor de comparações por atributo.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Jaro-Winkler</w:t>
            </w:r>
          </w:p>
        </w:tc>
        <w:tc>
          <w:tcPr>
            <w:tcW w:type="dxa" w:w="32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Jaro/Winkler [C2, C3]</w:t>
            </w:r>
          </w:p>
        </w:tc>
        <w:tc>
          <w:tcPr>
            <w:tcW w:type="dxa" w:w="41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Similaridade de nomes e identificadores curtos.</w:t>
            </w:r>
          </w:p>
        </w:tc>
      </w:tr>
      <w:tr>
        <w:trPr>
          <w:cantSplit/>
        </w:trPr>
        <w:tc>
          <w:tcPr>
            <w:tcW w:type="dxa" w:w="237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Character q-grams</w:t>
            </w:r>
          </w:p>
        </w:tc>
        <w:tc>
          <w:tcPr>
            <w:tcW w:type="dxa" w:w="324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Ukkonen [C4]</w:t>
            </w:r>
          </w:p>
        </w:tc>
        <w:tc>
          <w:tcPr>
            <w:tcW w:type="dxa" w:w="41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Approximate string matching por fragmentos.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Comparação de métricas</w:t>
            </w:r>
          </w:p>
        </w:tc>
        <w:tc>
          <w:tcPr>
            <w:tcW w:type="dxa" w:w="32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Cohen et al. [C5]</w:t>
            </w:r>
          </w:p>
        </w:tc>
        <w:tc>
          <w:tcPr>
            <w:tcW w:type="dxa" w:w="41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Justifica comparar métricas e combinações.</w:t>
            </w:r>
          </w:p>
        </w:tc>
      </w:tr>
      <w:tr>
        <w:trPr>
          <w:cantSplit/>
        </w:trPr>
        <w:tc>
          <w:tcPr>
            <w:tcW w:type="dxa" w:w="237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MRR</w:t>
            </w:r>
          </w:p>
        </w:tc>
        <w:tc>
          <w:tcPr>
            <w:tcW w:type="dxa" w:w="324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TREC/NIST [C6]</w:t>
            </w:r>
          </w:p>
        </w:tc>
        <w:tc>
          <w:tcPr>
            <w:tcW w:type="dxa" w:w="41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Avaliação da posição do primeiro resultado correto.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Missing fields</w:t>
            </w:r>
          </w:p>
        </w:tc>
        <w:tc>
          <w:tcPr>
            <w:tcW w:type="dxa" w:w="32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ONS data linkage [C7]</w:t>
            </w:r>
          </w:p>
        </w:tc>
        <w:tc>
          <w:tcPr>
            <w:tcW w:type="dxa" w:w="41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Missing não é automaticamente disagreement.</w:t>
            </w:r>
          </w:p>
        </w:tc>
      </w:tr>
      <w:tr>
        <w:trPr>
          <w:cantSplit/>
        </w:trPr>
        <w:tc>
          <w:tcPr>
            <w:tcW w:type="dxa" w:w="237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Domínio bank reconciliation</w:t>
            </w:r>
          </w:p>
        </w:tc>
        <w:tc>
          <w:tcPr>
            <w:tcW w:type="dxa" w:w="324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Munoz et al. [C8]</w:t>
            </w:r>
          </w:p>
        </w:tc>
        <w:tc>
          <w:tcPr>
            <w:tcW w:type="dxa" w:w="41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Evidência académica de bank reconciliation como linkage/prediction.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Gerador, hard negatives, thresholds e seeds</w:t>
            </w:r>
          </w:p>
        </w:tc>
        <w:tc>
          <w:tcPr>
            <w:tcW w:type="dxa" w:w="32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Decisão de projeto</w:t>
            </w:r>
          </w:p>
        </w:tc>
        <w:tc>
          <w:tcPr>
            <w:tcW w:type="dxa" w:w="41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Desenho experimental específico, congelado antes dos resultados.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4. Arquitetura experimental</w:t>
      </w:r>
    </w:p>
    <w:p>
      <w:pPr>
        <w:spacing w:after="100"/>
      </w:pPr>
      <w:r>
        <w:rPr>
          <w:rFonts w:ascii="Lato" w:hAnsi="Lato"/>
        </w:rPr>
        <w:t>A experiência deve manter três responsabilidades separadas: geração de dados, matching e avaliação. Esta separação impede que o matcher conheça o ground truth ou o tipo de perturbação.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D6DDE3"/>
              <w:bottom w:val="single" w:sz="5" w:color="D6DDE3"/>
              <w:left w:val="single" w:sz="5" w:color="D6DDE3"/>
              <w:right w:val="single" w:sz="5" w:color="D6DD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17324D"/>
                <w:sz w:val="17"/>
              </w:rPr>
              <w:t>Canonical accounting record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      |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      v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Derived bank transaction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      |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      v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Controlled perturbation + 9 hard negatives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      |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      v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Normalization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      |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      v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M0 / M1 / M2 / M3 / M4 scoring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      |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      v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Candidate ranking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      |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      v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Unique Top-1 / MRR / tie rate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4.1 Regras contra data leakage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O matcher não recebe true_candidate_id, scenario nem perturbations.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IDs são usados apenas para avaliação; nunca entram no score.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A ordem dos candidatos é baralhada por caso.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Todos os métodos recebem exatamente os mesmos casos e candidatos.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A perturbação é aplicada apenas ao lado bancário; o registo contabilístico correto permanece canónico.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A configuração final é congelada antes de observar os resultados dos evaluation seeds.</w:t>
      </w: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5. Benchmark sintético controlado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5.1 Por que usar dados sintéticos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Vantagem</w:t>
            </w:r>
          </w:p>
        </w:tc>
        <w:tc>
          <w:tcPr>
            <w:tcW w:type="dxa" w:w="748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Explicação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Ground truth conhecido</w:t>
            </w:r>
          </w:p>
        </w:tc>
        <w:tc>
          <w:tcPr>
            <w:tcW w:type="dxa" w:w="748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A correspondência correta é definida no momento da geração.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Controlo do ruído</w:t>
            </w:r>
          </w:p>
        </w:tc>
        <w:tc>
          <w:tcPr>
            <w:tcW w:type="dxa" w:w="748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Cada cenário altera apenas o fator pretendido, salvo o cenário combined.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Reprodutibilidade</w:t>
            </w:r>
          </w:p>
        </w:tc>
        <w:tc>
          <w:tcPr>
            <w:tcW w:type="dxa" w:w="748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A mesma seed gera exatamente os mesmos casos.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Privacidade</w:t>
            </w:r>
          </w:p>
        </w:tc>
        <w:tc>
          <w:tcPr>
            <w:tcW w:type="dxa" w:w="748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Não existem nomes, IBANs ou transações reais.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Diagnóstico</w:t>
            </w:r>
          </w:p>
        </w:tc>
        <w:tc>
          <w:tcPr>
            <w:tcW w:type="dxa" w:w="748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É possível identificar em que perturbação cada método falha.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6"/>
      </w:tblGrid>
      <w:tr>
        <w:trPr>
          <w:cantSplit/>
        </w:trPr>
        <w:tc>
          <w:tcPr>
            <w:tcW w:type="dxa" w:w="9916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49B18"/>
              <w:bottom w:val="single" w:sz="8" w:color="D49B18"/>
              <w:left w:val="single" w:sz="18" w:color="D49B18"/>
              <w:right w:val="single" w:sz="8" w:color="D49B18"/>
            </w:tcBorders>
          </w:tcPr>
          <w:p>
            <w:pPr>
              <w:spacing w:after="40"/>
            </w:pPr>
            <w:r>
              <w:rPr>
                <w:rFonts w:ascii="Lato" w:hAnsi="Lato"/>
                <w:b/>
                <w:color w:val="17324D"/>
              </w:rPr>
              <w:t>Limitação assumida</w:t>
            </w:r>
          </w:p>
          <w:p>
            <w:pPr>
              <w:spacing w:after="0"/>
            </w:pPr>
            <w:r>
              <w:rPr>
                <w:rFonts w:ascii="Lato" w:hAnsi="Lato"/>
                <w:sz w:val="19"/>
              </w:rPr>
              <w:t>Dados sintéticos não reproduzem toda a variabilidade de extratos reais. O benchmark mede robustez a perturbações definidas, não validade externa em produção. Esta limitação deve aparecer no paper.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5.2 Tamanho e seeds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237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230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Valor recomendado</w:t>
            </w:r>
          </w:p>
        </w:tc>
        <w:tc>
          <w:tcPr>
            <w:tcW w:type="dxa" w:w="504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Racional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Cenários</w:t>
            </w:r>
          </w:p>
        </w:tc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8</w:t>
            </w:r>
          </w:p>
        </w:tc>
        <w:tc>
          <w:tcPr>
            <w:tcW w:type="dxa" w:w="50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Cobrir clean, ruído isolado, missing e combined.</w:t>
            </w:r>
          </w:p>
        </w:tc>
      </w:tr>
      <w:tr>
        <w:trPr>
          <w:cantSplit/>
        </w:trPr>
        <w:tc>
          <w:tcPr>
            <w:tcW w:type="dxa" w:w="237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Casos por cenário e seed</w:t>
            </w:r>
          </w:p>
        </w:tc>
        <w:tc>
          <w:tcPr>
            <w:tcW w:type="dxa" w:w="23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100</w:t>
            </w:r>
          </w:p>
        </w:tc>
        <w:tc>
          <w:tcPr>
            <w:tcW w:type="dxa" w:w="504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Leitura simples e distribuição equilibrada.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Casos por seed</w:t>
            </w:r>
          </w:p>
        </w:tc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800</w:t>
            </w:r>
          </w:p>
        </w:tc>
        <w:tc>
          <w:tcPr>
            <w:tcW w:type="dxa" w:w="50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Volume suficiente para análise rápida.</w:t>
            </w:r>
          </w:p>
        </w:tc>
      </w:tr>
      <w:tr>
        <w:trPr>
          <w:cantSplit/>
        </w:trPr>
        <w:tc>
          <w:tcPr>
            <w:tcW w:type="dxa" w:w="237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Candidatos por caso</w:t>
            </w:r>
          </w:p>
        </w:tc>
        <w:tc>
          <w:tcPr>
            <w:tcW w:type="dxa" w:w="23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10</w:t>
            </w:r>
          </w:p>
        </w:tc>
        <w:tc>
          <w:tcPr>
            <w:tcW w:type="dxa" w:w="504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Um true match e nove candidatos difíceis.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Development seed</w:t>
            </w:r>
          </w:p>
        </w:tc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7</w:t>
            </w:r>
          </w:p>
        </w:tc>
        <w:tc>
          <w:tcPr>
            <w:tcW w:type="dxa" w:w="50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Smoke tests e inspeção manual sem olhar repetidamente para o conjunto final.</w:t>
            </w:r>
          </w:p>
        </w:tc>
      </w:tr>
      <w:tr>
        <w:trPr>
          <w:cantSplit/>
        </w:trPr>
        <w:tc>
          <w:tcPr>
            <w:tcW w:type="dxa" w:w="237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Evaluation seeds</w:t>
            </w:r>
          </w:p>
        </w:tc>
        <w:tc>
          <w:tcPr>
            <w:tcW w:type="dxa" w:w="23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42, 43, 44, 45, 46</w:t>
            </w:r>
          </w:p>
        </w:tc>
        <w:tc>
          <w:tcPr>
            <w:tcW w:type="dxa" w:w="504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Reduzir dependência de uma única geração aleatória.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Total de casos finais</w:t>
            </w:r>
          </w:p>
        </w:tc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4 000</w:t>
            </w:r>
          </w:p>
        </w:tc>
        <w:tc>
          <w:tcPr>
            <w:tcW w:type="dxa" w:w="50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800 casos x 5 seeds; custo computacional irrelevante.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5.3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D6DDE3"/>
              <w:bottom w:val="single" w:sz="5" w:color="D6DDE3"/>
              <w:left w:val="single" w:sz="5" w:color="D6DDE3"/>
              <w:right w:val="single" w:sz="5" w:color="D6DD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17324D"/>
                <w:sz w:val="17"/>
              </w:rPr>
              <w:t>@dataclass(frozen=True)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class BankTransaction: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id: str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date: date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amount: Decimal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reference: str | None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counterparty: str | None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description: str | None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@dataclass(frozen=True)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class AccountingRecord: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id: str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date: date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amount: Decimal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reference: str | None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entity: str | None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description: str | None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@dataclass(frozen=True)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class BenchmarkCase: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case_id: str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seed: int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scenario: str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transaction: BankTransaction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candidates: tuple[AccountingRecord, ...]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true_candidate_id: str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perturbations: tuple[str, ...]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5.4 Geração do par verdadeiro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1.  </w:t>
      </w:r>
      <w:r>
        <w:rPr>
          <w:rFonts w:ascii="Lato" w:hAnsi="Lato"/>
        </w:rPr>
        <w:t>Gerar um AccountingRecord canónico com entidade, referência, data, montante e descrição.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2.  </w:t>
      </w:r>
      <w:r>
        <w:rPr>
          <w:rFonts w:ascii="Lato" w:hAnsi="Lato"/>
        </w:rPr>
        <w:t>Derivar um BankTransaction inicialmente equivalente.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3.  </w:t>
      </w:r>
      <w:r>
        <w:rPr>
          <w:rFonts w:ascii="Lato" w:hAnsi="Lato"/>
        </w:rPr>
        <w:t>Aplicar a perturbação apenas ao BankTransaction.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4.  </w:t>
      </w:r>
      <w:r>
        <w:rPr>
          <w:rFonts w:ascii="Lato" w:hAnsi="Lato"/>
        </w:rPr>
        <w:t>Manter true_candidate_id fora do matcher.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5.  </w:t>
      </w:r>
      <w:r>
        <w:rPr>
          <w:rFonts w:ascii="Lato" w:hAnsi="Lato"/>
        </w:rPr>
        <w:t>Gerar nove negativos e baralhar a ordem final dos candidatos.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D6DDE3"/>
              <w:bottom w:val="single" w:sz="5" w:color="D6DDE3"/>
              <w:left w:val="single" w:sz="5" w:color="D6DDE3"/>
              <w:right w:val="single" w:sz="5" w:color="D6DD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17324D"/>
                <w:sz w:val="17"/>
              </w:rPr>
              <w:t>Accounting record: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date        = 2026-05-12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amount      = 1245.30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reference   = FT2026/00187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entity      = ACME PORTUGAL LDA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description = PAGAMENTO ACME PORTUGAL FT2026/00187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Derived bank transaction: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date         = 2026-05-14       # date drift +2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amount       = 1245.30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reference    = FT 2026 00187   # formatting noise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counterparty = ACME PORT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description  = TRF ACME PORT FT202600187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5.5 Dados sintéticos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Entidades formadas por combinações de tokens fictícios: ATLANTICO, ORBITA, VECTOR, NOVA, PRISMA, etc.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Sufixos jurídicos limitados a LDA e SA, para que a normalização seja explícita e controlável.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Referências sequenciais com prefixos partilhados: FT2026/00187, FT2026/00188, INV2026/00187.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Montantes em cêntimos, usando Decimal para evitar erros de floating point.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Datas num intervalo fictício de 180 dias.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Descrições construídas por templates com boilerplate bancário, entidade e referência.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5.6 Cenários de perturbação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8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453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Operação</w:t>
            </w:r>
          </w:p>
        </w:tc>
        <w:tc>
          <w:tcPr>
            <w:tcW w:type="dxa" w:w="338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Objetivo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P0 Clean</w:t>
            </w:r>
          </w:p>
        </w:tc>
        <w:tc>
          <w:tcPr>
            <w:tcW w:type="dxa" w:w="453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Sem alteração.</w:t>
            </w:r>
          </w:p>
        </w:tc>
        <w:tc>
          <w:tcPr>
            <w:tcW w:type="dxa" w:w="338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Controlar o comportamento em dados perfeitos.</w:t>
            </w:r>
          </w:p>
        </w:tc>
      </w:tr>
      <w:tr>
        <w:trPr>
          <w:cantSplit/>
        </w:trPr>
        <w:tc>
          <w:tcPr>
            <w:tcW w:type="dxa" w:w="187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P1 Amount noise</w:t>
            </w:r>
          </w:p>
        </w:tc>
        <w:tc>
          <w:tcPr>
            <w:tcW w:type="dxa" w:w="453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+/- 0.01, 0.05 ou 0.10 EUR.</w:t>
            </w:r>
          </w:p>
        </w:tc>
        <w:tc>
          <w:tcPr>
            <w:tcW w:type="dxa" w:w="338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Representar penny/rounding differences observadas nos motores.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P2 Date drift</w:t>
            </w:r>
          </w:p>
        </w:tc>
        <w:tc>
          <w:tcPr>
            <w:tcW w:type="dxa" w:w="453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+/- 1, 2 ou 3 dias.</w:t>
            </w:r>
          </w:p>
        </w:tc>
        <w:tc>
          <w:tcPr>
            <w:tcW w:type="dxa" w:w="338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Representar booking/processing delays.</w:t>
            </w:r>
          </w:p>
        </w:tc>
      </w:tr>
      <w:tr>
        <w:trPr>
          <w:cantSplit/>
        </w:trPr>
        <w:tc>
          <w:tcPr>
            <w:tcW w:type="dxa" w:w="187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P3 Reference noise</w:t>
            </w:r>
          </w:p>
        </w:tc>
        <w:tc>
          <w:tcPr>
            <w:tcW w:type="dxa" w:w="453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Separadores, remoção de separadores, transposição ou substituição de dígitos.</w:t>
            </w:r>
          </w:p>
        </w:tc>
        <w:tc>
          <w:tcPr>
            <w:tcW w:type="dxa" w:w="338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Distinguir normalização de fuzzy matching.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P4 Entity noise</w:t>
            </w:r>
          </w:p>
        </w:tc>
        <w:tc>
          <w:tcPr>
            <w:tcW w:type="dxa" w:w="453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Remoção de sufixo, truncation, typo, casing/accent.</w:t>
            </w:r>
          </w:p>
        </w:tc>
        <w:tc>
          <w:tcPr>
            <w:tcW w:type="dxa" w:w="338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Testar entity/name matching.</w:t>
            </w:r>
          </w:p>
        </w:tc>
      </w:tr>
      <w:tr>
        <w:trPr>
          <w:cantSplit/>
        </w:trPr>
        <w:tc>
          <w:tcPr>
            <w:tcW w:type="dxa" w:w="187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P5 Description noise</w:t>
            </w:r>
          </w:p>
        </w:tc>
        <w:tc>
          <w:tcPr>
            <w:tcW w:type="dxa" w:w="453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Token reorder, deletion, 25% truncation, boilerplate, abreviação.</w:t>
            </w:r>
          </w:p>
        </w:tc>
        <w:tc>
          <w:tcPr>
            <w:tcW w:type="dxa" w:w="338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Testar texto bancário ruidoso.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P6 Missing information</w:t>
            </w:r>
          </w:p>
        </w:tc>
        <w:tc>
          <w:tcPr>
            <w:tcW w:type="dxa" w:w="453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50% sem reference; 50% sem counterparty.</w:t>
            </w:r>
          </w:p>
        </w:tc>
        <w:tc>
          <w:tcPr>
            <w:tcW w:type="dxa" w:w="338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Medir robustez quando falta uma evidência.</w:t>
            </w:r>
          </w:p>
        </w:tc>
      </w:tr>
      <w:tr>
        <w:trPr>
          <w:cantSplit/>
        </w:trPr>
        <w:tc>
          <w:tcPr>
            <w:tcW w:type="dxa" w:w="187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P7 Combined</w:t>
            </w:r>
          </w:p>
        </w:tc>
        <w:tc>
          <w:tcPr>
            <w:tcW w:type="dxa" w:w="453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Três perturbações distintas entre amount, date, reference, entity e description.</w:t>
            </w:r>
          </w:p>
        </w:tc>
        <w:tc>
          <w:tcPr>
            <w:tcW w:type="dxa" w:w="338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Aproximar situações heterogéneas e difíceis.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5.7 Hard negatives</w:t>
      </w:r>
    </w:p>
    <w:p>
      <w:pPr>
        <w:spacing w:after="100"/>
      </w:pPr>
      <w:r>
        <w:rPr>
          <w:rFonts w:ascii="Lato" w:hAnsi="Lato"/>
        </w:rPr>
        <w:t>Candidatos negativos aleatórios tornariam o problema demasiado fácil. Os nove negativos preservam uma ou mais evidências do true match e simulam a ambiguidade encontrada nos motores comerciais.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22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Negativo</w:t>
            </w:r>
          </w:p>
        </w:tc>
        <w:tc>
          <w:tcPr>
            <w:tcW w:type="dxa" w:w="410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Evidência preservada</w:t>
            </w:r>
          </w:p>
        </w:tc>
        <w:tc>
          <w:tcPr>
            <w:tcW w:type="dxa" w:w="446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Função no teste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N1</w:t>
            </w:r>
          </w:p>
        </w:tc>
        <w:tc>
          <w:tcPr>
            <w:tcW w:type="dxa" w:w="41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Mesmo amount</w:t>
            </w:r>
          </w:p>
        </w:tc>
        <w:tc>
          <w:tcPr>
            <w:tcW w:type="dxa" w:w="446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Controlar dependência excessiva do valor.</w:t>
            </w:r>
          </w:p>
        </w:tc>
      </w:tr>
      <w:tr>
        <w:trPr>
          <w:cantSplit/>
        </w:trPr>
        <w:tc>
          <w:tcPr>
            <w:tcW w:type="dxa" w:w="122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N2</w:t>
            </w:r>
          </w:p>
        </w:tc>
        <w:tc>
          <w:tcPr>
            <w:tcW w:type="dxa" w:w="41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Mesma date</w:t>
            </w:r>
          </w:p>
        </w:tc>
        <w:tc>
          <w:tcPr>
            <w:tcW w:type="dxa" w:w="446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Controlar dependência excessiva da data.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N3</w:t>
            </w:r>
          </w:p>
        </w:tc>
        <w:tc>
          <w:tcPr>
            <w:tcW w:type="dxa" w:w="41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Reference próxima</w:t>
            </w:r>
          </w:p>
        </w:tc>
        <w:tc>
          <w:tcPr>
            <w:tcW w:type="dxa" w:w="446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Número adjacente ou transposição.</w:t>
            </w:r>
          </w:p>
        </w:tc>
      </w:tr>
      <w:tr>
        <w:trPr>
          <w:cantSplit/>
        </w:trPr>
        <w:tc>
          <w:tcPr>
            <w:tcW w:type="dxa" w:w="122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N4</w:t>
            </w:r>
          </w:p>
        </w:tc>
        <w:tc>
          <w:tcPr>
            <w:tcW w:type="dxa" w:w="41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Mesma entity</w:t>
            </w:r>
          </w:p>
        </w:tc>
        <w:tc>
          <w:tcPr>
            <w:tcW w:type="dxa" w:w="446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Documento diferente da mesma contraparte.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N5</w:t>
            </w:r>
          </w:p>
        </w:tc>
        <w:tc>
          <w:tcPr>
            <w:tcW w:type="dxa" w:w="41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Mesmo amount + date próxima</w:t>
            </w:r>
          </w:p>
        </w:tc>
        <w:tc>
          <w:tcPr>
            <w:tcW w:type="dxa" w:w="446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Candidato financeiro plausível.</w:t>
            </w:r>
          </w:p>
        </w:tc>
      </w:tr>
      <w:tr>
        <w:trPr>
          <w:cantSplit/>
        </w:trPr>
        <w:tc>
          <w:tcPr>
            <w:tcW w:type="dxa" w:w="122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N6</w:t>
            </w:r>
          </w:p>
        </w:tc>
        <w:tc>
          <w:tcPr>
            <w:tcW w:type="dxa" w:w="41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Mesmo amount + entity</w:t>
            </w:r>
          </w:p>
        </w:tc>
        <w:tc>
          <w:tcPr>
            <w:tcW w:type="dxa" w:w="446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Outra operação do mesmo parceiro.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N7</w:t>
            </w:r>
          </w:p>
        </w:tc>
        <w:tc>
          <w:tcPr>
            <w:tcW w:type="dxa" w:w="41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Mesmo amount + date + reference próxima</w:t>
            </w:r>
          </w:p>
        </w:tc>
        <w:tc>
          <w:tcPr>
            <w:tcW w:type="dxa" w:w="446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Ambiguidade forte em três evidências.</w:t>
            </w:r>
          </w:p>
        </w:tc>
      </w:tr>
      <w:tr>
        <w:trPr>
          <w:cantSplit/>
        </w:trPr>
        <w:tc>
          <w:tcPr>
            <w:tcW w:type="dxa" w:w="122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N8</w:t>
            </w:r>
          </w:p>
        </w:tc>
        <w:tc>
          <w:tcPr>
            <w:tcW w:type="dxa" w:w="41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Description semelhante + entity</w:t>
            </w:r>
          </w:p>
        </w:tc>
        <w:tc>
          <w:tcPr>
            <w:tcW w:type="dxa" w:w="446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Texto operacional parecido.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N9</w:t>
            </w:r>
          </w:p>
        </w:tc>
        <w:tc>
          <w:tcPr>
            <w:tcW w:type="dxa" w:w="41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Mesmo amount + date + entity; reference errada mas próxima</w:t>
            </w:r>
          </w:p>
        </w:tc>
        <w:tc>
          <w:tcPr>
            <w:tcW w:type="dxa" w:w="446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Caso deliberadamente mais difícil.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5.8 Invariantes do gerador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Cada caso contém exatamente 10 candidatos.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Existe exatamente um true_candidate_id.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Todos os IDs são únicos dentro da seed.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Nenhum negativo é idêntico ao true candidate nos cinco campos.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A mesma seed produz bytes logicamente equivalentes e a mesma ordem depois do shuffle determinístico.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Cada cenário contém exatamente 100 casos por evaluation seed.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O gerador falha explicitamente se não conseguir construir um negativo válido após um limite de tentativas.</w:t>
      </w: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6. Normalização</w:t>
      </w:r>
    </w:p>
    <w:p>
      <w:pPr>
        <w:spacing w:after="100"/>
      </w:pPr>
      <w:r>
        <w:rPr>
          <w:rFonts w:ascii="Lato" w:hAnsi="Lato"/>
        </w:rPr>
        <w:t>A normalização é um componente próprio do pipeline. Todos os métodos principais recebem a mesma versão normalizada, permitindo comparar algoritmos sem misturar o efeito do preprocessing. A ablation M4-noNorm mede separadamente a contribuição desta etapa.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58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5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Operações</w:t>
            </w:r>
          </w:p>
        </w:tc>
        <w:tc>
          <w:tcPr>
            <w:tcW w:type="dxa" w:w="295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Exemplo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Texto geral</w:t>
            </w:r>
          </w:p>
        </w:tc>
        <w:tc>
          <w:tcPr>
            <w:tcW w:type="dxa" w:w="52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Unicode NFKD, lowercase, remoção de acentos, punctuation para espaço, collapse whitespace.</w:t>
            </w:r>
          </w:p>
        </w:tc>
        <w:tc>
          <w:tcPr>
            <w:tcW w:type="dxa" w:w="295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"Órbita &amp; Filhos, Lda." -&gt; "orbita filhos lda"</w:t>
            </w:r>
          </w:p>
        </w:tc>
      </w:tr>
      <w:tr>
        <w:trPr>
          <w:cantSplit/>
        </w:trPr>
        <w:tc>
          <w:tcPr>
            <w:tcW w:type="dxa" w:w="158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Reference</w:t>
            </w:r>
          </w:p>
        </w:tc>
        <w:tc>
          <w:tcPr>
            <w:tcW w:type="dxa" w:w="525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Normalização geral + remoção de espaços.</w:t>
            </w:r>
          </w:p>
        </w:tc>
        <w:tc>
          <w:tcPr>
            <w:tcW w:type="dxa" w:w="295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"FT-2026 / 00187" -&gt; "ft202600187"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Entity</w:t>
            </w:r>
          </w:p>
        </w:tc>
        <w:tc>
          <w:tcPr>
            <w:tcW w:type="dxa" w:w="52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Normalização geral + remoção dos sufixos usados no gerador: lda, sa.</w:t>
            </w:r>
          </w:p>
        </w:tc>
        <w:tc>
          <w:tcPr>
            <w:tcW w:type="dxa" w:w="295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"ACME Portugal Lda." -&gt; "acme portugal"</w:t>
            </w:r>
          </w:p>
        </w:tc>
      </w:tr>
      <w:tr>
        <w:trPr>
          <w:cantSplit/>
        </w:trPr>
        <w:tc>
          <w:tcPr>
            <w:tcW w:type="dxa" w:w="158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Amount</w:t>
            </w:r>
          </w:p>
        </w:tc>
        <w:tc>
          <w:tcPr>
            <w:tcW w:type="dxa" w:w="525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Decimal quantizado a duas casas.</w:t>
            </w:r>
          </w:p>
        </w:tc>
        <w:tc>
          <w:tcPr>
            <w:tcW w:type="dxa" w:w="295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1245,30 -&gt; Decimal("1245.30")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Date</w:t>
            </w:r>
          </w:p>
        </w:tc>
        <w:tc>
          <w:tcPr>
            <w:tcW w:type="dxa" w:w="52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Objeto date e serialização ISO.</w:t>
            </w:r>
          </w:p>
        </w:tc>
        <w:tc>
          <w:tcPr>
            <w:tcW w:type="dxa" w:w="295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12/05/2026 -&gt; 2026-05-12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6.1 Proteções contra over-normalization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Não remover tokens de negócio para além dos sufixos jurídicos explicitamente gerados.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Não corrigir typos através de dicionários: isso seria outro algoritmo.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Não extrair a referência da description no benchmark principal: Reference já é um campo separado.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Não usar listas de empresas reais ou aliases manuais.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Guardar raw e normalized values para depuração e reproducibilidade.</w:t>
      </w: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7. Métodos a comparar</w:t>
      </w:r>
    </w:p>
    <w:p>
      <w:pPr>
        <w:spacing w:after="100"/>
      </w:pPr>
      <w:r>
        <w:rPr>
          <w:rFonts w:ascii="Lato" w:hAnsi="Lato"/>
        </w:rPr>
        <w:t>A recomendação final inclui cinco métodos. A introdução de M1 separa explicitamente o ganho das tolerâncias financeiras do ganho das métricas fuzzy. Todos produzem um score entre 0 e 1 e usam a média dos campos disponíveis.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D6DDE3"/>
              <w:bottom w:val="single" w:sz="5" w:color="D6DDE3"/>
              <w:left w:val="single" w:sz="5" w:color="D6DDE3"/>
              <w:right w:val="single" w:sz="5" w:color="D6DD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17324D"/>
                <w:sz w:val="17"/>
              </w:rPr>
              <w:t>overall_score = sum(field_scores) / number_of_available_fields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if a field is missing on either side: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exclude that field from numerator and denominator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511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Definição</w:t>
            </w:r>
          </w:p>
        </w:tc>
        <w:tc>
          <w:tcPr>
            <w:tcW w:type="dxa" w:w="280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Pergunta que responde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M0 Normalized Exact</w:t>
            </w:r>
          </w:p>
        </w:tc>
        <w:tc>
          <w:tcPr>
            <w:tcW w:type="dxa" w:w="511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0/1 em todos os campos após normalização.</w:t>
            </w:r>
          </w:p>
        </w:tc>
        <w:tc>
          <w:tcPr>
            <w:tcW w:type="dxa" w:w="28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Baseline rígido.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M1 Tolerant Deterministic</w:t>
            </w:r>
          </w:p>
        </w:tc>
        <w:tc>
          <w:tcPr>
            <w:tcW w:type="dxa" w:w="511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Amount +/- 0.10 EUR; Date +/- 3 dias; texto exato.</w:t>
            </w:r>
          </w:p>
        </w:tc>
        <w:tc>
          <w:tcPr>
            <w:tcW w:type="dxa" w:w="280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Isolar o efeito de tolerâncias sem fuzzy text.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M2 Jaro-Winkler</w:t>
            </w:r>
          </w:p>
        </w:tc>
        <w:tc>
          <w:tcPr>
            <w:tcW w:type="dxa" w:w="511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M1 para amount/date; Jaro-Winkler em Reference, Entity e Description.</w:t>
            </w:r>
          </w:p>
        </w:tc>
        <w:tc>
          <w:tcPr>
            <w:tcW w:type="dxa" w:w="28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Baseline fuzzy uniforme.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M3 Character 3-gram</w:t>
            </w:r>
          </w:p>
        </w:tc>
        <w:tc>
          <w:tcPr>
            <w:tcW w:type="dxa" w:w="511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M1 para amount/date; 3-gram cosine nos três campos textuais.</w:t>
            </w:r>
          </w:p>
        </w:tc>
        <w:tc>
          <w:tcPr>
            <w:tcW w:type="dxa" w:w="280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Segundo baseline fuzzy uniforme.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M4 Field-Aware Hybrid</w:t>
            </w:r>
          </w:p>
        </w:tc>
        <w:tc>
          <w:tcPr>
            <w:tcW w:type="dxa" w:w="511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M1 para amount/date; JW em Reference/Entity; 3-gram em Description.</w:t>
            </w:r>
          </w:p>
        </w:tc>
        <w:tc>
          <w:tcPr>
            <w:tcW w:type="dxa" w:w="28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Comparador escolhido pela natureza do campo.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Ablation M4-noNorm</w:t>
            </w:r>
          </w:p>
        </w:tc>
        <w:tc>
          <w:tcPr>
            <w:tcW w:type="dxa" w:w="511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Mesmo M4 sobre strings raw.</w:t>
            </w:r>
          </w:p>
        </w:tc>
        <w:tc>
          <w:tcPr>
            <w:tcW w:type="dxa" w:w="280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Medir contribuição da normalização.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7.1 M0 - Normalized Exact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D6DDE3"/>
              <w:bottom w:val="single" w:sz="5" w:color="D6DDE3"/>
              <w:left w:val="single" w:sz="5" w:color="D6DDE3"/>
              <w:right w:val="single" w:sz="5" w:color="D6DD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17324D"/>
                <w:sz w:val="17"/>
              </w:rPr>
              <w:t>field_score(x, y) = 1 if normalized(x) == normalized(y) else 0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Purpose: establish how quickly exact comparison degrades under controlled noise.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7.2 M1 - Tolerant Deterministic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D6DDE3"/>
              <w:bottom w:val="single" w:sz="5" w:color="D6DDE3"/>
              <w:left w:val="single" w:sz="5" w:color="D6DDE3"/>
              <w:right w:val="single" w:sz="5" w:color="D6DD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17324D"/>
                <w:sz w:val="17"/>
              </w:rPr>
              <w:t>amount_score = 1 if abs(bank.amount - candidate.amount) &lt;= 0.10 EUR else 0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date_score   = 1 if abs(bank.date - candidate.date) &lt;= 3 days else 0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text_score   = exact normalized agreement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Lato" w:hAnsi="Lato"/>
        </w:rPr>
        <w:t>Os thresholds correspondem ao limite superior das perturbações isoladas do benchmark. São parâmetros do protocolo, não conclusões universais sobre reconciliação bancária.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7.3 M2 - Jaro-Winkler Record Matcher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D6DDE3"/>
              <w:bottom w:val="single" w:sz="5" w:color="D6DDE3"/>
              <w:left w:val="single" w:sz="5" w:color="D6DDE3"/>
              <w:right w:val="single" w:sz="5" w:color="D6DD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17324D"/>
                <w:sz w:val="17"/>
              </w:rPr>
              <w:t>amount/date -&gt; same tolerant comparison as M1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reference   -&gt; Jaro-Winkler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entity      -&gt; Jaro-Winkler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description -&gt; Jaro-Winkler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Lato" w:hAnsi="Lato"/>
        </w:rPr>
        <w:t>M2 testa o comportamento de uma única métrica textual aplicada uniformemente, incluindo numa descrição onde Jaro-Winkler pode não ser a escolha mais natural.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7.4 M3 - Character 3-gram Record Matcher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D6DDE3"/>
              <w:bottom w:val="single" w:sz="5" w:color="D6DDE3"/>
              <w:left w:val="single" w:sz="5" w:color="D6DDE3"/>
              <w:right w:val="single" w:sz="5" w:color="D6DD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17324D"/>
                <w:sz w:val="17"/>
              </w:rPr>
              <w:t>amount/date -&gt; same tolerant comparison as M1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reference   -&gt; character 3-gram cosine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entity      -&gt; character 3-gram cosine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description -&gt; character 3-gram cosine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Lato" w:hAnsi="Lato"/>
        </w:rPr>
        <w:t>M3 funciona como contraponto a M2: utiliza uma representação vetorial local para todos os campos textuais, mesmo quando Reference e Entity são strings curtas.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7.5 M4 - Field-Aware Hybrid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D6DDE3"/>
              <w:bottom w:val="single" w:sz="5" w:color="D6DDE3"/>
              <w:left w:val="single" w:sz="5" w:color="D6DDE3"/>
              <w:right w:val="single" w:sz="5" w:color="D6DD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17324D"/>
                <w:sz w:val="17"/>
              </w:rPr>
              <w:t>amount      -&gt; tolerance comparator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date        -&gt; tolerance comparator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reference   -&gt; Jaro-Winkler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entity      -&gt; Jaro-Winkler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description -&gt; character 3-gram cosine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all available fields -&gt; equal weight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Lato" w:hAnsi="Lato"/>
        </w:rPr>
        <w:t>Não há pesos 0.30/0.15/etc. porque não existe um training set que permita justificá-los. Equal weighting reduz arbitrariedade. Learned weights podem ser future work quando existirem reconciliações históricas reais.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7.6 Dependency choice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Usar uma implementação mantida de Jaro-Winkler, por exemplo RapidFuzz, em vez de reimplementar uma fórmula sensível a erros.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Fixar a versão efetivamente instalada num lock file no momento da implementação.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Implementar character 3-gram cosine com Counter e math da standard library; não é necessário scikit-learn.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Usar Decimal e date da standard library para dados financeiros e temporais.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Usar pytest apenas para testes; CSV/JSON são produzidos com a standard library.</w:t>
      </w: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8. Avaliação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8.1 Unique Top-1 Accuracy</w:t>
      </w:r>
    </w:p>
    <w:p>
      <w:pPr>
        <w:spacing w:after="100"/>
      </w:pPr>
      <w:r>
        <w:rPr>
          <w:rFonts w:ascii="Lato" w:hAnsi="Lato"/>
        </w:rPr>
        <w:t>Um caso conta como correto apenas quando o true candidate possui o maior score e não está empatado com outro candidato. Esta definição aproxima a métrica de uma decisão automática segura.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D6DDE3"/>
              <w:bottom w:val="single" w:sz="5" w:color="D6DDE3"/>
              <w:left w:val="single" w:sz="5" w:color="D6DDE3"/>
              <w:right w:val="single" w:sz="5" w:color="D6DD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17324D"/>
                <w:sz w:val="17"/>
              </w:rPr>
              <w:t>unique_top1 = 1 if: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true_score == max_score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and exactly one candidate has max_score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else 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8.2 Mean Reciprocal Rank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D6DDE3"/>
              <w:bottom w:val="single" w:sz="5" w:color="D6DDE3"/>
              <w:left w:val="single" w:sz="5" w:color="D6DDE3"/>
              <w:right w:val="single" w:sz="5" w:color="D6DD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17324D"/>
                <w:sz w:val="17"/>
              </w:rPr>
              <w:t>RR(case) = 1 / rank_of_true_candidate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MRR      = mean(RR(case) for all cases)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tie example: two candidates tied at positions 1 and 2 -&gt; average rank = 1.5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8.3 Tie rate</w:t>
      </w:r>
    </w:p>
    <w:p>
      <w:pPr>
        <w:spacing w:after="100"/>
      </w:pPr>
      <w:r>
        <w:rPr>
          <w:rFonts w:ascii="Lato" w:hAnsi="Lato"/>
        </w:rPr>
        <w:t>Percentagem de casos em que existe empate no maior score. É um diagnóstico importante porque um método pode apresentar MRR razoável e, ainda assim, produzir demasiadas decisões ambíguas.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8.4 Agregação dos resultados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Calcular métricas por method, seed e scenario.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Reportar média entre as cinco seeds.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Reportar desvio-padrão global; por cenário apenas se couber no paper.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Guardar resultados por caso para análise de erros.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Não alterar o benchmark ou os parâmetros após observar qual método vence, salvo correção de bug documentada.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</w:tblGrid>
      <w:tr>
        <w:trPr>
          <w:tblHeader w:val="true"/>
        </w:trPr>
        <w:tc>
          <w:tcPr>
            <w:tcW w:type="dxa" w:w="172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79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4"/>
              </w:rPr>
              <w:t>Clean</w:t>
            </w:r>
          </w:p>
        </w:tc>
        <w:tc>
          <w:tcPr>
            <w:tcW w:type="dxa" w:w="79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4"/>
              </w:rPr>
              <w:t>Amount</w:t>
            </w:r>
          </w:p>
        </w:tc>
        <w:tc>
          <w:tcPr>
            <w:tcW w:type="dxa" w:w="72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7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79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1037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83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4"/>
              </w:rPr>
              <w:t>Missing</w:t>
            </w:r>
          </w:p>
        </w:tc>
        <w:tc>
          <w:tcPr>
            <w:tcW w:type="dxa" w:w="93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4"/>
              </w:rPr>
              <w:t>Combined</w:t>
            </w:r>
          </w:p>
        </w:tc>
        <w:tc>
          <w:tcPr>
            <w:tcW w:type="dxa" w:w="74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4"/>
              </w:rPr>
              <w:t>MRR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4"/>
              </w:rPr>
              <w:t>M0 Exact</w:t>
            </w:r>
          </w:p>
        </w:tc>
        <w:tc>
          <w:tcPr>
            <w:tcW w:type="dxa" w:w="79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9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2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979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9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1037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835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93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49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172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4"/>
              </w:rPr>
              <w:t>M1 Tolerant</w:t>
            </w:r>
          </w:p>
        </w:tc>
        <w:tc>
          <w:tcPr>
            <w:tcW w:type="dxa" w:w="79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9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2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979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9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1037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835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93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49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4"/>
              </w:rPr>
              <w:t>M2 Jaro-Winkler</w:t>
            </w:r>
          </w:p>
        </w:tc>
        <w:tc>
          <w:tcPr>
            <w:tcW w:type="dxa" w:w="79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9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2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979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9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1037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835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93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49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172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4"/>
              </w:rPr>
              <w:t>M3 3-gram</w:t>
            </w:r>
          </w:p>
        </w:tc>
        <w:tc>
          <w:tcPr>
            <w:tcW w:type="dxa" w:w="79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9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2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979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9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1037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835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93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49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4"/>
              </w:rPr>
              <w:t>M4 Hybrid</w:t>
            </w:r>
          </w:p>
        </w:tc>
        <w:tc>
          <w:tcPr>
            <w:tcW w:type="dxa" w:w="79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9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2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979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9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1037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835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93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  <w:tc>
          <w:tcPr>
            <w:tcW w:type="dxa" w:w="749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4"/>
              </w:rPr>
              <w:t>-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6"/>
      </w:tblGrid>
      <w:tr>
        <w:trPr>
          <w:cantSplit/>
        </w:trPr>
        <w:tc>
          <w:tcPr>
            <w:tcW w:type="dxa" w:w="9916"/>
            <w:shd w:fill="E9F5F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1B7F79"/>
              <w:bottom w:val="single" w:sz="8" w:color="1B7F79"/>
              <w:left w:val="single" w:sz="18" w:color="1B7F79"/>
              <w:right w:val="single" w:sz="8" w:color="1B7F79"/>
            </w:tcBorders>
          </w:tcPr>
          <w:p>
            <w:pPr>
              <w:spacing w:after="40"/>
            </w:pPr>
            <w:r>
              <w:rPr>
                <w:rFonts w:ascii="Lato" w:hAnsi="Lato"/>
                <w:b/>
                <w:color w:val="17324D"/>
              </w:rPr>
              <w:t>Critério de sucesso do trabalho</w:t>
            </w:r>
          </w:p>
          <w:p>
            <w:pPr>
              <w:spacing w:after="0"/>
            </w:pPr>
            <w:r>
              <w:rPr>
                <w:rFonts w:ascii="Lato" w:hAnsi="Lato"/>
                <w:sz w:val="19"/>
              </w:rPr>
              <w:t>A experiência é bem-sucedida se produzir uma comparação reproduzível e explicar onde cada método funciona ou falha. Não é necessário que M4 vença todos os cenários.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9. Plano técnico de implementação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9.1 Tecnologia e dependências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37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Escolha</w:t>
            </w:r>
          </w:p>
        </w:tc>
        <w:tc>
          <w:tcPr>
            <w:tcW w:type="dxa" w:w="540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Motivo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Linguagem</w:t>
            </w:r>
          </w:p>
        </w:tc>
        <w:tc>
          <w:tcPr>
            <w:tcW w:type="dxa" w:w="237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Python 3.11+</w:t>
            </w:r>
          </w:p>
        </w:tc>
        <w:tc>
          <w:tcPr>
            <w:tcW w:type="dxa" w:w="54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Ciclo rápido, bibliotecas maduras e experiência isolada do produto.</w:t>
            </w:r>
          </w:p>
        </w:tc>
      </w:tr>
      <w:tr>
        <w:trPr>
          <w:cantSplit/>
        </w:trPr>
        <w:tc>
          <w:tcPr>
            <w:tcW w:type="dxa" w:w="194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Jaro-Winkler</w:t>
            </w:r>
          </w:p>
        </w:tc>
        <w:tc>
          <w:tcPr>
            <w:tcW w:type="dxa" w:w="237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RapidFuzz</w:t>
            </w:r>
          </w:p>
        </w:tc>
        <w:tc>
          <w:tcPr>
            <w:tcW w:type="dxa" w:w="540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Implementação mantida, normalizada e eficiente.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Q-grams</w:t>
            </w:r>
          </w:p>
        </w:tc>
        <w:tc>
          <w:tcPr>
            <w:tcW w:type="dxa" w:w="237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Standard library</w:t>
            </w:r>
          </w:p>
        </w:tc>
        <w:tc>
          <w:tcPr>
            <w:tcW w:type="dxa" w:w="54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Counter + cosine são simples; evitar dependência desnecessária.</w:t>
            </w:r>
          </w:p>
        </w:tc>
      </w:tr>
      <w:tr>
        <w:trPr>
          <w:cantSplit/>
        </w:trPr>
        <w:tc>
          <w:tcPr>
            <w:tcW w:type="dxa" w:w="194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Dados financeiros</w:t>
            </w:r>
          </w:p>
        </w:tc>
        <w:tc>
          <w:tcPr>
            <w:tcW w:type="dxa" w:w="237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Decimal</w:t>
            </w:r>
          </w:p>
        </w:tc>
        <w:tc>
          <w:tcPr>
            <w:tcW w:type="dxa" w:w="540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Evitar imprecisão binária de float.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Testes</w:t>
            </w:r>
          </w:p>
        </w:tc>
        <w:tc>
          <w:tcPr>
            <w:tcW w:type="dxa" w:w="237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pytest</w:t>
            </w:r>
          </w:p>
        </w:tc>
        <w:tc>
          <w:tcPr>
            <w:tcW w:type="dxa" w:w="54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Testes claros e rápidos.</w:t>
            </w:r>
          </w:p>
        </w:tc>
      </w:tr>
      <w:tr>
        <w:trPr>
          <w:cantSplit/>
        </w:trPr>
        <w:tc>
          <w:tcPr>
            <w:tcW w:type="dxa" w:w="194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Exportação</w:t>
            </w:r>
          </w:p>
        </w:tc>
        <w:tc>
          <w:tcPr>
            <w:tcW w:type="dxa" w:w="237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json, csv</w:t>
            </w:r>
          </w:p>
        </w:tc>
        <w:tc>
          <w:tcPr>
            <w:tcW w:type="dxa" w:w="540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Formatos portáveis e sem dependências adicionais.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9.2 Estrutura mínima do projeto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D6DDE3"/>
              <w:bottom w:val="single" w:sz="5" w:color="D6DDE3"/>
              <w:left w:val="single" w:sz="5" w:color="D6DDE3"/>
              <w:right w:val="single" w:sz="5" w:color="D6DD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17324D"/>
                <w:sz w:val="17"/>
              </w:rPr>
              <w:t>bank-reconciliation-benchmark/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pyproject.toml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README.md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src/recon_benchmark/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models.py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normalization.py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generator.py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perturbations.py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negatives.py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matchers.py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evaluation.py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cli.py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tests/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test_normalization.py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test_generator.py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test_matchers.py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test_evaluation.py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  test_reproducibility.py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benchmarks/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results/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 xml:space="preserve">  figures/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Lato" w:hAnsi="Lato"/>
        </w:rPr>
        <w:t>A separação por ficheiros acompanha responsabilidades reais. Não criar interfaces, services ou abstrações adicionais sem necessidade. Um mapping simples de nome do método para função de scoring é suficiente.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9.3 Contratos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381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590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38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generate_canonical_record(rng, index)</w:t>
            </w:r>
          </w:p>
        </w:tc>
        <w:tc>
          <w:tcPr>
            <w:tcW w:type="dxa" w:w="59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Cria o registo contabilístico base.</w:t>
            </w:r>
          </w:p>
        </w:tc>
      </w:tr>
      <w:tr>
        <w:trPr>
          <w:cantSplit/>
        </w:trPr>
        <w:tc>
          <w:tcPr>
            <w:tcW w:type="dxa" w:w="38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derive_bank_transaction(record)</w:t>
            </w:r>
          </w:p>
        </w:tc>
        <w:tc>
          <w:tcPr>
            <w:tcW w:type="dxa" w:w="59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Cria o lado bancário antes do ruído.</w:t>
            </w:r>
          </w:p>
        </w:tc>
      </w:tr>
      <w:tr>
        <w:trPr>
          <w:cantSplit/>
        </w:trPr>
        <w:tc>
          <w:tcPr>
            <w:tcW w:type="dxa" w:w="38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apply_perturbation(transaction, scenario, rng)</w:t>
            </w:r>
          </w:p>
        </w:tc>
        <w:tc>
          <w:tcPr>
            <w:tcW w:type="dxa" w:w="59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Aplica apenas as alterações documentadas.</w:t>
            </w:r>
          </w:p>
        </w:tc>
      </w:tr>
      <w:tr>
        <w:trPr>
          <w:cantSplit/>
        </w:trPr>
        <w:tc>
          <w:tcPr>
            <w:tcW w:type="dxa" w:w="38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generate_hard_negatives(record, pool, rng)</w:t>
            </w:r>
          </w:p>
        </w:tc>
        <w:tc>
          <w:tcPr>
            <w:tcW w:type="dxa" w:w="59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Produz nove candidatos válidos e não idênticos.</w:t>
            </w:r>
          </w:p>
        </w:tc>
      </w:tr>
      <w:tr>
        <w:trPr>
          <w:cantSplit/>
        </w:trPr>
        <w:tc>
          <w:tcPr>
            <w:tcW w:type="dxa" w:w="38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normalize_*()</w:t>
            </w:r>
          </w:p>
        </w:tc>
        <w:tc>
          <w:tcPr>
            <w:tcW w:type="dxa" w:w="59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Transformações puras e determinísticas por campo.</w:t>
            </w:r>
          </w:p>
        </w:tc>
      </w:tr>
      <w:tr>
        <w:trPr>
          <w:cantSplit/>
        </w:trPr>
        <w:tc>
          <w:tcPr>
            <w:tcW w:type="dxa" w:w="38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score_m0 ... score_m4</w:t>
            </w:r>
          </w:p>
        </w:tc>
        <w:tc>
          <w:tcPr>
            <w:tcW w:type="dxa" w:w="59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Recebem apenas transaction e candidate; devolvem [0,1].</w:t>
            </w:r>
          </w:p>
        </w:tc>
      </w:tr>
      <w:tr>
        <w:trPr>
          <w:cantSplit/>
        </w:trPr>
        <w:tc>
          <w:tcPr>
            <w:tcW w:type="dxa" w:w="38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rank_candidates()</w:t>
            </w:r>
          </w:p>
        </w:tc>
        <w:tc>
          <w:tcPr>
            <w:tcW w:type="dxa" w:w="59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Ordena por score e preserva empates.</w:t>
            </w:r>
          </w:p>
        </w:tc>
      </w:tr>
      <w:tr>
        <w:trPr>
          <w:cantSplit/>
        </w:trPr>
        <w:tc>
          <w:tcPr>
            <w:tcW w:type="dxa" w:w="38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evaluate_case()</w:t>
            </w:r>
          </w:p>
        </w:tc>
        <w:tc>
          <w:tcPr>
            <w:tcW w:type="dxa" w:w="59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Calcula unique_top1, reciprocal rank e tie.</w:t>
            </w:r>
          </w:p>
        </w:tc>
      </w:tr>
      <w:tr>
        <w:trPr>
          <w:cantSplit/>
        </w:trPr>
        <w:tc>
          <w:tcPr>
            <w:tcW w:type="dxa" w:w="38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aggregate_results()</w:t>
            </w:r>
          </w:p>
        </w:tc>
        <w:tc>
          <w:tcPr>
            <w:tcW w:type="dxa" w:w="59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Produz métricas por seed/scenario/method.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9.4 Ordem de implementação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1.  </w:t>
      </w:r>
      <w:r>
        <w:rPr>
          <w:rFonts w:ascii="Lato" w:hAnsi="Lato"/>
        </w:rPr>
        <w:t>Criar models.py com dataclasses imutáveis e serialização explícita.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2.  </w:t>
      </w:r>
      <w:r>
        <w:rPr>
          <w:rFonts w:ascii="Lato" w:hAnsi="Lato"/>
        </w:rPr>
        <w:t>Implementar normalization.py e respetivos testes unitários.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3.  </w:t>
      </w:r>
      <w:r>
        <w:rPr>
          <w:rFonts w:ascii="Lato" w:hAnsi="Lato"/>
        </w:rPr>
        <w:t>Implementar gerador canónico e development seed com 20 casos.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4.  </w:t>
      </w:r>
      <w:r>
        <w:rPr>
          <w:rFonts w:ascii="Lato" w:hAnsi="Lato"/>
        </w:rPr>
        <w:t>Implementar uma perturbação de cada vez, com testes de fronteira.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5.  </w:t>
      </w:r>
      <w:r>
        <w:rPr>
          <w:rFonts w:ascii="Lato" w:hAnsi="Lato"/>
        </w:rPr>
        <w:t>Implementar hard negatives e invariantes.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6.  </w:t>
      </w:r>
      <w:r>
        <w:rPr>
          <w:rFonts w:ascii="Lato" w:hAnsi="Lato"/>
        </w:rPr>
        <w:t>Inspecionar manualmente casos clean, reference typo, missing e combined.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7.  </w:t>
      </w:r>
      <w:r>
        <w:rPr>
          <w:rFonts w:ascii="Lato" w:hAnsi="Lato"/>
        </w:rPr>
        <w:t>Implementar M0 e M1; validar scores e empates.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8.  </w:t>
      </w:r>
      <w:r>
        <w:rPr>
          <w:rFonts w:ascii="Lato" w:hAnsi="Lato"/>
        </w:rPr>
        <w:t>Adicionar RapidFuzz e implementar M2.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9.  </w:t>
      </w:r>
      <w:r>
        <w:rPr>
          <w:rFonts w:ascii="Lato" w:hAnsi="Lato"/>
        </w:rPr>
        <w:t>Implementar q-gram cosine e M3/M4.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10.  </w:t>
      </w:r>
      <w:r>
        <w:rPr>
          <w:rFonts w:ascii="Lato" w:hAnsi="Lato"/>
        </w:rPr>
        <w:t>Implementar avaliação e exportação.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11.  </w:t>
      </w:r>
      <w:r>
        <w:rPr>
          <w:rFonts w:ascii="Lato" w:hAnsi="Lato"/>
        </w:rPr>
        <w:t>Executar smoke run completo com seed 7.</w:t>
      </w:r>
    </w:p>
    <w:p>
      <w:pPr>
        <w:spacing w:after="60"/>
        <w:ind w:left="397" w:hanging="312"/>
      </w:pPr>
      <w:r>
        <w:rPr>
          <w:rFonts w:ascii="Lato" w:hAnsi="Lato"/>
          <w:b/>
          <w:color w:val="17324D"/>
        </w:rPr>
        <w:t xml:space="preserve">12.  </w:t>
      </w:r>
      <w:r>
        <w:rPr>
          <w:rFonts w:ascii="Lato" w:hAnsi="Lato"/>
        </w:rPr>
        <w:t>Congelar configuração e executar seeds 42-46.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9.5 CLI recomendada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D6DDE3"/>
              <w:bottom w:val="single" w:sz="5" w:color="D6DDE3"/>
              <w:left w:val="single" w:sz="5" w:color="D6DDE3"/>
              <w:right w:val="single" w:sz="5" w:color="D6DDE3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color w:val="17324D"/>
                <w:sz w:val="17"/>
              </w:rPr>
              <w:t>python -m recon_benchmark.cli generate --seed 7 --cases-per-scenario 3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python -m recon_benchmark.cli validate --input benchmarks/seed_7.jsonl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python -m recon_benchmark.cli evaluate --seed 7 --methods all</w:t>
            </w:r>
            <w:r>
              <w:br/>
            </w:r>
            <w:r>
              <w:rPr>
                <w:rFonts w:ascii="Liberation Mono" w:hAnsi="Liberation Mono"/>
                <w:color w:val="17324D"/>
                <w:sz w:val="17"/>
              </w:rPr>
              <w:t>python -m recon_benchmark.cli run-final --seeds 42 43 44 45 46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9.6 Outputs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316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Ficheiro</w:t>
            </w:r>
          </w:p>
        </w:tc>
        <w:tc>
          <w:tcPr>
            <w:tcW w:type="dxa" w:w="655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Conteúdo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benchmarks/seed_&lt;n&gt;.jsonl</w:t>
            </w:r>
          </w:p>
        </w:tc>
        <w:tc>
          <w:tcPr>
            <w:tcW w:type="dxa" w:w="655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Casos completos, raw values, scenario, ground truth e perturbations.</w:t>
            </w:r>
          </w:p>
        </w:tc>
      </w:tr>
      <w:tr>
        <w:trPr>
          <w:cantSplit/>
        </w:trPr>
        <w:tc>
          <w:tcPr>
            <w:tcW w:type="dxa" w:w="316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results/per_case.csv</w:t>
            </w:r>
          </w:p>
        </w:tc>
        <w:tc>
          <w:tcPr>
            <w:tcW w:type="dxa" w:w="655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Score/rank do true candidate, top score, tie count e método.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results/by_scenario.csv</w:t>
            </w:r>
          </w:p>
        </w:tc>
        <w:tc>
          <w:tcPr>
            <w:tcW w:type="dxa" w:w="655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Unique Top-1, MRR e tie rate por cenário/método/seed.</w:t>
            </w:r>
          </w:p>
        </w:tc>
      </w:tr>
      <w:tr>
        <w:trPr>
          <w:cantSplit/>
        </w:trPr>
        <w:tc>
          <w:tcPr>
            <w:tcW w:type="dxa" w:w="316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results/summary.csv</w:t>
            </w:r>
          </w:p>
        </w:tc>
        <w:tc>
          <w:tcPr>
            <w:tcW w:type="dxa" w:w="655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Média e desvio-padrão entre seeds.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results/manifest.json</w:t>
            </w:r>
          </w:p>
        </w:tc>
        <w:tc>
          <w:tcPr>
            <w:tcW w:type="dxa" w:w="655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Configuração, seeds, Python, dependências, timestamp e commit.</w:t>
            </w:r>
          </w:p>
        </w:tc>
      </w:tr>
      <w:tr>
        <w:trPr>
          <w:cantSplit/>
        </w:trPr>
        <w:tc>
          <w:tcPr>
            <w:tcW w:type="dxa" w:w="316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figures/robustness_by_scenario.png</w:t>
            </w:r>
          </w:p>
        </w:tc>
        <w:tc>
          <w:tcPr>
            <w:tcW w:type="dxa" w:w="655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Figura opcional para o paper, gerada apenas depois de congelar os resultados.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10. Estratégia de validação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10.1 Testes obrigatórios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216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56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Comportamento protegido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Normalização</w:t>
            </w:r>
          </w:p>
        </w:tc>
        <w:tc>
          <w:tcPr>
            <w:tcW w:type="dxa" w:w="75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Acentos, punctuation, spaces, sufixos, references e missing.</w:t>
            </w:r>
          </w:p>
        </w:tc>
      </w:tr>
      <w:tr>
        <w:trPr>
          <w:cantSplit/>
        </w:trPr>
        <w:tc>
          <w:tcPr>
            <w:tcW w:type="dxa" w:w="216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Reprodutibilidade</w:t>
            </w:r>
          </w:p>
        </w:tc>
        <w:tc>
          <w:tcPr>
            <w:tcW w:type="dxa" w:w="756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Mesma seed gera o mesmo benchmark; seeds diferentes produzem casos diferentes.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Integridade</w:t>
            </w:r>
          </w:p>
        </w:tc>
        <w:tc>
          <w:tcPr>
            <w:tcW w:type="dxa" w:w="75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10 candidatos, um true ID, IDs únicos, nenhum negative idêntico.</w:t>
            </w:r>
          </w:p>
        </w:tc>
      </w:tr>
      <w:tr>
        <w:trPr>
          <w:cantSplit/>
        </w:trPr>
        <w:tc>
          <w:tcPr>
            <w:tcW w:type="dxa" w:w="216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Perturbações</w:t>
            </w:r>
          </w:p>
        </w:tc>
        <w:tc>
          <w:tcPr>
            <w:tcW w:type="dxa" w:w="756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Cada cenário altera apenas o campo esperado; combined aplica três famílias distintas.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Scores</w:t>
            </w:r>
          </w:p>
        </w:tc>
        <w:tc>
          <w:tcPr>
            <w:tcW w:type="dxa" w:w="75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Todos os métodos devolvem valores em [0,1].</w:t>
            </w:r>
          </w:p>
        </w:tc>
      </w:tr>
      <w:tr>
        <w:trPr>
          <w:cantSplit/>
        </w:trPr>
        <w:tc>
          <w:tcPr>
            <w:tcW w:type="dxa" w:w="216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Missing</w:t>
            </w:r>
          </w:p>
        </w:tc>
        <w:tc>
          <w:tcPr>
            <w:tcW w:type="dxa" w:w="756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Campo ausente é excluído; não provoca divisão por zero.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Ranking</w:t>
            </w:r>
          </w:p>
        </w:tc>
        <w:tc>
          <w:tcPr>
            <w:tcW w:type="dxa" w:w="75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Ordenação, average rank e unique top-1 com empates.</w:t>
            </w:r>
          </w:p>
        </w:tc>
      </w:tr>
      <w:tr>
        <w:trPr>
          <w:cantSplit/>
        </w:trPr>
        <w:tc>
          <w:tcPr>
            <w:tcW w:type="dxa" w:w="216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Integração</w:t>
            </w:r>
          </w:p>
        </w:tc>
        <w:tc>
          <w:tcPr>
            <w:tcW w:type="dxa" w:w="756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Run completo pequeno produz todos os ficheiros e linhas esperadas.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10.2 Freeze experimental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6"/>
      </w:tblGrid>
      <w:tr>
        <w:trPr>
          <w:cantSplit/>
        </w:trPr>
        <w:tc>
          <w:tcPr>
            <w:tcW w:type="dxa" w:w="9916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49B18"/>
              <w:bottom w:val="single" w:sz="8" w:color="D49B18"/>
              <w:left w:val="single" w:sz="18" w:color="D49B18"/>
              <w:right w:val="single" w:sz="8" w:color="D49B18"/>
            </w:tcBorders>
          </w:tcPr>
          <w:p>
            <w:pPr>
              <w:spacing w:after="40"/>
            </w:pPr>
            <w:r>
              <w:rPr>
                <w:rFonts w:ascii="Lato" w:hAnsi="Lato"/>
                <w:b/>
                <w:color w:val="17324D"/>
              </w:rPr>
              <w:t>Regra de freeze</w:t>
            </w:r>
          </w:p>
          <w:p>
            <w:pPr>
              <w:spacing w:after="0"/>
            </w:pPr>
            <w:r>
              <w:rPr>
                <w:rFonts w:ascii="Lato" w:hAnsi="Lato"/>
                <w:sz w:val="19"/>
              </w:rPr>
              <w:t>Depois de a seed 7 passar testes e inspeção manual, guardar um manifest de configuração. As seeds finais são executadas sem alterar perturbações, candidatos, normalização, thresholds ou comparadores. Alterações posteriores só podem corrigir bugs confirmados e devem ficar registadas.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10.3 Checklist antes do run final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Todos os testes passam.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Os 20 casos de smoke foram inspecionados manualmente.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As perturbações não revelam o true candidate por formatação ou ID.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Candidate order está baralhada.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Os thresholds de M1-M4 estão no manifest.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As versões das dependências estão fixadas.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O script final executa do zero num ambiente limpo.</w:t>
      </w: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11. Plano de execução até 6 de setembro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15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432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Trabalho</w:t>
            </w:r>
          </w:p>
        </w:tc>
        <w:tc>
          <w:tcPr>
            <w:tcW w:type="dxa" w:w="424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31 Ago</w:t>
            </w:r>
          </w:p>
        </w:tc>
        <w:tc>
          <w:tcPr>
            <w:tcW w:type="dxa" w:w="432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Gerador, normalização, perturbações e hard negatives.</w:t>
            </w:r>
          </w:p>
        </w:tc>
        <w:tc>
          <w:tcPr>
            <w:tcW w:type="dxa" w:w="424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Development benchmark seed 7 válido e inspecionado.</w:t>
            </w:r>
          </w:p>
        </w:tc>
      </w:tr>
      <w:tr>
        <w:trPr>
          <w:cantSplit/>
        </w:trPr>
        <w:tc>
          <w:tcPr>
            <w:tcW w:type="dxa" w:w="115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1 Set</w:t>
            </w:r>
          </w:p>
        </w:tc>
        <w:tc>
          <w:tcPr>
            <w:tcW w:type="dxa" w:w="432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Implementar M0-M4, ranking, métricas e testes.</w:t>
            </w:r>
          </w:p>
        </w:tc>
        <w:tc>
          <w:tcPr>
            <w:tcW w:type="dxa" w:w="424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Smoke run completo com outputs.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2 Set</w:t>
            </w:r>
          </w:p>
        </w:tc>
        <w:tc>
          <w:tcPr>
            <w:tcW w:type="dxa" w:w="432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Freeze, executar seeds 42-46, analisar erros e gerar tabela.</w:t>
            </w:r>
          </w:p>
        </w:tc>
        <w:tc>
          <w:tcPr>
            <w:tcW w:type="dxa" w:w="424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Resultados finais imutáveis salvo bug.</w:t>
            </w:r>
          </w:p>
        </w:tc>
      </w:tr>
      <w:tr>
        <w:trPr>
          <w:cantSplit/>
        </w:trPr>
        <w:tc>
          <w:tcPr>
            <w:tcW w:type="dxa" w:w="115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3 Set</w:t>
            </w:r>
          </w:p>
        </w:tc>
        <w:tc>
          <w:tcPr>
            <w:tcW w:type="dxa" w:w="432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Escrever primeira versão do paper e figura/tabela.</w:t>
            </w:r>
          </w:p>
        </w:tc>
        <w:tc>
          <w:tcPr>
            <w:tcW w:type="dxa" w:w="424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Conteúdo científico completo, mesmo acima de 2 páginas.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4 Set</w:t>
            </w:r>
          </w:p>
        </w:tc>
        <w:tc>
          <w:tcPr>
            <w:tcW w:type="dxa" w:w="432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Comprimir para o template RECPAD.</w:t>
            </w:r>
          </w:p>
        </w:tc>
        <w:tc>
          <w:tcPr>
            <w:tcW w:type="dxa" w:w="424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Máximo de 2 páginas incluindo referências.</w:t>
            </w:r>
          </w:p>
        </w:tc>
      </w:tr>
      <w:tr>
        <w:trPr>
          <w:cantSplit/>
        </w:trPr>
        <w:tc>
          <w:tcPr>
            <w:tcW w:type="dxa" w:w="115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5 Set</w:t>
            </w:r>
          </w:p>
        </w:tc>
        <w:tc>
          <w:tcPr>
            <w:tcW w:type="dxa" w:w="432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Revisão científica, inglês, blind review e PDF.</w:t>
            </w:r>
          </w:p>
        </w:tc>
        <w:tc>
          <w:tcPr>
            <w:tcW w:type="dxa" w:w="424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Versão pronta para submissão.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6 Set</w:t>
            </w:r>
          </w:p>
        </w:tc>
        <w:tc>
          <w:tcPr>
            <w:tcW w:type="dxa" w:w="432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Buffer e submissão.</w:t>
            </w:r>
          </w:p>
        </w:tc>
        <w:tc>
          <w:tcPr>
            <w:tcW w:type="dxa" w:w="424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Apenas correções críticas; submissão concluída.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ato" w:hAnsi="Lato"/>
          <w:b/>
          <w:color w:val="246B8E"/>
        </w:rPr>
        <w:t>11.1 Stop rules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Não voltar a pesquisar produtos, salvo dúvida factual indispensável.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Não adicionar novos campos ao benchmark.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Não adicionar embeddings, LLM, ML training ou learned weights.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Não implementar grouping ou partial matching.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Não ajustar o benchmark para favorecer o método híbrido.</w:t>
      </w:r>
    </w:p>
    <w:p>
      <w:pPr>
        <w:pStyle w:val="ListBullet"/>
        <w:spacing w:after="40"/>
        <w:ind w:left="340" w:hanging="142"/>
      </w:pPr>
      <w:r>
        <w:rPr>
          <w:rFonts w:ascii="Lato" w:hAnsi="Lato"/>
        </w:rPr>
        <w:t>Parar a investigação quando houver evidência suficiente para implementar e validar.</w:t>
      </w: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12.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Risco</w:t>
            </w:r>
          </w:p>
        </w:tc>
        <w:tc>
          <w:tcPr>
            <w:tcW w:type="dxa" w:w="288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460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6"/>
              </w:rPr>
              <w:t>Mitigação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Benchmark demasiado fácil</w:t>
            </w:r>
          </w:p>
        </w:tc>
        <w:tc>
          <w:tcPr>
            <w:tcW w:type="dxa" w:w="288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Resultados próximos de 100% e pouco informativos.</w:t>
            </w:r>
          </w:p>
        </w:tc>
        <w:tc>
          <w:tcPr>
            <w:tcW w:type="dxa" w:w="46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Nove hard negatives estruturados; N9 deliberadamente ambíguo.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Benchmark favorece M4</w:t>
            </w:r>
          </w:p>
        </w:tc>
        <w:tc>
          <w:tcPr>
            <w:tcW w:type="dxa" w:w="288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Conclusão circular.</w:t>
            </w:r>
          </w:p>
        </w:tc>
        <w:tc>
          <w:tcPr>
            <w:tcW w:type="dxa" w:w="460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Freeze antes dos resultados, pesos iguais e divulgação de todos os métodos.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Dependência de uma seed</w:t>
            </w:r>
          </w:p>
        </w:tc>
        <w:tc>
          <w:tcPr>
            <w:tcW w:type="dxa" w:w="288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Resultado acidental.</w:t>
            </w:r>
          </w:p>
        </w:tc>
        <w:tc>
          <w:tcPr>
            <w:tcW w:type="dxa" w:w="46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Cinco evaluation seeds e média/desvio-padrão.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Normalização explica todo o ganho</w:t>
            </w:r>
          </w:p>
        </w:tc>
        <w:tc>
          <w:tcPr>
            <w:tcW w:type="dxa" w:w="288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Atribuição errada ao matcher.</w:t>
            </w:r>
          </w:p>
        </w:tc>
        <w:tc>
          <w:tcPr>
            <w:tcW w:type="dxa" w:w="460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Ablation M4-noNorm.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Missing tratado como mismatch</w:t>
            </w:r>
          </w:p>
        </w:tc>
        <w:tc>
          <w:tcPr>
            <w:tcW w:type="dxa" w:w="288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Falsos negativos.</w:t>
            </w:r>
          </w:p>
        </w:tc>
        <w:tc>
          <w:tcPr>
            <w:tcW w:type="dxa" w:w="46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Excluir campo da média e medir tie rate.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Leakage do ground truth</w:t>
            </w:r>
          </w:p>
        </w:tc>
        <w:tc>
          <w:tcPr>
            <w:tcW w:type="dxa" w:w="288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Resultados artificialmente altos.</w:t>
            </w:r>
          </w:p>
        </w:tc>
        <w:tc>
          <w:tcPr>
            <w:tcW w:type="dxa" w:w="460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IDs/scenario fora do score; candidatos baralhados.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Claims excessivos</w:t>
            </w:r>
          </w:p>
        </w:tc>
        <w:tc>
          <w:tcPr>
            <w:tcW w:type="dxa" w:w="288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Rejeição científica.</w:t>
            </w:r>
          </w:p>
        </w:tc>
        <w:tc>
          <w:tcPr>
            <w:tcW w:type="dxa" w:w="46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Limitar conclusões a dados sintéticos, 1:1 e perturbações testadas.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6"/>
              </w:rPr>
              <w:t>Atraso</w:t>
            </w:r>
          </w:p>
        </w:tc>
        <w:tc>
          <w:tcPr>
            <w:tcW w:type="dxa" w:w="2880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Paper incompleto.</w:t>
            </w:r>
          </w:p>
        </w:tc>
        <w:tc>
          <w:tcPr>
            <w:tcW w:type="dxa" w:w="4608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6"/>
              </w:rPr>
              <w:t>Scope freeze e implementação mínima sem arquitetura especulativa.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13. Claims permitidos e não permitidos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482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Podemos afirmar</w:t>
            </w:r>
          </w:p>
        </w:tc>
        <w:tc>
          <w:tcPr>
            <w:tcW w:type="dxa" w:w="482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Não podemos afirmar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O benchmark é reproduzível e possui ground truth conhecido.</w:t>
            </w:r>
          </w:p>
        </w:tc>
        <w:tc>
          <w:tcPr>
            <w:tcW w:type="dxa" w:w="48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O benchmark representa toda a variabilidade de dados reais.</w:t>
            </w:r>
          </w:p>
        </w:tc>
      </w:tr>
      <w:tr>
        <w:trPr>
          <w:cantSplit/>
        </w:trPr>
        <w:tc>
          <w:tcPr>
            <w:tcW w:type="dxa" w:w="482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Método X foi mais robusto que Y nos cenários testados.</w:t>
            </w:r>
          </w:p>
        </w:tc>
        <w:tc>
          <w:tcPr>
            <w:tcW w:type="dxa" w:w="482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Método X é superior em produção ou a produtos comerciais.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A normalização teve determinado efeito no benchmark.</w:t>
            </w:r>
          </w:p>
        </w:tc>
        <w:tc>
          <w:tcPr>
            <w:tcW w:type="dxa" w:w="48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A mesma normalização terá o mesmo efeito em todos os bancos.</w:t>
            </w:r>
          </w:p>
        </w:tc>
      </w:tr>
      <w:tr>
        <w:trPr>
          <w:cantSplit/>
        </w:trPr>
        <w:tc>
          <w:tcPr>
            <w:tcW w:type="dxa" w:w="482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O field-aware matcher combina comparadores conhecidos de forma transparente.</w:t>
            </w:r>
          </w:p>
        </w:tc>
        <w:tc>
          <w:tcPr>
            <w:tcW w:type="dxa" w:w="482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O M4 é uma invenção inédita ou um novo estado da arte universal.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Hard negatives aumentaram a ambiguidade do teste.</w:t>
            </w:r>
          </w:p>
        </w:tc>
        <w:tc>
          <w:tcPr>
            <w:tcW w:type="dxa" w:w="48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O benchmark mede 1:N, N:N ou criação contabilística.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14.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201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70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Condição de conclusão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Protocolo</w:t>
            </w:r>
          </w:p>
        </w:tc>
        <w:tc>
          <w:tcPr>
            <w:tcW w:type="dxa" w:w="77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Research question, scope, campos, cenários, métodos, métricas e seeds congelados.</w:t>
            </w:r>
          </w:p>
        </w:tc>
      </w:tr>
      <w:tr>
        <w:trPr>
          <w:cantSplit/>
        </w:trPr>
        <w:tc>
          <w:tcPr>
            <w:tcW w:type="dxa" w:w="20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Gerador</w:t>
            </w:r>
          </w:p>
        </w:tc>
        <w:tc>
          <w:tcPr>
            <w:tcW w:type="dxa" w:w="77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4 000 casos finais reproduzíveis, com invariantes validados.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Métodos</w:t>
            </w:r>
          </w:p>
        </w:tc>
        <w:tc>
          <w:tcPr>
            <w:tcW w:type="dxa" w:w="77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M0-M4 e M4-noNorm implementados sem usar ground truth.</w:t>
            </w:r>
          </w:p>
        </w:tc>
      </w:tr>
      <w:tr>
        <w:trPr>
          <w:cantSplit/>
        </w:trPr>
        <w:tc>
          <w:tcPr>
            <w:tcW w:type="dxa" w:w="20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Qualidade</w:t>
            </w:r>
          </w:p>
        </w:tc>
        <w:tc>
          <w:tcPr>
            <w:tcW w:type="dxa" w:w="77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Testes unitários e integração passam; smoke cases inspecionados.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Resultados</w:t>
            </w:r>
          </w:p>
        </w:tc>
        <w:tc>
          <w:tcPr>
            <w:tcW w:type="dxa" w:w="77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CSV por caso, por cenário e summary entre seeds.</w:t>
            </w:r>
          </w:p>
        </w:tc>
      </w:tr>
      <w:tr>
        <w:trPr>
          <w:cantSplit/>
        </w:trPr>
        <w:tc>
          <w:tcPr>
            <w:tcW w:type="dxa" w:w="20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Reprodutibilidade</w:t>
            </w:r>
          </w:p>
        </w:tc>
        <w:tc>
          <w:tcPr>
            <w:tcW w:type="dxa" w:w="77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Manifest e dependências fixadas; run final executável de raiz.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Paper</w:t>
            </w:r>
          </w:p>
        </w:tc>
        <w:tc>
          <w:tcPr>
            <w:tcW w:type="dxa" w:w="77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Tabela/figura derivadas diretamente dos outputs, claims coerentes e limite de 2 páginas.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16"/>
      </w:tblGrid>
      <w:tr>
        <w:trPr>
          <w:cantSplit/>
        </w:trPr>
        <w:tc>
          <w:tcPr>
            <w:tcW w:type="dxa" w:w="9916"/>
            <w:shd w:fill="E9F5F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1B7F79"/>
              <w:bottom w:val="single" w:sz="8" w:color="1B7F79"/>
              <w:left w:val="single" w:sz="18" w:color="1B7F79"/>
              <w:right w:val="single" w:sz="8" w:color="1B7F79"/>
            </w:tcBorders>
          </w:tcPr>
          <w:p>
            <w:pPr>
              <w:spacing w:after="40"/>
            </w:pPr>
            <w:r>
              <w:rPr>
                <w:rFonts w:ascii="Lato" w:hAnsi="Lato"/>
                <w:b/>
                <w:color w:val="17324D"/>
              </w:rPr>
              <w:t>Decisão final recomendada</w:t>
            </w:r>
          </w:p>
          <w:p>
            <w:pPr>
              <w:spacing w:after="0"/>
            </w:pPr>
            <w:r>
              <w:rPr>
                <w:rFonts w:ascii="Lato" w:hAnsi="Lato"/>
                <w:sz w:val="19"/>
              </w:rPr>
              <w:t>Implementar M0-M4 com equal weighting, usar cinco evaluation seeds e manter o benchmark 1:1. Esta configuração isola progressivamente exact matching, tolerâncias, duas famílias de string similarity e uma combinação field-aware, sem exigir dados de treino ou pesos arbitrários.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15. Glossário para primeira leitura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230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Termo</w:t>
            </w:r>
          </w:p>
        </w:tc>
        <w:tc>
          <w:tcPr>
            <w:tcW w:type="dxa" w:w="741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val="single" w:sz="6" w:color="17324D"/>
              <w:bottom w:val="single" w:sz="6" w:color="17324D"/>
              <w:left w:val="single" w:sz="4" w:color="FFFFFF"/>
              <w:right w:val="single" w:sz="4" w:color="FFFFFF"/>
            </w:tcBorders>
          </w:tcPr>
          <w:p>
            <w:pPr>
              <w:jc w:val="left"/>
            </w:pPr>
            <w:r>
              <w:rPr>
                <w:rFonts w:ascii="Lato" w:hAnsi="Lato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Accounting Record</w:t>
            </w:r>
          </w:p>
        </w:tc>
        <w:tc>
          <w:tcPr>
            <w:tcW w:type="dxa" w:w="74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Registo interno candidato: lançamento, documento ou open item simplificado.</w:t>
            </w:r>
          </w:p>
        </w:tc>
      </w:tr>
      <w:tr>
        <w:trPr>
          <w:cantSplit/>
        </w:trPr>
        <w:tc>
          <w:tcPr>
            <w:tcW w:type="dxa" w:w="23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Bank Transaction</w:t>
            </w:r>
          </w:p>
        </w:tc>
        <w:tc>
          <w:tcPr>
            <w:tcW w:type="dxa" w:w="74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Movimento bancário que se pretende associar a um registo interno.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Candidate</w:t>
            </w:r>
          </w:p>
        </w:tc>
        <w:tc>
          <w:tcPr>
            <w:tcW w:type="dxa" w:w="74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Um possível Accounting Record apresentado ao matcher.</w:t>
            </w:r>
          </w:p>
        </w:tc>
      </w:tr>
      <w:tr>
        <w:trPr>
          <w:cantSplit/>
        </w:trPr>
        <w:tc>
          <w:tcPr>
            <w:tcW w:type="dxa" w:w="23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Ground truth</w:t>
            </w:r>
          </w:p>
        </w:tc>
        <w:tc>
          <w:tcPr>
            <w:tcW w:type="dxa" w:w="74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Correspondência correta conhecida e usada apenas na avaliação.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Record linkage</w:t>
            </w:r>
          </w:p>
        </w:tc>
        <w:tc>
          <w:tcPr>
            <w:tcW w:type="dxa" w:w="74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Identificação de registos de fontes diferentes que representam o mesmo objeto/evento.</w:t>
            </w:r>
          </w:p>
        </w:tc>
      </w:tr>
      <w:tr>
        <w:trPr>
          <w:cantSplit/>
        </w:trPr>
        <w:tc>
          <w:tcPr>
            <w:tcW w:type="dxa" w:w="23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Normalization</w:t>
            </w:r>
          </w:p>
        </w:tc>
        <w:tc>
          <w:tcPr>
            <w:tcW w:type="dxa" w:w="74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Transformação de formatos diferentes para uma representação comparável.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Perturbation</w:t>
            </w:r>
          </w:p>
        </w:tc>
        <w:tc>
          <w:tcPr>
            <w:tcW w:type="dxa" w:w="74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Alteração controlada introduzida num campo do par verdadeiro.</w:t>
            </w:r>
          </w:p>
        </w:tc>
      </w:tr>
      <w:tr>
        <w:trPr>
          <w:cantSplit/>
        </w:trPr>
        <w:tc>
          <w:tcPr>
            <w:tcW w:type="dxa" w:w="23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Hard negative</w:t>
            </w:r>
          </w:p>
        </w:tc>
        <w:tc>
          <w:tcPr>
            <w:tcW w:type="dxa" w:w="74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Candidato incorreto que preserva evidências suficientes para ser plausível.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Similarity</w:t>
            </w:r>
          </w:p>
        </w:tc>
        <w:tc>
          <w:tcPr>
            <w:tcW w:type="dxa" w:w="74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Valor entre 0 e 1 que representa proximidade entre dois valores.</w:t>
            </w:r>
          </w:p>
        </w:tc>
      </w:tr>
      <w:tr>
        <w:trPr>
          <w:cantSplit/>
        </w:trPr>
        <w:tc>
          <w:tcPr>
            <w:tcW w:type="dxa" w:w="23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Score</w:t>
            </w:r>
          </w:p>
        </w:tc>
        <w:tc>
          <w:tcPr>
            <w:tcW w:type="dxa" w:w="74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Agregação das similaridades dos campos disponíveis.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Rank</w:t>
            </w:r>
          </w:p>
        </w:tc>
        <w:tc>
          <w:tcPr>
            <w:tcW w:type="dxa" w:w="74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Posição do candidato após ordenar os scores.</w:t>
            </w:r>
          </w:p>
        </w:tc>
      </w:tr>
      <w:tr>
        <w:trPr>
          <w:cantSplit/>
        </w:trPr>
        <w:tc>
          <w:tcPr>
            <w:tcW w:type="dxa" w:w="23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MRR</w:t>
            </w:r>
          </w:p>
        </w:tc>
        <w:tc>
          <w:tcPr>
            <w:tcW w:type="dxa" w:w="74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Média do inverso da posição do primeiro candidato correto.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Ablation</w:t>
            </w:r>
          </w:p>
        </w:tc>
        <w:tc>
          <w:tcPr>
            <w:tcW w:type="dxa" w:w="74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Experiência que remove uma parte do método para medir a sua contribuição.</w:t>
            </w:r>
          </w:p>
        </w:tc>
      </w:tr>
      <w:tr>
        <w:trPr>
          <w:cantSplit/>
        </w:trPr>
        <w:tc>
          <w:tcPr>
            <w:tcW w:type="dxa" w:w="2304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sz w:val="17"/>
              </w:rPr>
              <w:t>Tie rate</w:t>
            </w:r>
          </w:p>
        </w:tc>
        <w:tc>
          <w:tcPr>
            <w:tcW w:type="dxa" w:w="7416"/>
            <w:shd w:fill="F3F5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  <w:tcBorders>
              <w:top w:val="single" w:sz="3" w:color="D6DDE3"/>
              <w:bottom w:val="single" w:sz="3" w:color="D6DDE3"/>
              <w:left w:val="single" w:sz="3" w:color="D6DDE3"/>
              <w:right w:val="single" w:sz="3" w:color="D6DDE3"/>
            </w:tcBorders>
          </w:tcPr>
          <w:p>
            <w:pPr>
              <w:spacing w:after="0"/>
            </w:pPr>
            <w:r>
              <w:rPr>
                <w:rFonts w:ascii="Lato" w:hAnsi="Lato"/>
                <w:b w:val="0"/>
                <w:sz w:val="17"/>
              </w:rPr>
              <w:t>Percentagem de casos com mais de um candidato empatado no maior score.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16. Referências</w:t>
      </w:r>
    </w:p>
    <w:p>
      <w:pPr>
        <w:pStyle w:val="Heading2"/>
        <w:keepNext/>
      </w:pPr>
      <w:r>
        <w:rPr>
          <w:rFonts w:ascii="Lato" w:hAnsi="Lato"/>
          <w:b/>
          <w:color w:val="246B8E"/>
        </w:rPr>
        <w:t>16.1 Referências científicas e metodológicas</w:t>
      </w:r>
    </w:p>
    <w:p>
      <w:pPr>
        <w:spacing w:after="80"/>
      </w:pPr>
      <w:r>
        <w:rPr>
          <w:rFonts w:ascii="Lato" w:hAnsi="Lato"/>
          <w:b/>
          <w:color w:val="1B7F79"/>
        </w:rPr>
        <w:t xml:space="preserve">[C1] </w:t>
      </w:r>
      <w:r>
        <w:rPr>
          <w:rFonts w:ascii="Lato" w:hAnsi="Lato"/>
          <w:sz w:val="18"/>
        </w:rPr>
        <w:t xml:space="preserve">Fellegi, I. P.; Sunter, A. B. (1969). A Theory for Record Linkage. Journal of the American Statistical Association, 64(328), 1183-1210. DOI: 10.1080/01621459.1969.10501049 </w:t>
      </w:r>
      <w:hyperlink r:id="rId11">
        <w:r>
          <w:rPr>
            <w:rFonts w:ascii="Lato" w:hAnsi="Lato"/>
            <w:color w:val="246B8E"/>
            <w:u w:val="single"/>
          </w:rPr>
          <w:t>Ligação</w:t>
        </w:r>
      </w:hyperlink>
    </w:p>
    <w:p>
      <w:pPr>
        <w:spacing w:after="80"/>
      </w:pPr>
      <w:r>
        <w:rPr>
          <w:rFonts w:ascii="Lato" w:hAnsi="Lato"/>
          <w:b/>
          <w:color w:val="1B7F79"/>
        </w:rPr>
        <w:t xml:space="preserve">[C2] </w:t>
      </w:r>
      <w:r>
        <w:rPr>
          <w:rFonts w:ascii="Lato" w:hAnsi="Lato"/>
          <w:sz w:val="18"/>
        </w:rPr>
        <w:t xml:space="preserve">Jaro, M. A. (1989). Advances in Record-Linkage Methodology as Applied to Matching the 1985 Census of Tampa, Florida. JASA, 84(406), 414-420. DOI: 10.1080/01621459.1989.10478785 </w:t>
      </w:r>
      <w:hyperlink r:id="rId12">
        <w:r>
          <w:rPr>
            <w:rFonts w:ascii="Lato" w:hAnsi="Lato"/>
            <w:color w:val="246B8E"/>
            <w:u w:val="single"/>
          </w:rPr>
          <w:t>Ligação</w:t>
        </w:r>
      </w:hyperlink>
    </w:p>
    <w:p>
      <w:pPr>
        <w:spacing w:after="80"/>
      </w:pPr>
      <w:r>
        <w:rPr>
          <w:rFonts w:ascii="Lato" w:hAnsi="Lato"/>
          <w:b/>
          <w:color w:val="1B7F79"/>
        </w:rPr>
        <w:t xml:space="preserve">[C3] </w:t>
      </w:r>
      <w:r>
        <w:rPr>
          <w:rFonts w:ascii="Lato" w:hAnsi="Lato"/>
          <w:sz w:val="18"/>
        </w:rPr>
        <w:t xml:space="preserve">Winkler, W. E. (1990). String Comparator Metrics and Enhanced Decision Rules in the Fellegi-Sunter Model of Record Linkage. Proceedings of the ASA Section on Survey Research Methods. </w:t>
      </w:r>
      <w:hyperlink r:id="rId13">
        <w:r>
          <w:rPr>
            <w:rFonts w:ascii="Lato" w:hAnsi="Lato"/>
            <w:color w:val="246B8E"/>
            <w:u w:val="single"/>
          </w:rPr>
          <w:t>Ligação</w:t>
        </w:r>
      </w:hyperlink>
    </w:p>
    <w:p>
      <w:pPr>
        <w:spacing w:after="80"/>
      </w:pPr>
      <w:r>
        <w:rPr>
          <w:rFonts w:ascii="Lato" w:hAnsi="Lato"/>
          <w:b/>
          <w:color w:val="1B7F79"/>
        </w:rPr>
        <w:t xml:space="preserve">[C4] </w:t>
      </w:r>
      <w:r>
        <w:rPr>
          <w:rFonts w:ascii="Lato" w:hAnsi="Lato"/>
          <w:sz w:val="18"/>
        </w:rPr>
        <w:t xml:space="preserve">Ukkonen, E. (1992). Approximate String-Matching with Q-Grams and Maximal Matches. Theoretical Computer Science, 92(1), 191-211. DOI: 10.1016/0304-3975(92)90143-4 </w:t>
      </w:r>
      <w:hyperlink r:id="rId14">
        <w:r>
          <w:rPr>
            <w:rFonts w:ascii="Lato" w:hAnsi="Lato"/>
            <w:color w:val="246B8E"/>
            <w:u w:val="single"/>
          </w:rPr>
          <w:t>Ligação</w:t>
        </w:r>
      </w:hyperlink>
    </w:p>
    <w:p>
      <w:pPr>
        <w:spacing w:after="80"/>
      </w:pPr>
      <w:r>
        <w:rPr>
          <w:rFonts w:ascii="Lato" w:hAnsi="Lato"/>
          <w:b/>
          <w:color w:val="1B7F79"/>
        </w:rPr>
        <w:t xml:space="preserve">[C5] </w:t>
      </w:r>
      <w:r>
        <w:rPr>
          <w:rFonts w:ascii="Lato" w:hAnsi="Lato"/>
          <w:sz w:val="18"/>
        </w:rPr>
        <w:t xml:space="preserve">Cohen, W. W.; Ravikumar, P.; Fienberg, S. E. (2003). A Comparison of String Distance Metrics for Name-Matching Tasks. IJCAI Workshop on Information Integration on the Web. </w:t>
      </w:r>
      <w:hyperlink r:id="rId15">
        <w:r>
          <w:rPr>
            <w:rFonts w:ascii="Lato" w:hAnsi="Lato"/>
            <w:color w:val="246B8E"/>
            <w:u w:val="single"/>
          </w:rPr>
          <w:t>Ligação</w:t>
        </w:r>
      </w:hyperlink>
    </w:p>
    <w:p>
      <w:pPr>
        <w:spacing w:after="80"/>
      </w:pPr>
      <w:r>
        <w:rPr>
          <w:rFonts w:ascii="Lato" w:hAnsi="Lato"/>
          <w:b/>
          <w:color w:val="1B7F79"/>
        </w:rPr>
        <w:t xml:space="preserve">[C6] </w:t>
      </w:r>
      <w:r>
        <w:rPr>
          <w:rFonts w:ascii="Lato" w:hAnsi="Lato"/>
          <w:sz w:val="18"/>
        </w:rPr>
        <w:t xml:space="preserve">Voorhees, E. M.; Tice, D. M. (1999/2000). The TREC-8 Question Answering Track Report. NIST / LREC. Define Mean Reciprocal Rank as the mean of reciprocal ranks. </w:t>
      </w:r>
      <w:hyperlink r:id="rId16">
        <w:r>
          <w:rPr>
            <w:rFonts w:ascii="Lato" w:hAnsi="Lato"/>
            <w:color w:val="246B8E"/>
            <w:u w:val="single"/>
          </w:rPr>
          <w:t>Ligação</w:t>
        </w:r>
      </w:hyperlink>
    </w:p>
    <w:p>
      <w:pPr>
        <w:spacing w:after="80"/>
      </w:pPr>
      <w:r>
        <w:rPr>
          <w:rFonts w:ascii="Lato" w:hAnsi="Lato"/>
          <w:b/>
          <w:color w:val="1B7F79"/>
        </w:rPr>
        <w:t xml:space="preserve">[C7] </w:t>
      </w:r>
      <w:r>
        <w:rPr>
          <w:rFonts w:ascii="Lato" w:hAnsi="Lato"/>
          <w:sz w:val="18"/>
        </w:rPr>
        <w:t xml:space="preserve">Office for National Statistics (2021). Developing Standard Tools for Data Linkage. A missing comparison returns null rather than false to avoid false negatives. </w:t>
      </w:r>
      <w:hyperlink r:id="rId17">
        <w:r>
          <w:rPr>
            <w:rFonts w:ascii="Lato" w:hAnsi="Lato"/>
            <w:color w:val="246B8E"/>
            <w:u w:val="single"/>
          </w:rPr>
          <w:t>Ligação</w:t>
        </w:r>
      </w:hyperlink>
    </w:p>
    <w:p>
      <w:pPr>
        <w:spacing w:after="80"/>
      </w:pPr>
      <w:r>
        <w:rPr>
          <w:rFonts w:ascii="Lato" w:hAnsi="Lato"/>
          <w:b/>
          <w:color w:val="1B7F79"/>
        </w:rPr>
        <w:t xml:space="preserve">[C8] </w:t>
      </w:r>
      <w:r>
        <w:rPr>
          <w:rFonts w:ascii="Lato" w:hAnsi="Lato"/>
          <w:sz w:val="18"/>
        </w:rPr>
        <w:t xml:space="preserve">Munoz, J.; Jalili, M.; Tafakori, L. (2025). Enhancing Bookkeeper Decision Support Through Graph Representation Learning for Bank Reconciliation. The Journal of Finance and Data Science, 11, 100170. DOI: 10.1016/j.jfds.2025.100170 </w:t>
      </w:r>
      <w:hyperlink r:id="rId18">
        <w:r>
          <w:rPr>
            <w:rFonts w:ascii="Lato" w:hAnsi="Lato"/>
            <w:color w:val="246B8E"/>
            <w:u w:val="single"/>
          </w:rPr>
          <w:t>Ligação</w:t>
        </w:r>
      </w:hyperlink>
    </w:p>
    <w:p>
      <w:pPr>
        <w:pStyle w:val="Heading2"/>
        <w:keepNext/>
      </w:pPr>
      <w:r>
        <w:rPr>
          <w:rFonts w:ascii="Lato" w:hAnsi="Lato"/>
          <w:b/>
          <w:color w:val="246B8E"/>
        </w:rPr>
        <w:t>16.2 Base industrial e conferência</w:t>
      </w:r>
    </w:p>
    <w:p>
      <w:pPr>
        <w:spacing w:after="80"/>
      </w:pPr>
      <w:r>
        <w:rPr>
          <w:rFonts w:ascii="Lato" w:hAnsi="Lato"/>
          <w:b/>
          <w:color w:val="1B7F79"/>
        </w:rPr>
        <w:t xml:space="preserve">[I1] </w:t>
      </w:r>
      <w:r>
        <w:rPr>
          <w:rFonts w:ascii="Lato" w:hAnsi="Lato"/>
          <w:sz w:val="18"/>
        </w:rPr>
        <w:t xml:space="preserve">Documento A - Estudo comparativo de 15 motores de reconciliação. Evidence notebook interno com claims validados, limitações e referências oficiais por produto. </w:t>
      </w:r>
    </w:p>
    <w:p>
      <w:pPr>
        <w:spacing w:after="80"/>
      </w:pPr>
      <w:r>
        <w:rPr>
          <w:rFonts w:ascii="Lato" w:hAnsi="Lato"/>
          <w:b/>
          <w:color w:val="1B7F79"/>
        </w:rPr>
        <w:t xml:space="preserve">[I2] </w:t>
      </w:r>
      <w:r>
        <w:rPr>
          <w:rFonts w:ascii="Lato" w:hAnsi="Lato"/>
          <w:sz w:val="18"/>
        </w:rPr>
        <w:t xml:space="preserve">Oracle Fusion Cloud - Reconciliation Matching Rules. Referência representativa para critérios, cardinalidade, grouping e advanced matching. </w:t>
      </w:r>
      <w:hyperlink r:id="rId19">
        <w:r>
          <w:rPr>
            <w:rFonts w:ascii="Lato" w:hAnsi="Lato"/>
            <w:color w:val="246B8E"/>
            <w:u w:val="single"/>
          </w:rPr>
          <w:t>Ligação</w:t>
        </w:r>
      </w:hyperlink>
    </w:p>
    <w:p>
      <w:pPr>
        <w:spacing w:after="80"/>
      </w:pPr>
      <w:r>
        <w:rPr>
          <w:rFonts w:ascii="Lato" w:hAnsi="Lato"/>
          <w:b/>
          <w:color w:val="1B7F79"/>
        </w:rPr>
        <w:t xml:space="preserve">[I3] </w:t>
      </w:r>
      <w:r>
        <w:rPr>
          <w:rFonts w:ascii="Lato" w:hAnsi="Lato"/>
          <w:sz w:val="18"/>
        </w:rPr>
        <w:t xml:space="preserve">SAP S/4HANA - Processing Rules / Cash Application. Referência representativa para regex, algorithms, ML proposals e confidence. </w:t>
      </w:r>
      <w:hyperlink r:id="rId20">
        <w:r>
          <w:rPr>
            <w:rFonts w:ascii="Lato" w:hAnsi="Lato"/>
            <w:color w:val="246B8E"/>
            <w:u w:val="single"/>
          </w:rPr>
          <w:t>Ligação</w:t>
        </w:r>
      </w:hyperlink>
    </w:p>
    <w:p>
      <w:pPr>
        <w:spacing w:after="80"/>
      </w:pPr>
      <w:r>
        <w:rPr>
          <w:rFonts w:ascii="Lato" w:hAnsi="Lato"/>
          <w:b/>
          <w:color w:val="1B7F79"/>
        </w:rPr>
        <w:t xml:space="preserve">[I4] </w:t>
      </w:r>
      <w:r>
        <w:rPr>
          <w:rFonts w:ascii="Lato" w:hAnsi="Lato"/>
          <w:sz w:val="18"/>
        </w:rPr>
        <w:t xml:space="preserve">ReconArt - AI Reconciliation. Referência representativa para fuzzy matching, confidence thresholds e weighted scoring. </w:t>
      </w:r>
      <w:hyperlink r:id="rId21">
        <w:r>
          <w:rPr>
            <w:rFonts w:ascii="Lato" w:hAnsi="Lato"/>
            <w:color w:val="246B8E"/>
            <w:u w:val="single"/>
          </w:rPr>
          <w:t>Ligação</w:t>
        </w:r>
      </w:hyperlink>
    </w:p>
    <w:p>
      <w:pPr>
        <w:spacing w:after="80"/>
      </w:pPr>
      <w:r>
        <w:rPr>
          <w:rFonts w:ascii="Lato" w:hAnsi="Lato"/>
          <w:b/>
          <w:color w:val="1B7F79"/>
        </w:rPr>
        <w:t xml:space="preserve">[I5] </w:t>
      </w:r>
      <w:r>
        <w:rPr>
          <w:rFonts w:ascii="Lato" w:hAnsi="Lato"/>
          <w:sz w:val="18"/>
        </w:rPr>
        <w:t xml:space="preserve">PHC GO - Reconciliação bancária automática. Referência representativa para matching policy simples, tolerâncias temporais e ambiguidades. </w:t>
      </w:r>
      <w:hyperlink r:id="rId22">
        <w:r>
          <w:rPr>
            <w:rFonts w:ascii="Lato" w:hAnsi="Lato"/>
            <w:color w:val="246B8E"/>
            <w:u w:val="single"/>
          </w:rPr>
          <w:t>Ligação</w:t>
        </w:r>
      </w:hyperlink>
    </w:p>
    <w:p>
      <w:pPr>
        <w:spacing w:after="80"/>
      </w:pPr>
      <w:r>
        <w:rPr>
          <w:rFonts w:ascii="Lato" w:hAnsi="Lato"/>
          <w:b/>
          <w:color w:val="1B7F79"/>
        </w:rPr>
        <w:t xml:space="preserve">[I6] </w:t>
      </w:r>
      <w:r>
        <w:rPr>
          <w:rFonts w:ascii="Lato" w:hAnsi="Lato"/>
          <w:sz w:val="18"/>
        </w:rPr>
        <w:t xml:space="preserve">Eticadata ERP v17 - Novidades. Referência representativa para source mapping, critérios e tolerância por campo. </w:t>
      </w:r>
      <w:hyperlink r:id="rId23">
        <w:r>
          <w:rPr>
            <w:rFonts w:ascii="Lato" w:hAnsi="Lato"/>
            <w:color w:val="246B8E"/>
            <w:u w:val="single"/>
          </w:rPr>
          <w:t>Ligação</w:t>
        </w:r>
      </w:hyperlink>
    </w:p>
    <w:p>
      <w:pPr>
        <w:spacing w:after="80"/>
      </w:pPr>
      <w:r>
        <w:rPr>
          <w:rFonts w:ascii="Lato" w:hAnsi="Lato"/>
          <w:b/>
          <w:color w:val="1B7F79"/>
        </w:rPr>
        <w:t xml:space="preserve">[I7] </w:t>
      </w:r>
      <w:r>
        <w:rPr>
          <w:rFonts w:ascii="Lato" w:hAnsi="Lato"/>
          <w:sz w:val="18"/>
        </w:rPr>
        <w:t xml:space="preserve">nBanks Public API. Referência representativa para transações estruturadas, payer/merchant, partial reconciliation e subtransactions. </w:t>
      </w:r>
      <w:hyperlink r:id="rId24">
        <w:r>
          <w:rPr>
            <w:rFonts w:ascii="Lato" w:hAnsi="Lato"/>
            <w:color w:val="246B8E"/>
            <w:u w:val="single"/>
          </w:rPr>
          <w:t>Ligação</w:t>
        </w:r>
      </w:hyperlink>
    </w:p>
    <w:p>
      <w:pPr>
        <w:spacing w:after="80"/>
      </w:pPr>
      <w:r>
        <w:rPr>
          <w:rFonts w:ascii="Lato" w:hAnsi="Lato"/>
          <w:b/>
          <w:color w:val="1B7F79"/>
        </w:rPr>
        <w:t xml:space="preserve">[R1] </w:t>
      </w:r>
      <w:r>
        <w:rPr>
          <w:rFonts w:ascii="Lato" w:hAnsi="Lato"/>
          <w:sz w:val="18"/>
        </w:rPr>
        <w:t xml:space="preserve">RECPAD 2026 - Call for Papers. Prazo de 6 de setembro de 2026 e máximo de 2 páginas incluindo referências. </w:t>
      </w:r>
      <w:hyperlink r:id="rId25">
        <w:r>
          <w:rPr>
            <w:rFonts w:ascii="Lato" w:hAnsi="Lato"/>
            <w:color w:val="246B8E"/>
            <w:u w:val="single"/>
          </w:rPr>
          <w:t>Ligação</w:t>
        </w:r>
      </w:hyperlink>
    </w:p>
    <w:p>
      <w:pPr>
        <w:pStyle w:val="Heading2"/>
        <w:keepNext/>
      </w:pPr>
      <w:r>
        <w:rPr>
          <w:rFonts w:ascii="Lato" w:hAnsi="Lato"/>
          <w:b/>
          <w:color w:val="246B8E"/>
        </w:rPr>
        <w:t>16.3 Nota sobre as fontes</w:t>
      </w:r>
    </w:p>
    <w:p>
      <w:pPr>
        <w:spacing w:after="100"/>
      </w:pPr>
      <w:r>
        <w:rPr>
          <w:rFonts w:ascii="Lato" w:hAnsi="Lato"/>
        </w:rPr>
        <w:t>As referências industriais são utilizadas para motivar requisitos e cenários, não para demonstrar novidade científica ou comparar performance entre produtos. O Documento A conserva a validação completa dos 15 motores. No paper final devem ser privilegiadas referências científicas, usando apenas a evidência industrial estritamente necessária para contextualizar o problema.</w:t>
      </w:r>
    </w:p>
    <w:p>
      <w:pPr>
        <w:pStyle w:val="Heading1"/>
        <w:keepNext/>
        <w:pBdr>
          <w:bottom w:val="single" w:sz="8" w:space="4" w:color="1B7F79"/>
        </w:pBdr>
      </w:pPr>
      <w:r>
        <w:rPr>
          <w:rFonts w:ascii="Lato" w:hAnsi="Lato"/>
          <w:b/>
          <w:color w:val="17324D"/>
        </w:rPr>
        <w:t>Conclusão</w:t>
      </w:r>
    </w:p>
    <w:p>
      <w:pPr>
        <w:spacing w:after="100"/>
      </w:pPr>
      <w:r>
        <w:rPr>
          <w:rFonts w:ascii="Lato" w:hAnsi="Lato"/>
        </w:rPr>
        <w:t>O plano transforma um estudo industrial extenso numa experiência pequena, controlada e implementável. A lógica é deliberadamente progressiva: igualdade exata, tolerâncias financeiras, duas famílias clássicas de similaridade textual e uma combinação field-aware. O desenho distingue claramente aquilo que veio dos motores, aquilo que veio da literatura e aquilo que é uma escolha experimental nossa.</w:t>
      </w:r>
    </w:p>
    <w:p>
      <w:pPr>
        <w:spacing w:after="100"/>
      </w:pPr>
      <w:r>
        <w:rPr>
          <w:rFonts w:ascii="Lato" w:hAnsi="Lato"/>
        </w:rPr>
        <w:t>A prioridade seguinte é implementar o gerador e os testes com a development seed 7. Depois de validada essa amostra, a configuração é congelada e as cinco evaluation seeds são executadas sem tuning orientado aos resultados.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62" w:bottom="935" w:left="116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ato" w:hAnsi="Lato"/>
        <w:color w:val="4A5560"/>
        <w:sz w:val="17"/>
      </w:rPr>
      <w:t xml:space="preserve">Página </w:t>
    </w:r>
    <w:r>
      <w:rPr>
        <w:rFonts w:ascii="Lato" w:hAnsi="Lato"/>
        <w:color w:val="4A5560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6DDE3"/>
      </w:pBdr>
    </w:pPr>
    <w:r>
      <w:rPr>
        <w:rFonts w:ascii="Lato" w:hAnsi="Lato"/>
        <w:color w:val="4A5560"/>
        <w:sz w:val="16"/>
      </w:rPr>
      <w:t>RECPAD 2026  |  Plano experimental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Lato" w:hAnsi="La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ato" w:hAnsi="Lato"/>
      <w:b/>
      <w:bCs/>
      <w:color w:val="17324D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ato" w:hAnsi="Lato"/>
      <w:b/>
      <w:bCs/>
      <w:color w:val="246B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ato" w:hAnsi="Lato"/>
      <w:b/>
      <w:bCs/>
      <w:color w:val="1B7F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ato" w:hAnsi="Lato"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ato" w:hAnsi="Lato"/>
      <w:i/>
      <w:iCs/>
      <w:color w:val="4A556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ato" w:hAnsi="Lato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ato" w:hAnsi="Lato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080/01621459.1969.10501049" TargetMode="External"/><Relationship Id="rId12" Type="http://schemas.openxmlformats.org/officeDocument/2006/relationships/hyperlink" Target="https://doi.org/10.1080/01621459.1989.10478785" TargetMode="External"/><Relationship Id="rId13" Type="http://schemas.openxmlformats.org/officeDocument/2006/relationships/hyperlink" Target="https://eric.ed.gov/?id=ED325505" TargetMode="External"/><Relationship Id="rId14" Type="http://schemas.openxmlformats.org/officeDocument/2006/relationships/hyperlink" Target="https://doi.org/10.1016/0304-3975(92)90143-4" TargetMode="External"/><Relationship Id="rId15" Type="http://schemas.openxmlformats.org/officeDocument/2006/relationships/hyperlink" Target="https://www.isi.edu/websites/ijcai03/papers/Cohen-p.pdf" TargetMode="External"/><Relationship Id="rId16" Type="http://schemas.openxmlformats.org/officeDocument/2006/relationships/hyperlink" Target="https://tsapps.nist.gov/publication/get_pdf.cfm?pub_id=151495" TargetMode="External"/><Relationship Id="rId17" Type="http://schemas.openxmlformats.org/officeDocument/2006/relationships/hyperlink" Target="https://www.ons.gov.uk/methodology/methodologicalpublications/generalmethodology/onsworkingpaperseries/developingstandardtoolsfordatalinkagefebruary2021" TargetMode="External"/><Relationship Id="rId18" Type="http://schemas.openxmlformats.org/officeDocument/2006/relationships/hyperlink" Target="https://doi.org/10.1016/j.jfds.2025.100170" TargetMode="External"/><Relationship Id="rId19" Type="http://schemas.openxmlformats.org/officeDocument/2006/relationships/hyperlink" Target="https://docs.oracle.com/en/cloud/saas/financials/26c/fairp/reconciliation-matching-rules.html" TargetMode="External"/><Relationship Id="rId20" Type="http://schemas.openxmlformats.org/officeDocument/2006/relationships/hyperlink" Target="https://help.sap.com/docs/SAP_S4HANA_CLOUD/918bca53037f408f91a2295d04ac16bc/4865ed7d26304aa1b011db7a52131bea.html" TargetMode="External"/><Relationship Id="rId21" Type="http://schemas.openxmlformats.org/officeDocument/2006/relationships/hyperlink" Target="https://www.reconart.com/software-overview/ai-reconciliation/" TargetMode="External"/><Relationship Id="rId22" Type="http://schemas.openxmlformats.org/officeDocument/2006/relationships/hyperlink" Target="https://helpcenter.phcgo.net/pt/sug/ptxview.aspx?stamp=g15ee%3Acfd%3Ad%3A53dc6825c2" TargetMode="External"/><Relationship Id="rId23" Type="http://schemas.openxmlformats.org/officeDocument/2006/relationships/hyperlink" Target="https://partners.eticadata.com/Data/Sites/1/media/Downloads/NOVIDADES%20ERP%20v17.pdf" TargetMode="External"/><Relationship Id="rId24" Type="http://schemas.openxmlformats.org/officeDocument/2006/relationships/hyperlink" Target="https://api.nbanks.net/" TargetMode="External"/><Relationship Id="rId25" Type="http://schemas.openxmlformats.org/officeDocument/2006/relationships/hyperlink" Target="https://recpad2026.estgv.ipv.pt/call-for-pap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Implementação e Fundamentação do Benchmark Experimental</dc:title>
  <dc:subject>Reconciliação bancária como problema de reconhecimento de padrões - RECPAD 2026</dc:subject>
  <dc:creator>Projeto RECPAD 2026</dc:creator>
  <cp:keywords>RECPAD, reconhecimento de padrões, record linkage, reconciliação bancária, benchmark sintético</cp:keywords>
  <dc:description>Documento de trabalho interno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