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737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799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8387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16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Bannear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Administrador, 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pierde la capacidad de interactuar con el sistema u otros usuarios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Evitar posibles situaciones indeseadas con usuarios problemáticos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usuario que ha realizado un acto no permitido puede ser denunciado y tras una evaluación de un administrador, es expulsado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Resolver incidencia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Administrador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incidencia se resuelve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que haya algún problema, un administrador puede resolverlo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Cuando un usuario se encuentra con un problema, puede avisar a un administrador para poder resolver el caso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Sistema, TPV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Primario, Esencial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ha seleccionado lo que se va a pagar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pago es efectuado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Permitir la transacción y compra entre usuarios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Tras haber llegado a un acuerdo entre los usuarios, se pasa a la sección de pago, donde de manera segura, por trasferencia o por tarjeta, se realiza el pago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Dar opinión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opinión debe quedar archivada y expuesta al público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Permitir a los usuarios dar una opinión sobre una vivienda, vehículo o usuario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el perfil de un usuario o en la página de la tienda correspondiente a un bien ofertado, un usuario puede dejar un mensaje de opinión sobre él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Añadir cita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almacenarse un evento en el calendario del usuario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Llevar un control de eventos, permitiendo añadir elementos, avisos, etc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cualquier momento el usuario tiene la capacidad de añadir un recordatorio a su calendario, marcando un evento como un viaje, la finalización de un contrato...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cita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existir una cita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cita es modificada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Cambiar la fecha, mensaje, o posibles aributos de una cita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puede acceder a cualquier cita desde su calendario, y modificarla a su gusto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Eliminar cita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existir una cita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cita es borrada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Cancelar una cita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Desde el calendario, el usuario puede eliminar completamente cualquiera de sus eventos programados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Visualizar cita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vivienda, Usuario vehículo, 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existir una cita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Visualizar la información de la cita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poder acceder a cualquier evento del usuario y ver su contenido (fecha, descripción, otros usuarios implicados...)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TPV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 el Terminal del Punto de Venta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Encargado de realizar las operaciones de pago realizadas a través de la aplicación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estar en conexión continua con el banco y la base de datos de la aplicación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Cualquier usuario puede acceder a él para realizar operaciones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de programación de aplicaciones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Encargado de proveer de funciones, librerias y subrutinas a programas o aplicaciones externas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Antonio J.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492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4.png"/><Relationship Id="rId5" Type="http://schemas.openxmlformats.org/officeDocument/2006/relationships/image" Target="media/image05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11.png"/></Relationships>
</file>