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3E3A9" w14:textId="2FEDBB87">
      <w:pPr>
        <w:widowControl w:val="0"/>
        <w:spacing w:line="276" w:lineRule="auto"/>
        <w:rPr>
          <w:rFonts w:ascii="Roboto" w:hAnsi="Roboto" w:cs="Arial"/>
          <w:b/>
          <w:sz w:val="24"/>
          <w:szCs w:val="24"/>
        </w:rPr>
      </w:pPr>
      <w:r>
        <w:rPr>
          <w:rFonts w:ascii="Roboto" w:hAnsi="Roboto" w:cs="Arial"/>
          <w:b/>
          <w:sz w:val="24"/>
          <w:szCs w:val="24"/>
        </w:rPr>
        <w:t>EXMO(A).</w:t>
      </w:r>
      <w:r>
        <w:rPr>
          <w:rFonts w:ascii="Roboto" w:hAnsi="Roboto" w:cs="Arial"/>
          <w:b/>
          <w:sz w:val="24"/>
          <w:szCs w:val="24"/>
        </w:rPr>
        <w:t xml:space="preserve"> </w:t>
      </w:r>
      <w:r>
        <w:rPr>
          <w:rFonts w:ascii="Roboto" w:hAnsi="Roboto" w:cs="Arial"/>
          <w:b/>
          <w:sz w:val="24"/>
          <w:szCs w:val="24"/>
        </w:rPr>
        <w:t xml:space="preserve">SR(A). DR(A). </w:t>
      </w:r>
      <w:r>
        <w:rPr>
          <w:rFonts w:ascii="Roboto" w:hAnsi="Roboto" w:cs="Arial"/>
          <w:b/>
          <w:sz w:val="24"/>
          <w:szCs w:val="24"/>
        </w:rPr>
        <w:t>JUIZ(A) FEDERAL DA __ª VARA FEDERAL D</w:t>
      </w:r>
      <w:r>
        <w:rPr>
          <w:rFonts w:ascii="Roboto" w:hAnsi="Roboto" w:cs="Arial"/>
          <w:b/>
          <w:sz w:val="24"/>
          <w:szCs w:val="24"/>
        </w:rPr>
        <w:t>O</w:t>
      </w:r>
      <w:r>
        <w:rPr>
          <w:rFonts w:ascii="Roboto" w:hAnsi="Roboto" w:cs="Arial"/>
          <w:b/>
          <w:sz w:val="24"/>
          <w:szCs w:val="24"/>
        </w:rPr>
        <w:t xml:space="preserve"> </w:t>
      </w:r>
      <w:r>
        <w:rPr>
          <w:rFonts w:ascii="Roboto" w:hAnsi="Roboto" w:cs="Arial"/>
          <w:b/>
          <w:sz w:val="24"/>
          <w:szCs w:val="24"/>
        </w:rPr>
        <w:t>JUIZADO ESPECIAL FE</w:t>
      </w:r>
      <w:r>
        <w:rPr>
          <w:rFonts w:ascii="Roboto" w:hAnsi="Roboto" w:cs="Arial"/>
          <w:b/>
          <w:sz w:val="24"/>
          <w:szCs w:val="24"/>
        </w:rPr>
        <w:t>DE</w:t>
      </w:r>
      <w:r>
        <w:rPr>
          <w:rFonts w:ascii="Roboto" w:hAnsi="Roboto" w:cs="Arial"/>
          <w:b/>
          <w:sz w:val="24"/>
          <w:szCs w:val="24"/>
        </w:rPr>
        <w:t>RAL D</w:t>
      </w:r>
      <w:r>
        <w:rPr>
          <w:rFonts w:ascii="Roboto" w:hAnsi="Roboto" w:cs="Arial"/>
          <w:b/>
          <w:sz w:val="24"/>
          <w:szCs w:val="24"/>
        </w:rPr>
        <w:t xml:space="preserve">A </w:t>
      </w:r>
      <w:r>
        <w:rPr>
          <w:rFonts w:ascii="Roboto" w:hAnsi="Roboto" w:cs="Arial"/>
          <w:b/>
          <w:sz w:val="24"/>
          <w:szCs w:val="24"/>
        </w:rPr>
        <w:t xml:space="preserve">SEÇÃO JUDICIÁRIA </w:t>
      </w:r>
      <w:r>
        <w:rPr>
          <w:rFonts w:ascii="Roboto" w:hAnsi="Roboto" w:cs="Arial"/>
          <w:b/>
          <w:sz w:val="24"/>
          <w:szCs w:val="24"/>
          <w:highlight w:val="yellow"/>
        </w:rPr>
        <w:t>DA BAHIA</w:t>
      </w:r>
    </w:p>
    <w:p w14:paraId="47E3E3AA" w14:textId="77777777">
      <w:pPr>
        <w:widowControl w:val="0"/>
        <w:spacing w:line="276" w:lineRule="auto"/>
        <w:ind w:firstLine="1418"/>
        <w:rPr>
          <w:rFonts w:ascii="Roboto" w:hAnsi="Roboto" w:cs="Arial"/>
          <w:b/>
          <w:bCs/>
          <w:sz w:val="24"/>
          <w:szCs w:val="24"/>
        </w:rPr>
      </w:pPr>
      <w:bookmarkStart w:name="OLE_LINK1" w:id="0"/>
    </w:p>
    <w:p w14:paraId="47E3E3AB" w14:textId="019FE2A4">
      <w:pPr>
        <w:widowControl w:val="0"/>
        <w:spacing w:line="276" w:lineRule="auto"/>
        <w:ind w:firstLine="1418"/>
        <w:rPr>
          <w:rFonts w:ascii="Roboto" w:hAnsi="Roboto" w:cs="Arial"/>
          <w:b/>
          <w:bCs/>
          <w:sz w:val="24"/>
          <w:szCs w:val="24"/>
        </w:rPr>
      </w:pPr>
    </w:p>
    <w:p w14:paraId="47E3E3AC" w14:textId="77777777">
      <w:pPr>
        <w:widowControl w:val="0"/>
        <w:spacing w:line="276" w:lineRule="auto"/>
        <w:ind w:firstLine="1418"/>
        <w:rPr>
          <w:rFonts w:ascii="Roboto" w:hAnsi="Roboto" w:cs="Arial"/>
          <w:b/>
          <w:bCs/>
          <w:sz w:val="24"/>
          <w:szCs w:val="24"/>
        </w:rPr>
      </w:pPr>
    </w:p>
    <w:p w14:paraId="47E3E3AD" w14:textId="77777777">
      <w:pPr>
        <w:widowControl w:val="0"/>
        <w:spacing w:line="276" w:lineRule="auto"/>
        <w:ind w:firstLine="1418"/>
        <w:rPr>
          <w:rFonts w:ascii="Roboto" w:hAnsi="Roboto" w:cs="Arial"/>
          <w:b/>
          <w:bCs/>
          <w:sz w:val="24"/>
          <w:szCs w:val="24"/>
        </w:rPr>
      </w:pPr>
    </w:p>
    <w:p w14:paraId="47E3E3AE" w14:textId="356D61B8">
      <w:pPr>
        <w:widowControl w:val="0"/>
        <w:spacing w:line="276" w:lineRule="auto"/>
        <w:ind w:left="5103"/>
        <w:rPr>
          <w:rFonts w:ascii="Roboto" w:hAnsi="Roboto" w:cs="Arial"/>
          <w:b/>
          <w:bCs/>
          <w:i/>
          <w:iCs/>
          <w:color w:val="EE0000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EE0000"/>
          <w:sz w:val="24"/>
          <w:szCs w:val="24"/>
        </w:rPr>
        <w:t xml:space="preserve">EXCLUSÃO DA </w:t>
      </w:r>
      <w:r>
        <w:rPr>
          <w:rFonts w:ascii="Roboto" w:hAnsi="Roboto" w:cs="Arial"/>
          <w:b/>
          <w:bCs/>
          <w:i/>
          <w:iCs/>
          <w:color w:val="EE0000"/>
          <w:sz w:val="24"/>
          <w:szCs w:val="24"/>
        </w:rPr>
        <w:t>CONTRIBUIÇÃO EXTRAORDINÁRIA DA BASE DE CÁLCULO DO IRPF – TEMA REPETITIVO 1.224/STJ</w:t>
      </w:r>
    </w:p>
    <w:p w14:paraId="0D0DA334" w14:textId="77777777">
      <w:pPr>
        <w:widowControl w:val="0"/>
        <w:spacing w:line="276" w:lineRule="auto"/>
        <w:ind w:firstLine="1418"/>
        <w:rPr>
          <w:rFonts w:ascii="Roboto" w:hAnsi="Roboto" w:cs="Arial"/>
          <w:b/>
          <w:bCs/>
          <w:sz w:val="24"/>
          <w:szCs w:val="24"/>
        </w:rPr>
      </w:pPr>
    </w:p>
    <w:p w14:paraId="47E3E3B0" w14:textId="786F7D59">
      <w:pPr>
        <w:widowControl w:val="0"/>
        <w:spacing w:line="276" w:lineRule="auto"/>
        <w:ind w:firstLine="1418"/>
        <w:rPr>
          <w:rFonts w:ascii="Roboto" w:hAnsi="Roboto" w:cs="Arial"/>
          <w:b/>
          <w:bCs/>
          <w:sz w:val="24"/>
          <w:szCs w:val="24"/>
        </w:rPr>
      </w:pPr>
    </w:p>
    <w:p w14:paraId="6828B3FE" w14:textId="7C8E106E">
      <w:pPr>
        <w:widowControl w:val="0"/>
        <w:spacing w:line="276" w:lineRule="auto"/>
        <w:ind w:firstLine="1418"/>
        <w:rPr>
          <w:rFonts w:ascii="Roboto" w:hAnsi="Roboto" w:cs="Arial"/>
          <w:b/>
          <w:bCs/>
          <w:sz w:val="24"/>
          <w:szCs w:val="24"/>
        </w:rPr>
      </w:pPr>
    </w:p>
    <w:bookmarkEnd w:id="0"/>
    <w:p w14:paraId="47E3E3B3" w14:textId="7D197B92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b/>
          <w:bCs/>
          <w:color w:val="000000"/>
          <w:sz w:val="23"/>
          <w:szCs w:val="23"/>
          <w:highlight w:val="yellow"/>
          <w:shd w:val="clear" w:color="auto" w:fill="FFFFFF"/>
        </w:rPr>
        <w:t>{NOME_CLIENTE}</w:t>
      </w:r>
      <w:r>
        <w:rPr>
          <w:rStyle w:val="normaltextrun"/>
          <w:rFonts w:ascii="Roboto" w:hAnsi="Roboto" w:cs="Arial"/>
          <w:b/>
          <w:bCs/>
          <w:color w:val="000000"/>
          <w:sz w:val="23"/>
          <w:szCs w:val="23"/>
          <w:shd w:val="clear" w:color="auto" w:fill="FFFFFF"/>
        </w:rPr>
        <w:t xml:space="preserve">, </w:t>
      </w:r>
      <w:r>
        <w:rPr>
          <w:rStyle w:val="normaltextrun"/>
          <w:rFonts w:ascii="Roboto" w:hAnsi="Roboto" w:cs="Arial"/>
          <w:color w:val="000000"/>
          <w:sz w:val="23"/>
          <w:szCs w:val="23"/>
          <w:shd w:val="clear" w:color="auto" w:fill="FFFFFF"/>
        </w:rPr>
        <w:t xml:space="preserve">{NACIONALIDADE}, {ESTADO_CIVIL}, {PROFISSAO}</w:t>
      </w:r>
      <w:r>
        <w:rPr>
          <w:rStyle w:val="normaltextrun"/>
          <w:rFonts w:ascii="Roboto" w:hAnsi="Roboto" w:cs="Arial"/>
          <w:color w:val="000000"/>
          <w:sz w:val="23"/>
          <w:szCs w:val="23"/>
          <w:highlight w:val="yellow"/>
          <w:shd w:val="clear" w:color="auto" w:fill="FFFFFF"/>
        </w:rPr>
        <w:t/>
      </w:r>
      <w:r>
        <w:rPr>
          <w:rStyle w:val="normaltextrun"/>
          <w:rFonts w:ascii="Roboto" w:hAnsi="Roboto" w:cs="Arial"/>
          <w:color w:val="000000"/>
          <w:sz w:val="23"/>
          <w:szCs w:val="23"/>
          <w:shd w:val="clear" w:color="auto" w:fill="FFFFFF"/>
        </w:rPr>
        <w:t xml:space="preserve">, residente e domiciliado em {ENDERECO_COMPLETO}</w:t>
      </w:r>
      <w:r>
        <w:rPr>
          <w:rStyle w:val="normaltextrun"/>
          <w:rFonts w:ascii="Roboto" w:hAnsi="Roboto" w:cs="Arial"/>
          <w:color w:val="000000"/>
          <w:sz w:val="23"/>
          <w:szCs w:val="23"/>
          <w:highlight w:val="yellow"/>
          <w:shd w:val="clear" w:color="auto" w:fill="FFFFFF"/>
        </w:rPr>
        <w:t/>
      </w:r>
      <w:r>
        <w:rPr>
          <w:rStyle w:val="normaltextrun"/>
          <w:rFonts w:ascii="Roboto" w:hAnsi="Roboto" w:cs="Arial"/>
          <w:color w:val="000000"/>
          <w:sz w:val="23"/>
          <w:szCs w:val="23"/>
          <w:highlight w:val="yellow"/>
          <w:shd w:val="clear" w:color="auto" w:fill="FFFFFF"/>
        </w:rPr>
        <w:t/>
      </w:r>
      <w:r>
        <w:rPr>
          <w:rFonts w:ascii="Roboto" w:hAnsi="Roboto" w:cs="Arial"/>
          <w:sz w:val="23"/>
          <w:szCs w:val="23"/>
        </w:rPr>
        <w:t>;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>vem, através de seus advogados infrafirmados, constituídos mediante instrumento de mandato em anexo (</w:t>
      </w:r>
      <w:r>
        <w:rPr>
          <w:rFonts w:ascii="Roboto" w:hAnsi="Roboto" w:cs="Arial"/>
          <w:b/>
          <w:bCs/>
          <w:sz w:val="23"/>
          <w:szCs w:val="23"/>
        </w:rPr>
        <w:t>DOC. 01</w:t>
      </w:r>
      <w:r>
        <w:rPr>
          <w:rFonts w:ascii="Roboto" w:hAnsi="Roboto" w:cs="Arial"/>
          <w:sz w:val="23"/>
          <w:szCs w:val="23"/>
        </w:rPr>
        <w:t>)</w:t>
      </w:r>
      <w:r>
        <w:rPr>
          <w:rFonts w:ascii="Roboto" w:hAnsi="Roboto" w:cs="Arial"/>
          <w:sz w:val="23"/>
          <w:szCs w:val="23"/>
        </w:rPr>
        <w:t>,</w:t>
      </w:r>
      <w:r>
        <w:rPr>
          <w:rFonts w:ascii="Roboto" w:hAnsi="Roboto" w:cs="Arial"/>
          <w:sz w:val="23"/>
          <w:szCs w:val="23"/>
        </w:rPr>
        <w:t xml:space="preserve"> e com endereço profissional na Av. Tancredo Neves, nº. </w:t>
      </w:r>
      <w:r>
        <w:rPr>
          <w:rFonts w:ascii="Roboto" w:hAnsi="Roboto" w:cs="Arial"/>
          <w:sz w:val="23"/>
          <w:szCs w:val="23"/>
        </w:rPr>
        <w:t>2.539</w:t>
      </w:r>
      <w:r>
        <w:rPr>
          <w:rFonts w:ascii="Roboto" w:hAnsi="Roboto" w:cs="Arial"/>
          <w:sz w:val="23"/>
          <w:szCs w:val="23"/>
        </w:rPr>
        <w:t xml:space="preserve">, </w:t>
      </w:r>
      <w:r>
        <w:rPr>
          <w:rFonts w:ascii="Roboto" w:hAnsi="Roboto" w:cs="Arial"/>
          <w:sz w:val="23"/>
          <w:szCs w:val="23"/>
        </w:rPr>
        <w:t>Edf. CEO Salvador Shopping – Torre Londres, sala 2901</w:t>
      </w:r>
      <w:r>
        <w:rPr>
          <w:rFonts w:ascii="Roboto" w:hAnsi="Roboto" w:cs="Arial"/>
          <w:sz w:val="23"/>
          <w:szCs w:val="23"/>
        </w:rPr>
        <w:t xml:space="preserve">, Salvador, Bahia, </w:t>
      </w:r>
      <w:r>
        <w:rPr>
          <w:rFonts w:ascii="Roboto" w:hAnsi="Roboto" w:cs="Arial"/>
          <w:sz w:val="23"/>
          <w:szCs w:val="23"/>
        </w:rPr>
        <w:t xml:space="preserve">CEP 41.820-021, </w:t>
      </w:r>
      <w:r>
        <w:rPr>
          <w:rFonts w:ascii="Roboto" w:hAnsi="Roboto" w:cs="Arial"/>
          <w:sz w:val="23"/>
          <w:szCs w:val="23"/>
        </w:rPr>
        <w:t xml:space="preserve">e-mail </w:t>
      </w:r>
      <w:hyperlink w:history="1" r:id="rId11">
        <w:r>
          <w:rPr>
            <w:rStyle w:val="Hyperlink"/>
            <w:rFonts w:ascii="Roboto" w:hAnsi="Roboto" w:cs="Arial"/>
            <w:sz w:val="23"/>
            <w:szCs w:val="23"/>
          </w:rPr>
          <w:t>intimacao@glcm.com.br</w:t>
        </w:r>
      </w:hyperlink>
      <w:r>
        <w:rPr>
          <w:rFonts w:ascii="Roboto" w:hAnsi="Roboto" w:cs="Arial"/>
          <w:sz w:val="23"/>
          <w:szCs w:val="23"/>
        </w:rPr>
        <w:t xml:space="preserve">, </w:t>
      </w:r>
      <w:r>
        <w:rPr>
          <w:rFonts w:ascii="Roboto" w:hAnsi="Roboto" w:cs="Arial"/>
          <w:sz w:val="23"/>
          <w:szCs w:val="23"/>
        </w:rPr>
        <w:t>propor</w:t>
      </w:r>
    </w:p>
    <w:p w14:paraId="47E3E3B4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47E3E3B5" w14:textId="0752395E">
      <w:pPr>
        <w:widowControl w:val="0"/>
        <w:spacing w:line="276" w:lineRule="auto"/>
        <w:jc w:val="center"/>
        <w:rPr>
          <w:rFonts w:ascii="Roboto" w:hAnsi="Roboto" w:cs="Arial"/>
          <w:b/>
          <w:sz w:val="23"/>
          <w:szCs w:val="23"/>
          <w:u w:val="single"/>
        </w:rPr>
      </w:pPr>
      <w:r>
        <w:rPr>
          <w:rFonts w:ascii="Roboto" w:hAnsi="Roboto" w:cs="Arial"/>
          <w:b/>
          <w:sz w:val="23"/>
          <w:szCs w:val="23"/>
          <w:u w:val="single"/>
        </w:rPr>
        <w:t xml:space="preserve">AÇÃO </w:t>
      </w:r>
      <w:r>
        <w:rPr>
          <w:rFonts w:ascii="Roboto" w:hAnsi="Roboto" w:cs="Arial"/>
          <w:b/>
          <w:sz w:val="23"/>
          <w:szCs w:val="23"/>
          <w:u w:val="single"/>
        </w:rPr>
        <w:t>ORDINÁRIA</w:t>
      </w:r>
    </w:p>
    <w:p w14:paraId="47E3E3B6" w14:textId="77777777">
      <w:pPr>
        <w:widowControl w:val="0"/>
        <w:spacing w:line="276" w:lineRule="auto"/>
        <w:rPr>
          <w:rFonts w:ascii="Roboto" w:hAnsi="Roboto" w:cs="Arial"/>
          <w:b/>
          <w:sz w:val="23"/>
          <w:szCs w:val="23"/>
        </w:rPr>
      </w:pPr>
    </w:p>
    <w:p w14:paraId="47E3E3B7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em face da </w:t>
      </w:r>
      <w:r>
        <w:rPr>
          <w:rFonts w:ascii="Roboto" w:hAnsi="Roboto" w:cs="Arial"/>
          <w:b/>
          <w:sz w:val="23"/>
          <w:szCs w:val="23"/>
        </w:rPr>
        <w:t>UNIÃO</w:t>
      </w:r>
      <w:r>
        <w:rPr>
          <w:rFonts w:ascii="Roboto" w:hAnsi="Roboto" w:cs="Arial"/>
          <w:sz w:val="23"/>
          <w:szCs w:val="23"/>
        </w:rPr>
        <w:t xml:space="preserve">, pessoa jurídica de </w:t>
      </w:r>
      <w:r>
        <w:rPr>
          <w:rFonts w:ascii="Roboto" w:hAnsi="Roboto" w:cs="Arial"/>
          <w:sz w:val="23"/>
          <w:szCs w:val="23"/>
        </w:rPr>
        <w:t xml:space="preserve">direito público, a ser representada por sua </w:t>
      </w:r>
      <w:r>
        <w:rPr>
          <w:rFonts w:ascii="Roboto" w:hAnsi="Roboto" w:cs="Arial"/>
          <w:b/>
          <w:bCs/>
          <w:sz w:val="23"/>
          <w:szCs w:val="23"/>
        </w:rPr>
        <w:t>Nobre Procuradoria da Fazenda Nacional</w:t>
      </w:r>
      <w:r>
        <w:rPr>
          <w:rFonts w:ascii="Roboto" w:hAnsi="Roboto" w:cs="Arial"/>
          <w:sz w:val="23"/>
          <w:szCs w:val="23"/>
        </w:rPr>
        <w:t xml:space="preserve">, com endereço </w:t>
      </w:r>
      <w:r>
        <w:rPr>
          <w:rFonts w:ascii="Roboto" w:hAnsi="Roboto" w:cs="Arial"/>
          <w:sz w:val="23"/>
          <w:szCs w:val="23"/>
          <w:highlight w:val="yellow"/>
        </w:rPr>
        <w:t>na Rua Araújo Pinho, nº 91, Canela, Salvador/BA, CEP 40110-150</w:t>
      </w:r>
      <w:r>
        <w:rPr>
          <w:rFonts w:ascii="Roboto" w:hAnsi="Roboto" w:cs="Arial"/>
          <w:sz w:val="23"/>
          <w:szCs w:val="23"/>
        </w:rPr>
        <w:t>, endereço elet</w:t>
      </w:r>
      <w:r>
        <w:rPr>
          <w:rFonts w:ascii="Roboto" w:hAnsi="Roboto" w:cs="Arial"/>
          <w:sz w:val="23"/>
          <w:szCs w:val="23"/>
        </w:rPr>
        <w:t xml:space="preserve">rônico </w:t>
      </w:r>
      <w:hyperlink w:history="1" r:id="rId12">
        <w:r>
          <w:rPr>
            <w:rStyle w:val="Hyperlink"/>
            <w:rFonts w:ascii="Roboto" w:hAnsi="Roboto" w:cs="Arial"/>
            <w:sz w:val="23"/>
            <w:szCs w:val="23"/>
          </w:rPr>
          <w:t>pfn.ba@pgfn.gov.br</w:t>
        </w:r>
      </w:hyperlink>
      <w:r>
        <w:rPr>
          <w:rFonts w:ascii="Roboto" w:hAnsi="Roboto" w:cs="Arial"/>
          <w:sz w:val="23"/>
          <w:szCs w:val="23"/>
        </w:rPr>
        <w:t>, pelas razões de fato</w:t>
      </w:r>
      <w:r>
        <w:rPr>
          <w:rFonts w:ascii="Roboto" w:hAnsi="Roboto" w:cs="Arial"/>
          <w:sz w:val="23"/>
          <w:szCs w:val="23"/>
        </w:rPr>
        <w:t xml:space="preserve"> e de direito a seguir aduzidas.</w:t>
      </w:r>
    </w:p>
    <w:p w14:paraId="47E3E3B8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47E3E3B9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2267FD9D" w14:textId="6D1CD371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  <w:r>
        <w:rPr>
          <w:rFonts w:ascii="Roboto" w:hAnsi="Roboto" w:cs="Arial"/>
          <w:b/>
          <w:sz w:val="23"/>
          <w:szCs w:val="23"/>
          <w:u w:val="single"/>
        </w:rPr>
        <w:t xml:space="preserve">1 – </w:t>
      </w:r>
      <w:r>
        <w:rPr>
          <w:rFonts w:ascii="Roboto" w:hAnsi="Roboto" w:cs="Arial"/>
          <w:b/>
          <w:sz w:val="23"/>
          <w:szCs w:val="23"/>
          <w:u w:val="single"/>
        </w:rPr>
        <w:t>DA ASSISTÊNCIA JUDICIÁRIA GRATUITA</w:t>
      </w:r>
    </w:p>
    <w:p w14:paraId="0A7927B6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64F52304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De início, o Autor requer lhe seja concedido o benefício da assistência judiciária gratuita, em consonância com os princípios das Leis 9.099/1995 e 10.259/2001.</w:t>
      </w:r>
    </w:p>
    <w:p w14:paraId="09FD7664" w14:textId="77777777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</w:p>
    <w:p w14:paraId="7722652F" w14:textId="77777777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</w:p>
    <w:p w14:paraId="239A2EAE" w14:textId="05E88E2A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  <w:r>
        <w:rPr>
          <w:rFonts w:ascii="Roboto" w:hAnsi="Roboto" w:cs="Arial"/>
          <w:b/>
          <w:sz w:val="23"/>
          <w:szCs w:val="23"/>
          <w:u w:val="single"/>
        </w:rPr>
        <w:t>2</w:t>
      </w:r>
      <w:r>
        <w:rPr>
          <w:rFonts w:ascii="Roboto" w:hAnsi="Roboto" w:cs="Arial"/>
          <w:b/>
          <w:sz w:val="23"/>
          <w:szCs w:val="23"/>
          <w:u w:val="single"/>
        </w:rPr>
        <w:t xml:space="preserve"> – </w:t>
      </w:r>
      <w:r>
        <w:rPr>
          <w:rFonts w:ascii="Roboto" w:hAnsi="Roboto" w:cs="Arial"/>
          <w:b/>
          <w:sz w:val="23"/>
          <w:szCs w:val="23"/>
          <w:u w:val="single"/>
        </w:rPr>
        <w:t>JULGAMENTO DA MATÉRIA PELO STJ – TEMA 1224</w:t>
      </w:r>
    </w:p>
    <w:p w14:paraId="589BC472" w14:textId="77777777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</w:p>
    <w:p w14:paraId="149118FB" w14:textId="0A2DB697">
      <w:pPr>
        <w:pStyle w:val="paragraph"/>
        <w:spacing w:before="0" w:beforeAutospacing="0" w:after="0" w:afterAutospacing="0" w:line="276" w:lineRule="auto"/>
        <w:ind w:firstLine="1410"/>
        <w:jc w:val="both"/>
        <w:textAlignment w:val="baseline"/>
        <w:rPr>
          <w:rFonts w:ascii="Roboto" w:hAnsi="Roboto" w:cs="Segoe UI"/>
          <w:sz w:val="18"/>
          <w:szCs w:val="18"/>
        </w:rPr>
      </w:pPr>
      <w:r>
        <w:rPr>
          <w:rStyle w:val="normaltextrun"/>
          <w:rFonts w:ascii="Roboto" w:hAnsi="Roboto" w:cs="Segoe UI"/>
          <w:sz w:val="23"/>
          <w:szCs w:val="23"/>
        </w:rPr>
        <w:t>É</w:t>
      </w:r>
      <w:r>
        <w:rPr>
          <w:rStyle w:val="normaltextrun"/>
          <w:rFonts w:ascii="Roboto" w:hAnsi="Roboto" w:cs="Segoe UI"/>
          <w:sz w:val="23"/>
          <w:szCs w:val="23"/>
        </w:rPr>
        <w:t xml:space="preserve"> de suma importância esclarecer </w:t>
      </w:r>
      <w:r>
        <w:rPr>
          <w:rStyle w:val="normaltextrun"/>
          <w:rFonts w:ascii="Roboto" w:hAnsi="Roboto" w:cs="Segoe UI"/>
          <w:sz w:val="23"/>
          <w:szCs w:val="23"/>
        </w:rPr>
        <w:t xml:space="preserve">de antemão </w:t>
      </w:r>
      <w:r>
        <w:rPr>
          <w:rStyle w:val="normaltextrun"/>
          <w:rFonts w:ascii="Roboto" w:hAnsi="Roboto" w:cs="Segoe UI"/>
          <w:sz w:val="23"/>
          <w:szCs w:val="23"/>
        </w:rPr>
        <w:t xml:space="preserve">que </w:t>
      </w:r>
      <w:r>
        <w:rPr>
          <w:rStyle w:val="normaltextrun"/>
          <w:rFonts w:ascii="Roboto" w:hAnsi="Roboto" w:cs="Segoe UI"/>
          <w:sz w:val="23"/>
          <w:szCs w:val="23"/>
        </w:rPr>
        <w:t>o E.</w:t>
      </w:r>
      <w:r>
        <w:rPr>
          <w:rStyle w:val="normaltextrun"/>
          <w:rFonts w:ascii="Roboto" w:hAnsi="Roboto" w:cs="Segoe UI"/>
          <w:sz w:val="23"/>
          <w:szCs w:val="23"/>
        </w:rPr>
        <w:t xml:space="preserve"> STJ julgou a matéria em pauta na presente demanda, fixando a seguinte tese para o Tema 1224 (</w:t>
      </w:r>
      <w:r>
        <w:rPr>
          <w:rStyle w:val="normaltextrun"/>
          <w:rFonts w:ascii="Roboto" w:hAnsi="Roboto" w:cs="Segoe UI"/>
          <w:b/>
          <w:bCs/>
          <w:sz w:val="23"/>
          <w:szCs w:val="23"/>
        </w:rPr>
        <w:t>DOC. 02</w:t>
      </w:r>
      <w:r>
        <w:rPr>
          <w:rStyle w:val="normaltextrun"/>
          <w:rFonts w:ascii="Roboto" w:hAnsi="Roboto" w:cs="Segoe UI"/>
          <w:sz w:val="23"/>
          <w:szCs w:val="23"/>
        </w:rPr>
        <w:t>):</w:t>
      </w:r>
      <w:r>
        <w:rPr>
          <w:rStyle w:val="eop"/>
          <w:rFonts w:ascii="Roboto" w:hAnsi="Roboto" w:cs="Segoe UI"/>
          <w:sz w:val="23"/>
          <w:szCs w:val="23"/>
        </w:rPr>
        <w:t> </w:t>
      </w:r>
    </w:p>
    <w:p w14:paraId="1D780CEF" w14:textId="77777777">
      <w:pPr>
        <w:pStyle w:val="paragraph"/>
        <w:spacing w:before="0" w:beforeAutospacing="0" w:after="0" w:afterAutospacing="0" w:line="276" w:lineRule="auto"/>
        <w:ind w:firstLine="1410"/>
        <w:jc w:val="both"/>
        <w:textAlignment w:val="baseline"/>
        <w:rPr>
          <w:rFonts w:ascii="Roboto" w:hAnsi="Roboto" w:cs="Segoe UI"/>
          <w:sz w:val="18"/>
          <w:szCs w:val="18"/>
        </w:rPr>
      </w:pPr>
      <w:r>
        <w:rPr>
          <w:rStyle w:val="eop"/>
          <w:rFonts w:ascii="Roboto" w:hAnsi="Roboto" w:cs="Segoe UI"/>
          <w:sz w:val="23"/>
          <w:szCs w:val="23"/>
        </w:rPr>
        <w:t> </w:t>
      </w:r>
    </w:p>
    <w:p w14:paraId="3B98528D" w14:textId="5C402A41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É possível deduzir, da base de cálculo do Imposto de Renda da Pessoa Física - IRPF, os valores vertidos a título de contribuições extraordinárias para a entidade fechada de previdência complementar, observando-se o limite de 12% do total dos rendimentos computados na determinação da base de cálculo do imposto devido na declaração de rendimentos, nos termos da Lei Complementar n. 109/2001 e das Leis n. 9.250/1995 e 9.532/1997.</w:t>
      </w:r>
    </w:p>
    <w:p w14:paraId="5CE40E3D" w14:textId="4AC08D75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(1ª Seção do STJ. Tema Repetitivo 124. Processo: REsps 2.043.775; 2.050.635 e 2.051.367. Julgamento em 12/11/2025)</w:t>
      </w:r>
    </w:p>
    <w:p w14:paraId="4AEDC938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</w:p>
    <w:p w14:paraId="003E830B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</w:p>
    <w:p w14:paraId="4447F976" w14:textId="38CE4777">
      <w:pPr>
        <w:widowControl w:val="0"/>
        <w:spacing w:line="276" w:lineRule="auto"/>
        <w:ind w:firstLine="1418"/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</w:pPr>
      <w:r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  <w:t xml:space="preserve">Importante destacar que quando o </w:t>
      </w:r>
      <w:r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  <w:t>Superior Tribunal de Justiça firma uma tese em recurso especial repetitivo</w:t>
      </w:r>
      <w:r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  <w:t xml:space="preserve">, </w:t>
      </w:r>
      <w:r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  <w:t>a aplicação da tese não depende do trânsito em julgado do acórdão paradigma. A eficácia é imediata, a partir da publicação do acórdão</w:t>
      </w:r>
      <w:r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  <w:t>. Veja-se jurisprudência pacífica</w:t>
      </w:r>
      <w:r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  <w:t xml:space="preserve"> nesse sentido</w:t>
      </w:r>
      <w:r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  <w:t>:</w:t>
      </w:r>
    </w:p>
    <w:p w14:paraId="45717C3F" w14:textId="77777777">
      <w:pPr>
        <w:widowControl w:val="0"/>
        <w:spacing w:line="276" w:lineRule="auto"/>
        <w:ind w:firstLine="1418"/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</w:pPr>
    </w:p>
    <w:p w14:paraId="0A2F2454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AGRAVO INTERNO NO RECURSO ESPECIAL. CUMPRIMENTO INDIVIDUAL DE SENTENÇA COLETIVA. EXPURGOS INFLACIONÁRIOS. LEGITIMIDADE ATIVA. POUPADOR. VÍNCULO ASSOCIATIVO. DESNECESSIDADE. TEMA N. 948/STJ. APLICAÇÃO IMEDIATA. JUROS DE MORA. TERMO INICIAL. DATA DA CITAÇÃO NA AÇÃO DE CONHECIMENTO. SÚMULA N. 83/STJ. SUSPENSÃO. DESCABIMENTO. RECURSO DESPROVIDO. </w:t>
      </w:r>
    </w:p>
    <w:p w14:paraId="62C53F39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b/>
          <w:bCs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1. "</w:t>
      </w:r>
      <w:r>
        <w:rPr>
          <w:rStyle w:val="normaltextrun"/>
          <w:rFonts w:ascii="Roboto" w:hAnsi="Roboto" w:eastAsia="Times New Roman" w:cs="Segoe UI"/>
          <w:b/>
          <w:bCs/>
          <w:sz w:val="21"/>
          <w:szCs w:val="21"/>
          <w:lang w:eastAsia="pt-BR"/>
        </w:rPr>
        <w:t xml:space="preserve">É desnecessário o trânsito em julgado da tese sufragada por esta Corte Superior de Justiça como condição para que se possa invocá-la como precedente a fundamentar decisões em casos semelhantes" (AgInt no REsp n. 2.048.238/SP, relator Ministro Moura Ribeiro, Terceira Turma, julgado em 30/10/2023, DJe de 3/11/2023). </w:t>
      </w:r>
    </w:p>
    <w:p w14:paraId="3EBBF851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b/>
          <w:bCs/>
          <w:sz w:val="21"/>
          <w:szCs w:val="21"/>
          <w:lang w:eastAsia="pt-BR"/>
        </w:rPr>
        <w:t>2. "Já tendo sido julgadas a controvérsia repetitiva, no STJ, e a questão constitucional com repercussão geral, no STF, não há necessidade de sobrestar o feito</w:t>
      </w: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. A suspensão determinada pelo STF nos Recursos Extraordinários 626.307/SP, 591.797/SP e 632 .212/SP não alcança execução ou liquidação baseada em título transitado em julgado" (AgInt no AREsp n. 2.234.311/SP, relatora Ministra Maria Isabel Gallotti, Quarta Turma, julgado em 9/10/2023, DJe de 16/10/2023). </w:t>
      </w:r>
    </w:p>
    <w:p w14:paraId="032386A1" w14:textId="56B37C7F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3. Agravo interno a que se nega provimento.</w:t>
      </w:r>
    </w:p>
    <w:p w14:paraId="15AA1AD0" w14:textId="04F080D8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(STJ - AgInt no REsp: 1992370 SP 2022/0079548-4, Relator.: Ministro MARCO AURÉLIO BELLIZZE, Data de Julgamento: 27/05/2024, T3 - TERCEIRA TURMA, Data de Publicação: DJe 29/05/2024)</w:t>
      </w:r>
    </w:p>
    <w:p w14:paraId="61AE3825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</w:p>
    <w:p w14:paraId="479545EB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</w:p>
    <w:p w14:paraId="55F8E628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PROCESSUAL CIVIL. EMBARGOS DE DECLARAÇÃO NO AGRAVO </w:t>
      </w: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INTERNO NO AGRAVO EM RECURSO ESPECIAL. SOBRESTAMENTO DO FEITO. TRÂNSITO EM JULGADO DO ACÓRDÃO PARADIGMA. DESNECESSIDADE. OMISSÃO. INEXISTÊNCIA. EMBARGOS DE DECLARAÇÃO DO ESTADO DE MINAS GERAIS REJEITADOS. </w:t>
      </w:r>
    </w:p>
    <w:p w14:paraId="64FCE671" w14:textId="16C286DD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1. Embargos de declaração alegando omissão no julgado, uma vez que não foi determinado a suspensão do julgamento do presente feito até o trânsito em julgado do acórdão proferido pela Primeira Seção do STJ no âmbito do recurso representativo de controvérsia - REsp 1.806.086/MG. </w:t>
      </w:r>
    </w:p>
    <w:p w14:paraId="664096D1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2. </w:t>
      </w:r>
      <w:r>
        <w:rPr>
          <w:rStyle w:val="normaltextrun"/>
          <w:rFonts w:ascii="Roboto" w:hAnsi="Roboto" w:eastAsia="Times New Roman" w:cs="Segoe UI"/>
          <w:b/>
          <w:bCs/>
          <w:sz w:val="21"/>
          <w:szCs w:val="21"/>
          <w:lang w:eastAsia="pt-BR"/>
        </w:rPr>
        <w:t>A orientação jurisprudencial desta Corte é no sentido de que é desnecessário o trânsito em julgado do recurso especial repetitivo para fins de aplicação da tese fixada, nas hipóteses em que tenha sido publicado o acórdão paradigma.</w:t>
      </w: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 </w:t>
      </w:r>
    </w:p>
    <w:p w14:paraId="7802F95C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3. O inconformismo da parte embargante não se amolda aos contornos da via dos embargos de declaração, previsto no art. 1.022 do CPC/2015, porquanto o acórdão ora combatido não padece de vícios de omissão, contradição, obscuridade ou erro material. </w:t>
      </w:r>
    </w:p>
    <w:p w14:paraId="2897C062" w14:textId="029061C2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4. Embargos de declaração do ESTADO DE MINAS GERAIS rejeitados.</w:t>
      </w:r>
    </w:p>
    <w:p w14:paraId="0306EE58" w14:textId="60BC470B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(STJ - EDcl no AgInt no REsp: 1769477 MG 2018/0245003-2, Relator.: Ministro MANOEL ERHARDT (DESEMBARGADOR CONVOCADO DO TRF5), Data de Julgamento: 21/03/2022, T1 - PRIMEIRA TURMA, Data de Publicação: DJe 24/03/2022)</w:t>
      </w:r>
    </w:p>
    <w:p w14:paraId="2A6D9988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</w:p>
    <w:p w14:paraId="444365B3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</w:p>
    <w:p w14:paraId="60DC8407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PROCESSUAL CIVIL E PREVIDENCIÁRIO. HONORÁRIOS. SUMULA 111/STJ. TEMA 1 .105 STJ. AGRAVO INTERNO NO AGRAVO EM RECURSO ESPECIAL. AGRAVO INTERNO NÃO PROVIDO. </w:t>
      </w:r>
    </w:p>
    <w:p w14:paraId="4747E79F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1. "Continua eficaz e aplicável o conteúdo da Súmula 111/STJ (com a redação modificada em 2006), mesmo após a vigência do CPC/2015, no que tange à fixação de honorários advocatícios" (Tema1.105 do STJ). </w:t>
      </w:r>
    </w:p>
    <w:p w14:paraId="25A8FEC7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2.</w:t>
      </w: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 </w:t>
      </w:r>
      <w:r>
        <w:rPr>
          <w:rStyle w:val="normaltextrun"/>
          <w:rFonts w:ascii="Roboto" w:hAnsi="Roboto" w:eastAsia="Times New Roman" w:cs="Segoe UI"/>
          <w:b/>
          <w:bCs/>
          <w:sz w:val="21"/>
          <w:szCs w:val="21"/>
          <w:lang w:eastAsia="pt-BR"/>
        </w:rPr>
        <w:t>Para aplicação da orientação firmada em caso repetitivo, não é necessário aguardar o trânsito em julgado do acórdão correspondente. Precedentes.</w:t>
      </w: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 xml:space="preserve"> </w:t>
      </w:r>
    </w:p>
    <w:p w14:paraId="6F30AD21" w14:textId="3CF888E8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3. Agravo Interno não provido.</w:t>
      </w:r>
    </w:p>
    <w:p w14:paraId="10F426D3" w14:textId="396ECF9D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(STJ - AgInt no AREsp: 2247001 SP 2022/0349405-4, Relator.: Ministro MAURO CAMPBELL MARQUES, Data de Julgamento: 23/10/2023, T2 - SEGUNDA TURMA, Data de Publicação: DJe 25/10/2023)</w:t>
      </w:r>
    </w:p>
    <w:p w14:paraId="024300F1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</w:p>
    <w:p w14:paraId="75430F8E" w14:textId="59EF9D94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(</w:t>
      </w:r>
      <w:r>
        <w:rPr>
          <w:rStyle w:val="normaltextrun"/>
          <w:rFonts w:ascii="Roboto" w:hAnsi="Roboto" w:eastAsia="Times New Roman" w:cs="Segoe UI"/>
          <w:b/>
          <w:bCs/>
          <w:sz w:val="21"/>
          <w:szCs w:val="21"/>
          <w:lang w:eastAsia="pt-BR"/>
        </w:rPr>
        <w:t xml:space="preserve">negritos </w:t>
      </w: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não originais)</w:t>
      </w:r>
    </w:p>
    <w:p w14:paraId="016575D9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3"/>
          <w:szCs w:val="23"/>
          <w:lang w:eastAsia="pt-BR"/>
        </w:rPr>
      </w:pPr>
    </w:p>
    <w:p w14:paraId="375CA4A9" w14:textId="77777777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</w:p>
    <w:p w14:paraId="51D03206" w14:textId="0C6FAEF8">
      <w:pPr>
        <w:widowControl w:val="0"/>
        <w:spacing w:line="276" w:lineRule="auto"/>
        <w:ind w:firstLine="1418"/>
        <w:rPr>
          <w:rFonts w:ascii="Roboto" w:hAnsi="Roboto" w:cs="Arial"/>
          <w:bCs/>
          <w:sz w:val="23"/>
          <w:szCs w:val="23"/>
        </w:rPr>
      </w:pPr>
      <w:r>
        <w:rPr>
          <w:rFonts w:ascii="Roboto" w:hAnsi="Roboto" w:cs="Arial"/>
          <w:bCs/>
          <w:sz w:val="23"/>
          <w:szCs w:val="23"/>
        </w:rPr>
        <w:t>Desse modo, requer-se seja aplicado nos presentes autos o entendimento firmado pel</w:t>
      </w:r>
      <w:r>
        <w:rPr>
          <w:rFonts w:ascii="Roboto" w:hAnsi="Roboto" w:cs="Arial"/>
          <w:bCs/>
          <w:sz w:val="23"/>
          <w:szCs w:val="23"/>
        </w:rPr>
        <w:t>o</w:t>
      </w:r>
      <w:r>
        <w:rPr>
          <w:rFonts w:ascii="Roboto" w:hAnsi="Roboto" w:cs="Arial"/>
          <w:bCs/>
          <w:sz w:val="23"/>
          <w:szCs w:val="23"/>
        </w:rPr>
        <w:t xml:space="preserve"> </w:t>
      </w:r>
      <w:r>
        <w:rPr>
          <w:rFonts w:ascii="Roboto" w:hAnsi="Roboto" w:cs="Arial"/>
          <w:bCs/>
          <w:sz w:val="23"/>
          <w:szCs w:val="23"/>
        </w:rPr>
        <w:t xml:space="preserve">STJ </w:t>
      </w:r>
      <w:r>
        <w:rPr>
          <w:rFonts w:ascii="Roboto" w:hAnsi="Roboto" w:cs="Arial"/>
          <w:bCs/>
          <w:sz w:val="23"/>
          <w:szCs w:val="23"/>
        </w:rPr>
        <w:t xml:space="preserve">no julgamento do Tema </w:t>
      </w:r>
      <w:r>
        <w:rPr>
          <w:rFonts w:ascii="Roboto" w:hAnsi="Roboto" w:cs="Arial"/>
          <w:bCs/>
          <w:sz w:val="23"/>
          <w:szCs w:val="23"/>
        </w:rPr>
        <w:t>Repetitivo 1224.</w:t>
      </w:r>
    </w:p>
    <w:p w14:paraId="69FA7351" w14:textId="77777777">
      <w:pPr>
        <w:widowControl w:val="0"/>
        <w:spacing w:line="276" w:lineRule="auto"/>
        <w:ind w:firstLine="1418"/>
        <w:rPr>
          <w:rFonts w:ascii="Roboto" w:hAnsi="Roboto" w:cs="Arial"/>
          <w:bCs/>
          <w:sz w:val="23"/>
          <w:szCs w:val="23"/>
        </w:rPr>
      </w:pPr>
    </w:p>
    <w:p w14:paraId="374CC63E" w14:textId="24CC621B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</w:p>
    <w:p w14:paraId="47E3E3BA" w14:textId="5BAA06AC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</w:rPr>
      </w:pPr>
      <w:r>
        <w:rPr>
          <w:rFonts w:ascii="Roboto" w:hAnsi="Roboto" w:cs="Arial"/>
          <w:b/>
          <w:sz w:val="23"/>
          <w:szCs w:val="23"/>
        </w:rPr>
        <w:t xml:space="preserve">2 - </w:t>
      </w:r>
      <w:r>
        <w:rPr>
          <w:rFonts w:ascii="Roboto" w:hAnsi="Roboto" w:cs="Arial"/>
          <w:b/>
          <w:sz w:val="23"/>
          <w:szCs w:val="23"/>
        </w:rPr>
        <w:t>DA ASSISTÊNCIA JUDICIÁRIA GRATUITA</w:t>
      </w:r>
    </w:p>
    <w:p w14:paraId="47E3E3BB" w14:textId="24CED046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47E3E3BC" w14:textId="6791407E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De início, o Autor requer lhe seja concedido o benefício da </w:t>
      </w:r>
      <w:r>
        <w:rPr>
          <w:rFonts w:ascii="Roboto" w:hAnsi="Roboto" w:cs="Arial"/>
          <w:sz w:val="23"/>
          <w:szCs w:val="23"/>
        </w:rPr>
        <w:t>assistência judiciária gratuita, em consonância com os princípios das Leis 9.099/1995 e 10.259/2001.</w:t>
      </w:r>
    </w:p>
    <w:p w14:paraId="59B51EDE" w14:textId="5B8CB988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5EA2FF11" w14:textId="77777777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</w:p>
    <w:p w14:paraId="47E3E3BF" w14:textId="22425F5F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  <w:r>
        <w:rPr>
          <w:rFonts w:ascii="Roboto" w:hAnsi="Roboto" w:cs="Arial"/>
          <w:b/>
          <w:sz w:val="23"/>
          <w:szCs w:val="23"/>
          <w:u w:val="single"/>
        </w:rPr>
        <w:t>3</w:t>
      </w:r>
      <w:r>
        <w:rPr>
          <w:rFonts w:ascii="Roboto" w:hAnsi="Roboto" w:cs="Arial"/>
          <w:b/>
          <w:sz w:val="23"/>
          <w:szCs w:val="23"/>
          <w:u w:val="single"/>
        </w:rPr>
        <w:t xml:space="preserve"> – DOS FATOS</w:t>
      </w:r>
    </w:p>
    <w:p w14:paraId="6E3A65BC" w14:textId="515DC0CD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</w:p>
    <w:p w14:paraId="02B0990A" w14:textId="750D6B7B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O Autor é </w:t>
      </w:r>
      <w:r>
        <w:rPr>
          <w:rFonts w:ascii="Roboto" w:hAnsi="Roboto" w:cs="Arial"/>
          <w:sz w:val="23"/>
          <w:szCs w:val="23"/>
        </w:rPr>
        <w:t>aposentado</w:t>
      </w:r>
      <w:r>
        <w:rPr>
          <w:rFonts w:ascii="Roboto" w:hAnsi="Roboto" w:cs="Arial"/>
          <w:sz w:val="23"/>
          <w:szCs w:val="23"/>
        </w:rPr>
        <w:t xml:space="preserve"> da PETROBRÁS</w:t>
      </w:r>
      <w:r>
        <w:rPr>
          <w:rFonts w:ascii="Roboto" w:hAnsi="Roboto" w:cs="Arial"/>
          <w:sz w:val="23"/>
          <w:szCs w:val="23"/>
        </w:rPr>
        <w:t xml:space="preserve"> e c</w:t>
      </w:r>
      <w:r>
        <w:rPr>
          <w:rFonts w:ascii="Roboto" w:hAnsi="Roboto" w:cs="Arial"/>
          <w:sz w:val="23"/>
          <w:szCs w:val="23"/>
        </w:rPr>
        <w:t xml:space="preserve">ontribui </w:t>
      </w:r>
      <w:r>
        <w:rPr>
          <w:rFonts w:ascii="Roboto" w:hAnsi="Roboto" w:cs="Arial"/>
          <w:sz w:val="23"/>
          <w:szCs w:val="23"/>
        </w:rPr>
        <w:t xml:space="preserve">ordinariamente </w:t>
      </w:r>
      <w:r>
        <w:rPr>
          <w:rFonts w:ascii="Roboto" w:hAnsi="Roboto" w:cs="Arial"/>
          <w:sz w:val="23"/>
          <w:szCs w:val="23"/>
        </w:rPr>
        <w:t xml:space="preserve">para </w:t>
      </w:r>
      <w:r>
        <w:rPr>
          <w:rFonts w:ascii="Roboto" w:hAnsi="Roboto" w:cs="Arial"/>
          <w:sz w:val="23"/>
          <w:szCs w:val="23"/>
        </w:rPr>
        <w:t>a Fundação Petrobrás de Seguridade Social – PETROS, entidade de previdência privada, de fins assistenciais e não lucrativos.</w:t>
      </w:r>
    </w:p>
    <w:p w14:paraId="3159F579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14BA5AB5" w14:textId="167B82D9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Especificamente, </w:t>
      </w:r>
      <w:r>
        <w:rPr>
          <w:rFonts w:ascii="Roboto" w:hAnsi="Roboto" w:cs="Arial"/>
          <w:sz w:val="23"/>
          <w:szCs w:val="23"/>
        </w:rPr>
        <w:t xml:space="preserve">o plano de previdência privada </w:t>
      </w:r>
      <w:r>
        <w:rPr>
          <w:rFonts w:ascii="Roboto" w:hAnsi="Roboto" w:cs="Arial"/>
          <w:sz w:val="23"/>
          <w:szCs w:val="23"/>
        </w:rPr>
        <w:t xml:space="preserve">contratado pelo Autor corresponde ao </w:t>
      </w:r>
      <w:r>
        <w:rPr>
          <w:rFonts w:ascii="Roboto" w:hAnsi="Roboto" w:cs="Arial"/>
          <w:b/>
          <w:bCs/>
          <w:sz w:val="23"/>
          <w:szCs w:val="23"/>
        </w:rPr>
        <w:t>Petros I</w:t>
      </w:r>
      <w:r>
        <w:rPr>
          <w:rFonts w:ascii="Roboto" w:hAnsi="Roboto" w:cs="Arial"/>
          <w:sz w:val="23"/>
          <w:szCs w:val="23"/>
        </w:rPr>
        <w:t xml:space="preserve">, denominado </w:t>
      </w:r>
      <w:r>
        <w:rPr>
          <w:rFonts w:ascii="Roboto" w:hAnsi="Roboto" w:cs="Arial"/>
          <w:sz w:val="23"/>
          <w:szCs w:val="23"/>
        </w:rPr>
        <w:t xml:space="preserve">também de </w:t>
      </w:r>
      <w:r>
        <w:rPr>
          <w:rFonts w:ascii="Roboto" w:hAnsi="Roboto" w:cs="Arial"/>
          <w:sz w:val="23"/>
          <w:szCs w:val="23"/>
        </w:rPr>
        <w:t>Plano Petros do Sistema Petrobrás – PPSP</w:t>
      </w:r>
      <w:r>
        <w:rPr>
          <w:rFonts w:ascii="Roboto" w:hAnsi="Roboto" w:cs="Arial"/>
          <w:sz w:val="23"/>
          <w:szCs w:val="23"/>
        </w:rPr>
        <w:t>.</w:t>
      </w:r>
    </w:p>
    <w:p w14:paraId="7A40FD20" w14:textId="2A3BA1CC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4CBADB9C" w14:textId="6B0D97A1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Nesse sentido, </w:t>
      </w:r>
      <w:r>
        <w:rPr>
          <w:rFonts w:ascii="Roboto" w:hAnsi="Roboto" w:cs="Arial"/>
          <w:sz w:val="23"/>
          <w:szCs w:val="23"/>
        </w:rPr>
        <w:t>as contribuições ordinárias para o Petros I têm</w:t>
      </w:r>
      <w:r>
        <w:rPr>
          <w:rFonts w:ascii="Roboto" w:hAnsi="Roboto" w:cs="Arial"/>
          <w:sz w:val="23"/>
          <w:szCs w:val="23"/>
        </w:rPr>
        <w:t xml:space="preserve"> por objetivo formar fundo de reserva para futuro recebimento de suplementação</w:t>
      </w:r>
      <w:r>
        <w:rPr>
          <w:rFonts w:ascii="Roboto" w:hAnsi="Roboto" w:cs="Arial"/>
          <w:sz w:val="23"/>
          <w:szCs w:val="23"/>
        </w:rPr>
        <w:t xml:space="preserve"> de aposentadoria</w:t>
      </w:r>
      <w:r>
        <w:rPr>
          <w:rFonts w:ascii="Roboto" w:hAnsi="Roboto" w:cs="Arial"/>
          <w:sz w:val="23"/>
          <w:szCs w:val="23"/>
        </w:rPr>
        <w:t xml:space="preserve">, </w:t>
      </w:r>
      <w:r>
        <w:rPr>
          <w:rFonts w:ascii="Roboto" w:hAnsi="Roboto" w:cs="Arial"/>
          <w:sz w:val="23"/>
          <w:szCs w:val="23"/>
        </w:rPr>
        <w:t>sofrendo dedução tributária conforme legislação vigente.</w:t>
      </w:r>
    </w:p>
    <w:p w14:paraId="6BE31488" w14:textId="01979F05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30BC2ECD" w14:textId="3FBC951E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O</w:t>
      </w:r>
      <w:r>
        <w:rPr>
          <w:rFonts w:ascii="Roboto" w:hAnsi="Roboto" w:cs="Arial"/>
          <w:sz w:val="23"/>
          <w:szCs w:val="23"/>
        </w:rPr>
        <w:t>corre</w:t>
      </w:r>
      <w:r>
        <w:rPr>
          <w:rFonts w:ascii="Roboto" w:hAnsi="Roboto" w:cs="Arial"/>
          <w:sz w:val="23"/>
          <w:szCs w:val="23"/>
        </w:rPr>
        <w:t>, porém,</w:t>
      </w:r>
      <w:r>
        <w:rPr>
          <w:rFonts w:ascii="Roboto" w:hAnsi="Roboto" w:cs="Arial"/>
          <w:sz w:val="23"/>
          <w:szCs w:val="23"/>
        </w:rPr>
        <w:t xml:space="preserve"> que o</w:t>
      </w:r>
      <w:r>
        <w:rPr>
          <w:rFonts w:ascii="Roboto" w:hAnsi="Roboto" w:cs="Arial"/>
          <w:sz w:val="23"/>
          <w:szCs w:val="23"/>
        </w:rPr>
        <w:t xml:space="preserve"> referido p</w:t>
      </w:r>
      <w:r>
        <w:rPr>
          <w:rFonts w:ascii="Roboto" w:hAnsi="Roboto" w:cs="Arial"/>
          <w:sz w:val="23"/>
          <w:szCs w:val="23"/>
        </w:rPr>
        <w:t xml:space="preserve">lano </w:t>
      </w:r>
      <w:r>
        <w:rPr>
          <w:rFonts w:ascii="Roboto" w:hAnsi="Roboto" w:cs="Arial"/>
          <w:sz w:val="23"/>
          <w:szCs w:val="23"/>
        </w:rPr>
        <w:t xml:space="preserve">de previdência privada </w:t>
      </w:r>
      <w:r>
        <w:rPr>
          <w:rFonts w:ascii="Roboto" w:hAnsi="Roboto" w:cs="Arial"/>
          <w:sz w:val="23"/>
          <w:szCs w:val="23"/>
        </w:rPr>
        <w:t>apresentou desequilíbrio econômico acumulado nos anos de 2013, 2014 e 2015</w:t>
      </w:r>
      <w:r>
        <w:rPr>
          <w:rFonts w:ascii="Roboto" w:hAnsi="Roboto" w:cs="Arial"/>
          <w:sz w:val="23"/>
          <w:szCs w:val="23"/>
        </w:rPr>
        <w:t xml:space="preserve"> e, em decorrência do déficit apurado, foi aprovado Plano de Equacionamento, </w:t>
      </w:r>
      <w:r>
        <w:rPr>
          <w:rFonts w:ascii="Roboto" w:hAnsi="Roboto" w:cs="Arial"/>
          <w:b/>
          <w:bCs/>
          <w:sz w:val="23"/>
          <w:szCs w:val="23"/>
        </w:rPr>
        <w:t xml:space="preserve">impondo </w:t>
      </w:r>
      <w:r>
        <w:rPr>
          <w:rFonts w:ascii="Roboto" w:hAnsi="Roboto" w:cs="Arial"/>
          <w:b/>
          <w:bCs/>
          <w:sz w:val="23"/>
          <w:szCs w:val="23"/>
        </w:rPr>
        <w:t>a</w:t>
      </w:r>
      <w:r>
        <w:rPr>
          <w:rFonts w:ascii="Roboto" w:hAnsi="Roboto" w:cs="Arial"/>
          <w:b/>
          <w:bCs/>
          <w:sz w:val="23"/>
          <w:szCs w:val="23"/>
        </w:rPr>
        <w:t xml:space="preserve"> cobrança de </w:t>
      </w:r>
      <w:r>
        <w:rPr>
          <w:rFonts w:ascii="Roboto" w:hAnsi="Roboto" w:cs="Arial"/>
          <w:b/>
          <w:bCs/>
          <w:sz w:val="23"/>
          <w:szCs w:val="23"/>
          <w:u w:val="single"/>
        </w:rPr>
        <w:t>contribuição extraordinária</w:t>
      </w:r>
      <w:r>
        <w:rPr>
          <w:rFonts w:ascii="Roboto" w:hAnsi="Roboto" w:cs="Arial"/>
          <w:b/>
          <w:bCs/>
          <w:sz w:val="23"/>
          <w:szCs w:val="23"/>
        </w:rPr>
        <w:t xml:space="preserve"> dos participantes ativos</w:t>
      </w:r>
      <w:r>
        <w:rPr>
          <w:rFonts w:ascii="Roboto" w:hAnsi="Roboto" w:cs="Arial"/>
          <w:b/>
          <w:bCs/>
          <w:sz w:val="23"/>
          <w:szCs w:val="23"/>
        </w:rPr>
        <w:t xml:space="preserve">, aposentados e pensionistas </w:t>
      </w:r>
      <w:r>
        <w:rPr>
          <w:rFonts w:ascii="Roboto" w:hAnsi="Roboto" w:cs="Arial"/>
          <w:b/>
          <w:bCs/>
          <w:sz w:val="23"/>
          <w:szCs w:val="23"/>
        </w:rPr>
        <w:t xml:space="preserve">do </w:t>
      </w:r>
      <w:r>
        <w:rPr>
          <w:rFonts w:ascii="Roboto" w:hAnsi="Roboto" w:cs="Arial"/>
          <w:b/>
          <w:bCs/>
          <w:sz w:val="23"/>
          <w:szCs w:val="23"/>
        </w:rPr>
        <w:t>P</w:t>
      </w:r>
      <w:r>
        <w:rPr>
          <w:rFonts w:ascii="Roboto" w:hAnsi="Roboto" w:cs="Arial"/>
          <w:b/>
          <w:bCs/>
          <w:sz w:val="23"/>
          <w:szCs w:val="23"/>
        </w:rPr>
        <w:t>etros</w:t>
      </w:r>
      <w:r>
        <w:rPr>
          <w:rFonts w:ascii="Roboto" w:hAnsi="Roboto" w:cs="Arial"/>
          <w:b/>
          <w:bCs/>
          <w:sz w:val="23"/>
          <w:szCs w:val="23"/>
        </w:rPr>
        <w:t xml:space="preserve"> I</w:t>
      </w:r>
      <w:r>
        <w:rPr>
          <w:rFonts w:ascii="Roboto" w:hAnsi="Roboto" w:cs="Arial"/>
          <w:b/>
          <w:bCs/>
          <w:sz w:val="23"/>
          <w:szCs w:val="23"/>
        </w:rPr>
        <w:t>.</w:t>
      </w:r>
    </w:p>
    <w:p w14:paraId="6CAADC38" w14:textId="71CF49BA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55F125B6" w14:textId="49E9A8E4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Nesse sentido, o Autor procede à juntada, desde já, de todos os seus contracheques referentes ao períod</w:t>
      </w:r>
      <w:r>
        <w:rPr>
          <w:rFonts w:ascii="Roboto" w:hAnsi="Roboto" w:cs="Arial"/>
          <w:sz w:val="23"/>
          <w:szCs w:val="23"/>
        </w:rPr>
        <w:t>o</w:t>
      </w:r>
      <w:r>
        <w:rPr>
          <w:rFonts w:ascii="Roboto" w:hAnsi="Roboto" w:cs="Arial"/>
          <w:sz w:val="23"/>
          <w:szCs w:val="23"/>
        </w:rPr>
        <w:t xml:space="preserve"> de </w:t>
      </w:r>
      <w:r>
        <w:rPr>
          <w:rFonts w:ascii="Roboto" w:hAnsi="Roboto" w:cs="Arial"/>
          <w:sz w:val="23"/>
          <w:szCs w:val="23"/>
          <w:highlight w:val="yellow"/>
        </w:rPr>
        <w:t xml:space="preserve">01/2020 a </w:t>
      </w:r>
      <w:r>
        <w:rPr>
          <w:rFonts w:ascii="Roboto" w:hAnsi="Roboto" w:cs="Arial"/>
          <w:sz w:val="23"/>
          <w:szCs w:val="23"/>
          <w:highlight w:val="yellow"/>
        </w:rPr>
        <w:t>09/2025</w:t>
      </w:r>
      <w:r>
        <w:rPr>
          <w:rFonts w:ascii="Roboto" w:hAnsi="Roboto" w:cs="Arial"/>
          <w:sz w:val="23"/>
          <w:szCs w:val="23"/>
        </w:rPr>
        <w:t>,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 xml:space="preserve">demonstrando </w:t>
      </w:r>
      <w:r>
        <w:rPr>
          <w:rFonts w:ascii="Roboto" w:hAnsi="Roboto" w:cs="Arial"/>
          <w:sz w:val="23"/>
          <w:szCs w:val="23"/>
        </w:rPr>
        <w:t>o desconto da referida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>parcela extraordinária</w:t>
      </w:r>
      <w:r>
        <w:rPr>
          <w:rFonts w:ascii="Roboto" w:hAnsi="Roboto" w:cs="Arial"/>
          <w:sz w:val="23"/>
          <w:szCs w:val="23"/>
        </w:rPr>
        <w:t xml:space="preserve"> (</w:t>
      </w:r>
      <w:r>
        <w:rPr>
          <w:rFonts w:ascii="Roboto" w:hAnsi="Roboto" w:cs="Arial"/>
          <w:b/>
          <w:sz w:val="23"/>
          <w:szCs w:val="23"/>
        </w:rPr>
        <w:t>DOC. 0</w:t>
      </w:r>
      <w:r>
        <w:rPr>
          <w:rFonts w:ascii="Roboto" w:hAnsi="Roboto" w:cs="Arial"/>
          <w:b/>
          <w:sz w:val="23"/>
          <w:szCs w:val="23"/>
        </w:rPr>
        <w:t>3</w:t>
      </w:r>
      <w:r>
        <w:rPr>
          <w:rFonts w:ascii="Roboto" w:hAnsi="Roboto" w:cs="Arial"/>
          <w:sz w:val="23"/>
          <w:szCs w:val="23"/>
        </w:rPr>
        <w:t>)</w:t>
      </w:r>
      <w:r>
        <w:rPr>
          <w:rFonts w:ascii="Roboto" w:hAnsi="Roboto" w:cs="Arial"/>
          <w:sz w:val="23"/>
          <w:szCs w:val="23"/>
        </w:rPr>
        <w:t>.</w:t>
      </w:r>
    </w:p>
    <w:p w14:paraId="0CB510BF" w14:textId="6FFD9E2D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2F86BBBC" w14:textId="46A31534">
      <w:pPr>
        <w:widowControl w:val="0"/>
        <w:spacing w:line="276" w:lineRule="auto"/>
        <w:ind w:firstLine="1276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Todavia, ao contrário do tratamento conferido às contribuições ordinárias, tais contribuições </w:t>
      </w:r>
      <w:r>
        <w:rPr>
          <w:rFonts w:ascii="Roboto" w:hAnsi="Roboto" w:cs="Arial"/>
          <w:b/>
          <w:bCs/>
          <w:sz w:val="23"/>
          <w:szCs w:val="23"/>
        </w:rPr>
        <w:t>não vêm sendo deduzidas</w:t>
      </w:r>
      <w:r>
        <w:rPr>
          <w:rFonts w:ascii="Roboto" w:hAnsi="Roboto" w:cs="Arial"/>
          <w:sz w:val="23"/>
          <w:szCs w:val="23"/>
        </w:rPr>
        <w:t xml:space="preserve"> da base de cálculo do IRPF, aumentando indevidamente o montante tributado.</w:t>
      </w:r>
    </w:p>
    <w:p w14:paraId="260857D0" w14:textId="77777777">
      <w:pPr>
        <w:widowControl w:val="0"/>
        <w:spacing w:line="276" w:lineRule="auto"/>
        <w:ind w:firstLine="1276"/>
        <w:rPr>
          <w:rFonts w:ascii="Roboto" w:hAnsi="Roboto" w:cs="Arial"/>
          <w:sz w:val="23"/>
          <w:szCs w:val="23"/>
        </w:rPr>
      </w:pPr>
    </w:p>
    <w:p w14:paraId="5CA11DCD" w14:textId="386653DD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Ocorre que a</w:t>
      </w:r>
      <w:r>
        <w:rPr>
          <w:rFonts w:ascii="Roboto" w:hAnsi="Roboto" w:cs="Arial"/>
          <w:sz w:val="23"/>
          <w:szCs w:val="23"/>
        </w:rPr>
        <w:t>s contribuições extraordinárias se equiparam às contribuições ditas “normais”, de forma que ambas se destinam a um só propósito e, portanto, ostentam o mesmo caráter dedutível da base de cálculo do imposto de renda</w:t>
      </w:r>
      <w:r>
        <w:rPr>
          <w:rFonts w:ascii="Roboto" w:hAnsi="Roboto" w:cs="Arial"/>
          <w:sz w:val="23"/>
          <w:szCs w:val="23"/>
        </w:rPr>
        <w:t>.</w:t>
      </w:r>
    </w:p>
    <w:p w14:paraId="3B26912F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47BF2A02" w14:textId="737B8821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Tanto</w:t>
      </w:r>
      <w:r>
        <w:rPr>
          <w:rFonts w:ascii="Roboto" w:hAnsi="Roboto" w:cs="Arial"/>
          <w:sz w:val="23"/>
          <w:szCs w:val="23"/>
        </w:rPr>
        <w:t xml:space="preserve"> as contribuições normais </w:t>
      </w:r>
      <w:r>
        <w:rPr>
          <w:rFonts w:ascii="Roboto" w:hAnsi="Roboto" w:cs="Arial"/>
          <w:sz w:val="23"/>
          <w:szCs w:val="23"/>
        </w:rPr>
        <w:t>quanto as</w:t>
      </w:r>
      <w:r>
        <w:rPr>
          <w:rFonts w:ascii="Roboto" w:hAnsi="Roboto" w:cs="Arial"/>
          <w:sz w:val="23"/>
          <w:szCs w:val="23"/>
        </w:rPr>
        <w:t xml:space="preserve"> extraordinárias visam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 xml:space="preserve">permitir que o fundo realize suas finalidades, ou seja, o custeio dos benefícios previdenciários complementares. </w:t>
      </w:r>
    </w:p>
    <w:p w14:paraId="2EE0FD46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5B8F8766" w14:textId="0BBB6366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Isso porque, ao se analisar a forma como esse custeio se operacionaliza, evidencia-se que essas contribuições objetivam a sobrevivência financeira dos fundos, podendo se dizer que a contribuição normal o faz de forma direta e a extraordinária, de forma indireta</w:t>
      </w:r>
      <w:r>
        <w:rPr>
          <w:rFonts w:ascii="Roboto" w:hAnsi="Roboto" w:cs="Arial"/>
          <w:sz w:val="23"/>
          <w:szCs w:val="23"/>
        </w:rPr>
        <w:t>.</w:t>
      </w:r>
    </w:p>
    <w:p w14:paraId="41CEB286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65FFB983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Art. 19. As contribuições destinadas à constituição de reservas terão como finalidade prover o pagamento de benefícios de caráter previdenciário, observadas as especificidades previstas nesta Lei Complementar. </w:t>
      </w:r>
    </w:p>
    <w:p w14:paraId="35A522CA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Parágrafo único. As contribuições referidas no caput classificam-se em: I - normais, aquelas destinadas ao custeio dos benefícios previstos no respectivo plano; </w:t>
      </w:r>
    </w:p>
    <w:p w14:paraId="4C5370C7" w14:textId="1E7CD286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>e II - extraordinárias, aquelas destinadas ao custeio de déficits, serviço passado e outras finalidades não incluídas na contribuição normal.</w:t>
      </w:r>
    </w:p>
    <w:p w14:paraId="539299C9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1278F072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433C49D1" w14:textId="4016CCD0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Ademais, d</w:t>
      </w:r>
      <w:r>
        <w:rPr>
          <w:rFonts w:ascii="Roboto" w:hAnsi="Roboto" w:cs="Arial"/>
          <w:sz w:val="23"/>
          <w:szCs w:val="23"/>
        </w:rPr>
        <w:t>esde a edição da Lei 9.250/1995, as contribuições recolhidas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>para as entidades de previdência privada destinadas a custear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 xml:space="preserve">benefícios complementares, nos termos </w:t>
      </w:r>
      <w:r>
        <w:rPr>
          <w:rFonts w:ascii="Roboto" w:hAnsi="Roboto" w:cs="Arial"/>
          <w:sz w:val="23"/>
          <w:szCs w:val="23"/>
        </w:rPr>
        <w:t xml:space="preserve">dos </w:t>
      </w:r>
      <w:r>
        <w:rPr>
          <w:rFonts w:ascii="Roboto" w:hAnsi="Roboto" w:cs="Arial"/>
          <w:sz w:val="23"/>
          <w:szCs w:val="23"/>
        </w:rPr>
        <w:t>arts. 4º, V,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 xml:space="preserve">e </w:t>
      </w:r>
      <w:r>
        <w:rPr>
          <w:rFonts w:ascii="Roboto" w:hAnsi="Roboto" w:cs="Arial"/>
          <w:sz w:val="23"/>
          <w:szCs w:val="23"/>
        </w:rPr>
        <w:t xml:space="preserve">8º, II, </w:t>
      </w:r>
      <w:r>
        <w:rPr>
          <w:rFonts w:ascii="Roboto" w:hAnsi="Roboto" w:cs="Arial"/>
          <w:sz w:val="23"/>
          <w:szCs w:val="23"/>
        </w:rPr>
        <w:t xml:space="preserve">bem como do art. </w:t>
      </w:r>
      <w:r>
        <w:rPr>
          <w:rFonts w:ascii="Roboto" w:hAnsi="Roboto" w:cs="Arial"/>
          <w:sz w:val="23"/>
          <w:szCs w:val="23"/>
        </w:rPr>
        <w:t>11 da Lei 9.532/1997, são dedutíveis dos rendimentos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>computados na determinação da base de cálculo do imposto devido na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>declaração de rendimentos, até o limite de 12%</w:t>
      </w:r>
      <w:r>
        <w:rPr>
          <w:rFonts w:ascii="Roboto" w:hAnsi="Roboto" w:cs="Arial"/>
          <w:sz w:val="23"/>
          <w:szCs w:val="23"/>
        </w:rPr>
        <w:t>. Veja-se:</w:t>
      </w:r>
    </w:p>
    <w:p w14:paraId="05685247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29D6635C" w14:textId="77777777">
      <w:pPr>
        <w:widowControl w:val="0"/>
        <w:spacing w:line="276" w:lineRule="auto"/>
        <w:ind w:left="2268"/>
        <w:rPr>
          <w:rFonts w:ascii="Roboto" w:hAnsi="Roboto" w:cs="Arial"/>
          <w:b/>
          <w:bCs/>
          <w:sz w:val="21"/>
          <w:szCs w:val="21"/>
          <w:u w:val="single"/>
        </w:rPr>
      </w:pPr>
      <w:r>
        <w:rPr>
          <w:rFonts w:ascii="Roboto" w:hAnsi="Roboto" w:cs="Arial"/>
          <w:b/>
          <w:bCs/>
          <w:sz w:val="21"/>
          <w:szCs w:val="21"/>
          <w:u w:val="single"/>
        </w:rPr>
        <w:t xml:space="preserve">Lei nº 9.250/95: </w:t>
      </w:r>
    </w:p>
    <w:p w14:paraId="6189BA3D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148074E0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Art. 4º. Na determinação da base de cálculo sujeita à incidência mensal do imposto de renda poderão ser deduzidas: [..] </w:t>
      </w:r>
    </w:p>
    <w:p w14:paraId="43607190" w14:textId="18EB4345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V - as contribuições para as entidades de previdência privada domiciliadas no País, cujo ônus tenha sido do contribuinte, destinadas a custear benefícios complementares assemelhados aos da Previdência Social; [...] </w:t>
      </w:r>
    </w:p>
    <w:p w14:paraId="7C3C56C4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766CC109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Art. 8º A base de cálculo do imposto devido no ano-calendário será a diferença entre assomas: </w:t>
      </w:r>
    </w:p>
    <w:p w14:paraId="315BEB61" w14:textId="4087A204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I - de todos os rendimentos percebidos durante o ano-calendário, exceto os isentos, os não-tributáveis, os tributáveis exclusivamente na fonte e os sujeitos à tributação definitiva; </w:t>
      </w:r>
    </w:p>
    <w:p w14:paraId="77BE26AB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II - das deduções relativas: [...] </w:t>
      </w:r>
    </w:p>
    <w:p w14:paraId="5F119590" w14:textId="2E61C48D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e) às contribuições para as entidades de previdência privada </w:t>
      </w:r>
      <w:r>
        <w:rPr>
          <w:rFonts w:ascii="Roboto" w:hAnsi="Roboto" w:cs="Arial"/>
          <w:sz w:val="21"/>
          <w:szCs w:val="21"/>
        </w:rPr>
        <w:t xml:space="preserve">domiciliadas no País, cujo ônus tenha sido do contribuinte, destinadas a custear benefícios complementares assemelhados aos da Previdência Social; </w:t>
      </w:r>
    </w:p>
    <w:p w14:paraId="0AAC80F2" w14:textId="77777777">
      <w:pPr>
        <w:widowControl w:val="0"/>
        <w:spacing w:line="276" w:lineRule="auto"/>
        <w:rPr>
          <w:rFonts w:ascii="Roboto" w:hAnsi="Roboto" w:cs="Arial"/>
          <w:sz w:val="21"/>
          <w:szCs w:val="21"/>
        </w:rPr>
      </w:pPr>
    </w:p>
    <w:p w14:paraId="3588228D" w14:textId="77777777">
      <w:pPr>
        <w:widowControl w:val="0"/>
        <w:spacing w:line="276" w:lineRule="auto"/>
        <w:ind w:left="2268"/>
        <w:rPr>
          <w:rFonts w:ascii="Roboto" w:hAnsi="Roboto" w:cs="Arial"/>
          <w:b/>
          <w:bCs/>
          <w:sz w:val="21"/>
          <w:szCs w:val="21"/>
          <w:u w:val="single"/>
        </w:rPr>
      </w:pPr>
      <w:r>
        <w:rPr>
          <w:rFonts w:ascii="Roboto" w:hAnsi="Roboto" w:cs="Arial"/>
          <w:b/>
          <w:bCs/>
          <w:sz w:val="21"/>
          <w:szCs w:val="21"/>
          <w:u w:val="single"/>
        </w:rPr>
        <w:t xml:space="preserve">Lei nº 9.532/97: </w:t>
      </w:r>
    </w:p>
    <w:p w14:paraId="66D18D90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59BA7A2B" w14:textId="42A248D9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Art. 11. As deduções relativas às contribuições para entidades de previdência privada, a que se refere a alínea ‘e’ do inciso II do art. 8º da Lei no 9.250, de 26 de dezembro de 1995, e às contribuições para o Fundo de Aposentadoria Programada Individual - </w:t>
      </w:r>
      <w:proofErr w:type="spellStart"/>
      <w:r>
        <w:rPr>
          <w:rFonts w:ascii="Roboto" w:hAnsi="Roboto" w:cs="Arial"/>
          <w:sz w:val="21"/>
          <w:szCs w:val="21"/>
        </w:rPr>
        <w:t>Fapi</w:t>
      </w:r>
      <w:proofErr w:type="spellEnd"/>
      <w:r>
        <w:rPr>
          <w:rFonts w:ascii="Roboto" w:hAnsi="Roboto" w:cs="Arial"/>
          <w:sz w:val="21"/>
          <w:szCs w:val="21"/>
        </w:rPr>
        <w:t>, a que se refere a Lei no</w:t>
      </w:r>
      <w:r>
        <w:rPr>
          <w:rFonts w:ascii="Roboto" w:hAnsi="Roboto" w:cs="Arial"/>
          <w:sz w:val="21"/>
          <w:szCs w:val="21"/>
        </w:rPr>
        <w:t xml:space="preserve"> </w:t>
      </w:r>
      <w:r>
        <w:rPr>
          <w:rFonts w:ascii="Roboto" w:hAnsi="Roboto" w:cs="Arial"/>
          <w:sz w:val="21"/>
          <w:szCs w:val="21"/>
        </w:rPr>
        <w:t>9.477, de 24 de julho de 1997, cujo ônus seja da própria pessoa física, ficam condicionadas ao recolhimento, também, de contribuições para o regime geral de previdência social ou, quando for o caso, para regime próprio de previdência social dos servidores titulares de cargo efetivo da União, dos Estados, do Distrito Federal ou dos Municípios, observada a contribuição mínima, e limitadas a 12% (doze por cento) do total dos rendimentos computados na determinação da base de cálculo do imposto devido na declaração de rendimentos. (Redação dada pela Lei nº 10.887, de 2004)</w:t>
      </w:r>
    </w:p>
    <w:p w14:paraId="6B2E4CE6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001B88EB" w14:textId="3B6059AA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5BB2832D" w14:textId="572B5451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Ainda, o</w:t>
      </w:r>
      <w:r>
        <w:rPr>
          <w:rFonts w:ascii="Roboto" w:hAnsi="Roboto" w:cs="Arial"/>
          <w:sz w:val="23"/>
          <w:szCs w:val="23"/>
        </w:rPr>
        <w:t xml:space="preserve"> art. 69</w:t>
      </w:r>
      <w:r>
        <w:rPr>
          <w:rFonts w:ascii="Roboto" w:hAnsi="Roboto" w:cs="Arial"/>
          <w:sz w:val="23"/>
          <w:szCs w:val="23"/>
        </w:rPr>
        <w:t xml:space="preserve"> da Le</w:t>
      </w:r>
      <w:r>
        <w:rPr>
          <w:rFonts w:ascii="Roboto" w:hAnsi="Roboto" w:cs="Arial"/>
          <w:sz w:val="23"/>
          <w:szCs w:val="23"/>
        </w:rPr>
        <w:t xml:space="preserve">i Complementar </w:t>
      </w:r>
      <w:r>
        <w:rPr>
          <w:rFonts w:ascii="Roboto" w:hAnsi="Roboto" w:cs="Arial"/>
          <w:sz w:val="23"/>
          <w:szCs w:val="23"/>
        </w:rPr>
        <w:t xml:space="preserve">n. </w:t>
      </w:r>
      <w:r>
        <w:rPr>
          <w:rFonts w:ascii="Roboto" w:hAnsi="Roboto" w:cs="Arial"/>
          <w:sz w:val="23"/>
          <w:szCs w:val="23"/>
        </w:rPr>
        <w:t>109/2001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>autoriza que as contribuições vertidas para as entidades de previdência complementar, destinadas ao custeio dos planos de benefícios de natureza previdenciária, possam ser deduzidas do imposto sobre a renda, conforme texto a seguir transcrito:</w:t>
      </w:r>
    </w:p>
    <w:p w14:paraId="6A5F39E6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623D239D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>Art. 69. As contribuições vertidas para as entidades de previdência complementar, destinadas ao custeio dos planos de benefícios de natureza previdenciária, são dedutíveis para fins de incidência de imposto sobre a renda, nos limites e nas condições fixadas em lei.</w:t>
      </w:r>
    </w:p>
    <w:p w14:paraId="06051EAF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24883481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45DBF6BE" w14:textId="351AABFF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Assim, </w:t>
      </w:r>
      <w:r>
        <w:rPr>
          <w:rFonts w:ascii="Roboto" w:hAnsi="Roboto" w:cs="Arial"/>
          <w:sz w:val="23"/>
          <w:szCs w:val="23"/>
        </w:rPr>
        <w:t xml:space="preserve">é possível concluir que as contribuições extraordinárias também devem ser excluídas da base de cálculo do imposto de renda, visto que </w:t>
      </w:r>
      <w:r>
        <w:rPr>
          <w:rFonts w:ascii="Roboto" w:hAnsi="Roboto" w:cs="Arial"/>
          <w:sz w:val="23"/>
          <w:szCs w:val="23"/>
        </w:rPr>
        <w:t xml:space="preserve">elas </w:t>
      </w:r>
      <w:r>
        <w:rPr>
          <w:rFonts w:ascii="Roboto" w:hAnsi="Roboto" w:cs="Arial"/>
          <w:sz w:val="23"/>
          <w:szCs w:val="23"/>
        </w:rPr>
        <w:t>também são destinadas</w:t>
      </w:r>
      <w:r>
        <w:t xml:space="preserve"> </w:t>
      </w:r>
      <w:r>
        <w:rPr>
          <w:rFonts w:ascii="Roboto" w:hAnsi="Roboto" w:cs="Arial"/>
          <w:sz w:val="23"/>
          <w:szCs w:val="23"/>
        </w:rPr>
        <w:t xml:space="preserve">a formar a reserva matemática e, por conseguinte, </w:t>
      </w:r>
      <w:r>
        <w:rPr>
          <w:rFonts w:ascii="Roboto" w:hAnsi="Roboto" w:cs="Arial"/>
          <w:sz w:val="23"/>
          <w:szCs w:val="23"/>
        </w:rPr>
        <w:t xml:space="preserve">são destinadas </w:t>
      </w:r>
      <w:r>
        <w:rPr>
          <w:rFonts w:ascii="Roboto" w:hAnsi="Roboto" w:cs="Arial"/>
          <w:sz w:val="23"/>
          <w:szCs w:val="23"/>
        </w:rPr>
        <w:t>ao custeio do plano de benefícios.</w:t>
      </w:r>
    </w:p>
    <w:p w14:paraId="6529515A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3B8BB23C" w14:textId="66E6B3FB">
      <w:pPr>
        <w:widowControl w:val="0"/>
        <w:spacing w:line="276" w:lineRule="auto"/>
        <w:ind w:firstLine="1418"/>
        <w:rPr>
          <w:rFonts w:ascii="Roboto" w:hAnsi="Roboto" w:cs="Arial"/>
          <w:b/>
          <w:bCs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Nesse contexto, tanto as contribuições normais como as extraordinárias devem ser deduzidas da base de cálculo do imposto de renda, observando-se o limite de 12% do total dos rendimentos computados na determinação da base de cálculo do imposto devido na declaração de rendimentos</w:t>
      </w:r>
      <w:r>
        <w:rPr>
          <w:rFonts w:ascii="Roboto" w:hAnsi="Roboto" w:cs="Arial"/>
          <w:b/>
          <w:bCs/>
          <w:sz w:val="23"/>
          <w:szCs w:val="23"/>
        </w:rPr>
        <w:t>.</w:t>
      </w:r>
    </w:p>
    <w:p w14:paraId="63517724" w14:textId="475497F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1356AA30" w14:textId="38A41E29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Dessa forma, o Autor lança mão da presente ação a fim de fazer cessar a ilícita arrecadação tributária feita pela Ré, bem como obter a restituição de todos os valores pagos a título de IR sobre as contribuições extraordinárias recolhidas </w:t>
      </w:r>
      <w:r>
        <w:rPr>
          <w:rFonts w:ascii="Roboto" w:hAnsi="Roboto" w:cs="Arial"/>
          <w:sz w:val="23"/>
          <w:szCs w:val="23"/>
        </w:rPr>
        <w:t xml:space="preserve">à </w:t>
      </w:r>
      <w:r>
        <w:rPr>
          <w:rFonts w:ascii="Roboto" w:hAnsi="Roboto" w:cs="Arial"/>
          <w:sz w:val="23"/>
          <w:szCs w:val="23"/>
        </w:rPr>
        <w:t>Petros,</w:t>
      </w:r>
      <w:r>
        <w:rPr>
          <w:rFonts w:ascii="Roboto" w:hAnsi="Roboto" w:cs="Arial"/>
          <w:sz w:val="23"/>
          <w:szCs w:val="23"/>
        </w:rPr>
        <w:t xml:space="preserve"> observado o quinquênio prescricional.</w:t>
      </w:r>
    </w:p>
    <w:p w14:paraId="0833FA3B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453466F5" w14:textId="4E1663A6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065E9E8C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b/>
          <w:bCs/>
          <w:sz w:val="23"/>
          <w:szCs w:val="23"/>
          <w:u w:val="single"/>
        </w:rPr>
        <w:t>4 – DO TERMO INICIAL DA CONTAGEM DA PRESCRIÇÃO QUINQUENAL</w:t>
      </w:r>
      <w:r>
        <w:rPr>
          <w:rFonts w:ascii="Roboto" w:hAnsi="Roboto" w:cs="Arial"/>
          <w:sz w:val="23"/>
          <w:szCs w:val="23"/>
        </w:rPr>
        <w:t> </w:t>
      </w:r>
    </w:p>
    <w:p w14:paraId="76F516A8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 </w:t>
      </w:r>
    </w:p>
    <w:p w14:paraId="337314E8" w14:textId="6BA0D202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Como se sabe, a entrega da declaração de ajuste do Imposto de Renda da Pessoa Física ocorre sempre no ano seguinte em relação ao ano calendário em que os rendimentos foram pagos e as retenções foram realizadas. Em outras palavras, a DIRPF 2023, por exemplo, se refere ao ano calendário 2022. </w:t>
      </w:r>
    </w:p>
    <w:p w14:paraId="60F5D515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 </w:t>
      </w:r>
    </w:p>
    <w:p w14:paraId="51FC676F" w14:textId="1D30A674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Nesse diapasão, a jurisprudência dos Tribunais pátrios pacificou o entendimento de que a contagem da prescrição quinquenal para o contribuinte pleitear a restituição tributária, em se tratando de retenção do Imposto de Renda Pessoa Física em determinado ano calendário</w:t>
      </w:r>
      <w:r>
        <w:rPr>
          <w:rFonts w:ascii="Roboto" w:hAnsi="Roboto" w:cs="Arial"/>
          <w:sz w:val="23"/>
          <w:szCs w:val="23"/>
        </w:rPr>
        <w:t>,</w:t>
      </w:r>
      <w:r>
        <w:rPr>
          <w:rFonts w:ascii="Roboto" w:hAnsi="Roboto" w:cs="Arial"/>
          <w:sz w:val="23"/>
          <w:szCs w:val="23"/>
        </w:rPr>
        <w:t xml:space="preserve"> se inicia </w:t>
      </w:r>
      <w:r>
        <w:rPr>
          <w:rFonts w:ascii="Roboto" w:hAnsi="Roboto" w:cs="Arial"/>
          <w:b/>
          <w:bCs/>
          <w:sz w:val="23"/>
          <w:szCs w:val="23"/>
        </w:rPr>
        <w:t>na data de entrega da DIRPF</w:t>
      </w:r>
      <w:r>
        <w:rPr>
          <w:rStyle w:val="Refdenotaderodap"/>
          <w:rFonts w:ascii="Roboto" w:hAnsi="Roboto" w:cs="Arial"/>
          <w:sz w:val="23"/>
          <w:szCs w:val="23"/>
        </w:rPr>
        <w:footnoteReference w:id="1"/>
      </w:r>
      <w:r>
        <w:rPr>
          <w:rFonts w:ascii="Roboto" w:hAnsi="Roboto" w:cs="Arial"/>
          <w:sz w:val="23"/>
          <w:szCs w:val="23"/>
        </w:rPr>
        <w:t>. </w:t>
      </w:r>
    </w:p>
    <w:p w14:paraId="4B0B8542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5B19013D" w14:textId="6A1A9CC4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Até porque, conforme se colhe dos referidos precedente</w:t>
      </w:r>
      <w:r>
        <w:rPr>
          <w:rFonts w:ascii="Roboto" w:hAnsi="Roboto" w:cs="Arial"/>
          <w:sz w:val="23"/>
          <w:szCs w:val="23"/>
        </w:rPr>
        <w:t>s</w:t>
      </w:r>
      <w:r>
        <w:rPr>
          <w:rFonts w:ascii="Roboto" w:hAnsi="Roboto" w:cs="Arial"/>
          <w:sz w:val="23"/>
          <w:szCs w:val="23"/>
        </w:rPr>
        <w:t>, a retenção feita pela fonte pagadora NÃO se assimila a pagamento antecipado do IRPF, vez que necessariamente terá de ser submetida a ajuste por ocasião da entrega da declaração. </w:t>
      </w:r>
    </w:p>
    <w:p w14:paraId="69515AEC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 </w:t>
      </w:r>
    </w:p>
    <w:p w14:paraId="711A00CC" w14:textId="4AC9A541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Por conseguinte, a prescrição, </w:t>
      </w:r>
      <w:r>
        <w:rPr>
          <w:rFonts w:ascii="Roboto" w:hAnsi="Roboto" w:cs="Arial"/>
          <w:sz w:val="23"/>
          <w:szCs w:val="23"/>
        </w:rPr>
        <w:t xml:space="preserve">in </w:t>
      </w:r>
      <w:proofErr w:type="spellStart"/>
      <w:r>
        <w:rPr>
          <w:rFonts w:ascii="Roboto" w:hAnsi="Roboto" w:cs="Arial"/>
          <w:sz w:val="23"/>
          <w:szCs w:val="23"/>
        </w:rPr>
        <w:t>casu</w:t>
      </w:r>
      <w:proofErr w:type="spellEnd"/>
      <w:r>
        <w:rPr>
          <w:rFonts w:ascii="Roboto" w:hAnsi="Roboto" w:cs="Arial"/>
          <w:sz w:val="23"/>
          <w:szCs w:val="23"/>
        </w:rPr>
        <w:t>, não atinge retenções realizadas no ano calendário anterior ao período da relação tributária destacada no preâmbulo</w:t>
      </w:r>
      <w:r>
        <w:rPr>
          <w:rFonts w:ascii="Roboto" w:hAnsi="Roboto" w:cs="Arial"/>
          <w:sz w:val="23"/>
          <w:szCs w:val="23"/>
        </w:rPr>
        <w:t>,</w:t>
      </w:r>
      <w:r>
        <w:rPr>
          <w:rFonts w:ascii="Roboto" w:hAnsi="Roboto" w:cs="Arial"/>
          <w:sz w:val="23"/>
          <w:szCs w:val="23"/>
        </w:rPr>
        <w:t xml:space="preserve"> vez que a respectiva DIRPF só foi entregue a partir de abril do ano calendário seguindo, portanto, há menos de 05 (cinco) anos. </w:t>
      </w:r>
    </w:p>
    <w:p w14:paraId="0D9D95FD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 </w:t>
      </w:r>
    </w:p>
    <w:p w14:paraId="1ED0495E" w14:textId="5F166F1C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600100CF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7A64A979" w14:textId="07B18CB1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  <w:u w:val="single"/>
        </w:rPr>
      </w:pPr>
      <w:r>
        <w:rPr>
          <w:rFonts w:ascii="Roboto" w:hAnsi="Roboto" w:cs="Arial"/>
          <w:b/>
          <w:sz w:val="23"/>
          <w:szCs w:val="23"/>
          <w:u w:val="single"/>
        </w:rPr>
        <w:t>5</w:t>
      </w:r>
      <w:r>
        <w:rPr>
          <w:rFonts w:ascii="Roboto" w:hAnsi="Roboto" w:cs="Arial"/>
          <w:b/>
          <w:sz w:val="23"/>
          <w:szCs w:val="23"/>
          <w:u w:val="single"/>
        </w:rPr>
        <w:t xml:space="preserve"> – DO DIREITO</w:t>
      </w:r>
    </w:p>
    <w:p w14:paraId="3C247188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59D5DE24" w14:textId="5E2D3EC1">
      <w:pPr>
        <w:widowControl w:val="0"/>
        <w:spacing w:line="276" w:lineRule="auto"/>
        <w:ind w:firstLine="1418"/>
        <w:rPr>
          <w:rFonts w:ascii="Roboto" w:hAnsi="Roboto" w:cs="Arial"/>
          <w:b/>
          <w:sz w:val="23"/>
          <w:szCs w:val="23"/>
        </w:rPr>
      </w:pPr>
      <w:r>
        <w:rPr>
          <w:rFonts w:ascii="Roboto" w:hAnsi="Roboto" w:cs="Arial"/>
          <w:b/>
          <w:sz w:val="23"/>
          <w:szCs w:val="23"/>
        </w:rPr>
        <w:t>5</w:t>
      </w:r>
      <w:r>
        <w:rPr>
          <w:rFonts w:ascii="Roboto" w:hAnsi="Roboto" w:cs="Arial"/>
          <w:b/>
          <w:sz w:val="23"/>
          <w:szCs w:val="23"/>
        </w:rPr>
        <w:t>.1</w:t>
      </w:r>
      <w:r>
        <w:rPr>
          <w:rFonts w:ascii="Roboto" w:hAnsi="Roboto" w:cs="Arial"/>
          <w:b/>
          <w:sz w:val="23"/>
          <w:szCs w:val="23"/>
        </w:rPr>
        <w:t xml:space="preserve"> </w:t>
      </w:r>
      <w:r>
        <w:rPr>
          <w:rFonts w:ascii="Roboto" w:hAnsi="Roboto" w:cs="Arial"/>
          <w:b/>
          <w:sz w:val="23"/>
          <w:szCs w:val="23"/>
        </w:rPr>
        <w:t>–</w:t>
      </w:r>
      <w:r>
        <w:rPr>
          <w:rFonts w:ascii="Roboto" w:hAnsi="Roboto" w:cs="Arial"/>
          <w:b/>
          <w:sz w:val="23"/>
          <w:szCs w:val="23"/>
        </w:rPr>
        <w:t xml:space="preserve"> </w:t>
      </w:r>
      <w:r>
        <w:rPr>
          <w:rFonts w:ascii="Roboto" w:hAnsi="Roboto" w:cs="Arial"/>
          <w:b/>
          <w:sz w:val="23"/>
          <w:szCs w:val="23"/>
        </w:rPr>
        <w:t xml:space="preserve">DA </w:t>
      </w:r>
      <w:r>
        <w:rPr>
          <w:rFonts w:ascii="Roboto" w:hAnsi="Roboto" w:cs="Arial"/>
          <w:b/>
          <w:sz w:val="23"/>
          <w:szCs w:val="23"/>
        </w:rPr>
        <w:t>POSSIBILIDADE DE DEDUÇÃO DAS</w:t>
      </w:r>
      <w:r>
        <w:rPr>
          <w:rFonts w:ascii="Roboto" w:hAnsi="Roboto" w:cs="Arial"/>
          <w:b/>
          <w:sz w:val="23"/>
          <w:szCs w:val="23"/>
        </w:rPr>
        <w:t xml:space="preserve"> CONTRIBUIÇÕES EXTRAORDINÁRIAS</w:t>
      </w:r>
      <w:r>
        <w:rPr>
          <w:rFonts w:ascii="Roboto" w:hAnsi="Roboto" w:cs="Arial"/>
          <w:b/>
          <w:sz w:val="23"/>
          <w:szCs w:val="23"/>
        </w:rPr>
        <w:t xml:space="preserve"> DA BASE DE CÁLCULO DO IMPOSTO DE RENDA</w:t>
      </w:r>
    </w:p>
    <w:p w14:paraId="6D74AEA0" w14:textId="305C25FD">
      <w:pPr>
        <w:widowControl w:val="0"/>
        <w:spacing w:line="276" w:lineRule="auto"/>
        <w:ind w:left="1418"/>
        <w:rPr>
          <w:rFonts w:ascii="Roboto" w:hAnsi="Roboto" w:cs="Arial"/>
          <w:sz w:val="23"/>
          <w:szCs w:val="23"/>
        </w:rPr>
      </w:pPr>
    </w:p>
    <w:p w14:paraId="2BE6B284" w14:textId="48F99F56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O r</w:t>
      </w:r>
      <w:r>
        <w:rPr>
          <w:rFonts w:ascii="Roboto" w:hAnsi="Roboto" w:cs="Arial"/>
          <w:sz w:val="23"/>
          <w:szCs w:val="23"/>
        </w:rPr>
        <w:t xml:space="preserve">ecebimento de benefício contratado por meio de Plano de Previdência Privada, tal como o </w:t>
      </w:r>
      <w:r>
        <w:rPr>
          <w:rFonts w:ascii="Roboto" w:hAnsi="Roboto" w:cs="Arial"/>
          <w:sz w:val="23"/>
          <w:szCs w:val="23"/>
        </w:rPr>
        <w:t>Petros I</w:t>
      </w:r>
      <w:r>
        <w:rPr>
          <w:rFonts w:ascii="Roboto" w:hAnsi="Roboto" w:cs="Arial"/>
          <w:sz w:val="23"/>
          <w:szCs w:val="23"/>
        </w:rPr>
        <w:t>, é sustentado com base na constituição de reservas a partir da capitalização das contribuições ordinária</w:t>
      </w:r>
      <w:r>
        <w:rPr>
          <w:rFonts w:ascii="Roboto" w:hAnsi="Roboto" w:cs="Arial"/>
          <w:sz w:val="23"/>
          <w:szCs w:val="23"/>
        </w:rPr>
        <w:t>s</w:t>
      </w:r>
      <w:r>
        <w:rPr>
          <w:rFonts w:ascii="Roboto" w:hAnsi="Roboto" w:cs="Arial"/>
          <w:sz w:val="23"/>
          <w:szCs w:val="23"/>
        </w:rPr>
        <w:t xml:space="preserve"> recolhidas por participantes e patrocinador, conforme dispõe o art. 202 da </w:t>
      </w:r>
      <w:r>
        <w:rPr>
          <w:rFonts w:ascii="Roboto" w:hAnsi="Roboto" w:cs="Arial"/>
          <w:sz w:val="23"/>
          <w:szCs w:val="23"/>
        </w:rPr>
        <w:t>Constituição Federal</w:t>
      </w:r>
      <w:r>
        <w:rPr>
          <w:rFonts w:ascii="Roboto" w:hAnsi="Roboto" w:cs="Arial"/>
          <w:sz w:val="23"/>
          <w:szCs w:val="23"/>
        </w:rPr>
        <w:t>.</w:t>
      </w:r>
      <w:r>
        <w:rPr>
          <w:rFonts w:ascii="Roboto" w:hAnsi="Roboto" w:cs="Arial"/>
          <w:sz w:val="23"/>
          <w:szCs w:val="23"/>
        </w:rPr>
        <w:t xml:space="preserve"> Leia-se</w:t>
      </w:r>
      <w:r>
        <w:rPr>
          <w:rFonts w:ascii="Roboto" w:hAnsi="Roboto" w:cs="Arial"/>
          <w:sz w:val="23"/>
          <w:szCs w:val="23"/>
        </w:rPr>
        <w:t>:</w:t>
      </w:r>
    </w:p>
    <w:p w14:paraId="6CAA1B10" w14:textId="54DD1BFD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4BFCF24D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Art. 202. O regime de previdência privada, de caráter complementar e organizado de forma autônoma em relação ao regime geral de previdência social, será facultativo, baseado na constituição de reservas que garantam o benefício contratado, e regulado por lei complementar. </w:t>
      </w:r>
    </w:p>
    <w:p w14:paraId="64E8FB77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41879765" w14:textId="073A5C06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  </w:t>
      </w:r>
    </w:p>
    <w:p w14:paraId="45498E8D" w14:textId="4B54AFF5">
      <w:pPr>
        <w:widowControl w:val="0"/>
        <w:spacing w:line="276" w:lineRule="auto"/>
        <w:ind w:left="2268"/>
        <w:rPr>
          <w:rFonts w:ascii="Roboto" w:hAnsi="Roboto" w:cs="Arial"/>
          <w:sz w:val="23"/>
          <w:szCs w:val="23"/>
        </w:rPr>
      </w:pPr>
    </w:p>
    <w:p w14:paraId="26B05676" w14:textId="3C213DF6">
      <w:pPr>
        <w:widowControl w:val="0"/>
        <w:spacing w:line="276" w:lineRule="auto"/>
        <w:ind w:left="2268"/>
        <w:rPr>
          <w:rFonts w:ascii="Roboto" w:hAnsi="Roboto" w:cs="Arial"/>
          <w:sz w:val="23"/>
          <w:szCs w:val="23"/>
        </w:rPr>
      </w:pPr>
    </w:p>
    <w:p w14:paraId="7A34E49C" w14:textId="58CC6153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O benefício contratado será formado, portanto, pelas contribuições normais/ordinárias pagas p</w:t>
      </w:r>
      <w:r>
        <w:rPr>
          <w:rFonts w:ascii="Roboto" w:hAnsi="Roboto" w:cs="Arial"/>
          <w:sz w:val="23"/>
          <w:szCs w:val="23"/>
        </w:rPr>
        <w:t>elos</w:t>
      </w:r>
      <w:r>
        <w:rPr>
          <w:rFonts w:ascii="Roboto" w:hAnsi="Roboto" w:cs="Arial"/>
          <w:sz w:val="23"/>
          <w:szCs w:val="23"/>
        </w:rPr>
        <w:t xml:space="preserve"> participantes, que, capitalizadas, devem garantir o recebimento d</w:t>
      </w:r>
      <w:r>
        <w:rPr>
          <w:rFonts w:ascii="Roboto" w:hAnsi="Roboto" w:cs="Arial"/>
          <w:sz w:val="23"/>
          <w:szCs w:val="23"/>
        </w:rPr>
        <w:t>e</w:t>
      </w:r>
      <w:r>
        <w:rPr>
          <w:rFonts w:ascii="Roboto" w:hAnsi="Roboto" w:cs="Arial"/>
          <w:sz w:val="23"/>
          <w:szCs w:val="23"/>
        </w:rPr>
        <w:t xml:space="preserve"> benefício</w:t>
      </w:r>
      <w:r>
        <w:rPr>
          <w:rFonts w:ascii="Roboto" w:hAnsi="Roboto" w:cs="Arial"/>
          <w:sz w:val="23"/>
          <w:szCs w:val="23"/>
        </w:rPr>
        <w:t xml:space="preserve"> previamente pactuado</w:t>
      </w:r>
      <w:r>
        <w:rPr>
          <w:rFonts w:ascii="Roboto" w:hAnsi="Roboto" w:cs="Arial"/>
          <w:sz w:val="23"/>
          <w:szCs w:val="23"/>
        </w:rPr>
        <w:t>.</w:t>
      </w:r>
    </w:p>
    <w:p w14:paraId="6C50576C" w14:textId="6136C9E9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0BC11BDE" w14:textId="2D687F80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Ocorre que</w:t>
      </w:r>
      <w:r>
        <w:rPr>
          <w:rFonts w:ascii="Roboto" w:hAnsi="Roboto" w:cs="Arial"/>
          <w:sz w:val="23"/>
          <w:szCs w:val="23"/>
        </w:rPr>
        <w:t>, em determinadas situações – sobretudo no caso de má gestão financeira dos fundos aportados ao Plano –</w:t>
      </w:r>
      <w:r>
        <w:rPr>
          <w:rFonts w:ascii="Roboto" w:hAnsi="Roboto" w:cs="Arial"/>
          <w:sz w:val="23"/>
          <w:szCs w:val="23"/>
        </w:rPr>
        <w:t xml:space="preserve"> a capitalização das contribuições pode, eventualmente, ficar aquém do necessário para o pagamento dos benefícios </w:t>
      </w:r>
      <w:r>
        <w:rPr>
          <w:rFonts w:ascii="Roboto" w:hAnsi="Roboto" w:cs="Arial"/>
          <w:sz w:val="23"/>
          <w:szCs w:val="23"/>
        </w:rPr>
        <w:t xml:space="preserve">contratados. </w:t>
      </w:r>
    </w:p>
    <w:p w14:paraId="0D2904E3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0DECDD45" w14:textId="7CA661E2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Assim, </w:t>
      </w:r>
      <w:r>
        <w:rPr>
          <w:rFonts w:ascii="Roboto" w:hAnsi="Roboto" w:cs="Arial"/>
          <w:sz w:val="23"/>
          <w:szCs w:val="23"/>
        </w:rPr>
        <w:t>n</w:t>
      </w:r>
      <w:r>
        <w:rPr>
          <w:rFonts w:ascii="Roboto" w:hAnsi="Roboto" w:cs="Arial"/>
          <w:sz w:val="23"/>
          <w:szCs w:val="23"/>
        </w:rPr>
        <w:t xml:space="preserve">essas situações de déficit </w:t>
      </w:r>
      <w:r>
        <w:rPr>
          <w:rFonts w:ascii="Roboto" w:hAnsi="Roboto" w:cs="Arial"/>
          <w:sz w:val="23"/>
          <w:szCs w:val="23"/>
        </w:rPr>
        <w:t>econômico</w:t>
      </w:r>
      <w:r>
        <w:rPr>
          <w:rFonts w:ascii="Roboto" w:hAnsi="Roboto" w:cs="Arial"/>
          <w:sz w:val="23"/>
          <w:szCs w:val="23"/>
        </w:rPr>
        <w:t xml:space="preserve">, </w:t>
      </w:r>
      <w:r>
        <w:rPr>
          <w:rFonts w:ascii="Roboto" w:hAnsi="Roboto" w:cs="Arial"/>
          <w:sz w:val="23"/>
          <w:szCs w:val="23"/>
        </w:rPr>
        <w:t>tem lugar</w:t>
      </w:r>
      <w:r>
        <w:rPr>
          <w:rFonts w:ascii="Roboto" w:hAnsi="Roboto" w:cs="Arial"/>
          <w:sz w:val="23"/>
          <w:szCs w:val="23"/>
        </w:rPr>
        <w:t xml:space="preserve"> o pagamento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>d</w:t>
      </w:r>
      <w:r>
        <w:rPr>
          <w:rFonts w:ascii="Roboto" w:hAnsi="Roboto" w:cs="Arial"/>
          <w:sz w:val="23"/>
          <w:szCs w:val="23"/>
        </w:rPr>
        <w:t xml:space="preserve">as chamadas </w:t>
      </w:r>
      <w:r>
        <w:rPr>
          <w:rFonts w:ascii="Roboto" w:hAnsi="Roboto" w:cs="Arial"/>
          <w:b/>
          <w:bCs/>
          <w:sz w:val="23"/>
          <w:szCs w:val="23"/>
        </w:rPr>
        <w:t>contribuições extraordinárias</w:t>
      </w:r>
      <w:r>
        <w:rPr>
          <w:rFonts w:ascii="Roboto" w:hAnsi="Roboto" w:cs="Arial"/>
          <w:sz w:val="23"/>
          <w:szCs w:val="23"/>
        </w:rPr>
        <w:t>, nos termos do art. 19</w:t>
      </w:r>
      <w:r>
        <w:rPr>
          <w:rFonts w:ascii="Roboto" w:hAnsi="Roboto" w:cs="Arial"/>
          <w:sz w:val="23"/>
          <w:szCs w:val="23"/>
        </w:rPr>
        <w:t>, inc. II</w:t>
      </w:r>
      <w:r>
        <w:rPr>
          <w:rFonts w:ascii="Roboto" w:hAnsi="Roboto" w:cs="Arial"/>
          <w:sz w:val="23"/>
          <w:szCs w:val="23"/>
        </w:rPr>
        <w:t xml:space="preserve"> da Lei Complementar 109/2001,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>que versa sobre o regime de Previdência Complementar:</w:t>
      </w:r>
    </w:p>
    <w:p w14:paraId="6E92E856" w14:textId="14E81DA9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51ED4F78" w14:textId="55D6951A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>Art. 19. As contribuições destinadas à constituição de reservas terão como finalidade prover o pagamento de benefícios de caráter previdenciário, observadas as especificidades previstas nesta Lei Complementar.</w:t>
      </w:r>
    </w:p>
    <w:p w14:paraId="18AC966F" w14:textId="1972532B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>Parágrafo único. As contribuições referidas no caput classificam-se em:</w:t>
      </w:r>
    </w:p>
    <w:p w14:paraId="7C7F8469" w14:textId="5E0EA873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I - </w:t>
      </w:r>
      <w:r>
        <w:rPr>
          <w:rFonts w:ascii="Roboto" w:hAnsi="Roboto" w:cs="Arial"/>
          <w:sz w:val="21"/>
          <w:szCs w:val="21"/>
        </w:rPr>
        <w:t>Normais</w:t>
      </w:r>
      <w:r>
        <w:rPr>
          <w:rFonts w:ascii="Roboto" w:hAnsi="Roboto" w:cs="Arial"/>
          <w:sz w:val="21"/>
          <w:szCs w:val="21"/>
        </w:rPr>
        <w:t>, aquelas destinadas ao custeio dos benefícios previstos no respectivo plano; e</w:t>
      </w:r>
    </w:p>
    <w:p w14:paraId="27C69DF5" w14:textId="64A4FB6C">
      <w:pPr>
        <w:widowControl w:val="0"/>
        <w:spacing w:line="276" w:lineRule="auto"/>
        <w:ind w:left="2268"/>
        <w:rPr>
          <w:rFonts w:ascii="Roboto" w:hAnsi="Roboto" w:cs="Arial"/>
          <w:b/>
          <w:sz w:val="21"/>
          <w:szCs w:val="21"/>
        </w:rPr>
      </w:pPr>
      <w:r>
        <w:rPr>
          <w:rFonts w:ascii="Roboto" w:hAnsi="Roboto" w:cs="Arial"/>
          <w:b/>
          <w:sz w:val="21"/>
          <w:szCs w:val="21"/>
        </w:rPr>
        <w:t xml:space="preserve">II - </w:t>
      </w:r>
      <w:r>
        <w:rPr>
          <w:rFonts w:ascii="Roboto" w:hAnsi="Roboto" w:cs="Arial"/>
          <w:b/>
          <w:sz w:val="21"/>
          <w:szCs w:val="21"/>
        </w:rPr>
        <w:t>Extraordinárias</w:t>
      </w:r>
      <w:r>
        <w:rPr>
          <w:rFonts w:ascii="Roboto" w:hAnsi="Roboto" w:cs="Arial"/>
          <w:b/>
          <w:sz w:val="21"/>
          <w:szCs w:val="21"/>
        </w:rPr>
        <w:t>, aquelas destinadas ao custeio de déficits, serviço passado e outras finalidades não incluídas na contribuição normal.</w:t>
      </w:r>
    </w:p>
    <w:p w14:paraId="005B5E96" w14:textId="4C485936">
      <w:pPr>
        <w:widowControl w:val="0"/>
        <w:spacing w:line="276" w:lineRule="auto"/>
        <w:ind w:left="2268"/>
        <w:rPr>
          <w:rFonts w:ascii="Roboto" w:hAnsi="Roboto" w:cs="Arial"/>
          <w:b/>
          <w:sz w:val="21"/>
          <w:szCs w:val="21"/>
        </w:rPr>
      </w:pPr>
    </w:p>
    <w:p w14:paraId="563015C6" w14:textId="34C0A4CB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>(</w:t>
      </w:r>
      <w:r>
        <w:rPr>
          <w:rFonts w:ascii="Roboto" w:hAnsi="Roboto" w:cs="Arial"/>
          <w:b/>
          <w:sz w:val="21"/>
          <w:szCs w:val="21"/>
        </w:rPr>
        <w:t xml:space="preserve">negrito </w:t>
      </w:r>
      <w:r>
        <w:rPr>
          <w:rFonts w:ascii="Roboto" w:hAnsi="Roboto" w:cs="Arial"/>
          <w:sz w:val="21"/>
          <w:szCs w:val="21"/>
        </w:rPr>
        <w:t>não original)</w:t>
      </w:r>
    </w:p>
    <w:p w14:paraId="5D7EC893" w14:textId="63E19E85">
      <w:pPr>
        <w:widowControl w:val="0"/>
        <w:spacing w:line="276" w:lineRule="auto"/>
        <w:ind w:left="2268"/>
        <w:rPr>
          <w:rFonts w:ascii="Roboto" w:hAnsi="Roboto" w:cs="Arial"/>
          <w:sz w:val="23"/>
          <w:szCs w:val="23"/>
        </w:rPr>
      </w:pPr>
    </w:p>
    <w:p w14:paraId="618B3C77" w14:textId="77777777">
      <w:pPr>
        <w:widowControl w:val="0"/>
        <w:spacing w:line="276" w:lineRule="auto"/>
        <w:ind w:left="2268"/>
        <w:rPr>
          <w:rFonts w:ascii="Roboto" w:hAnsi="Roboto" w:cs="Arial"/>
          <w:b/>
          <w:sz w:val="23"/>
          <w:szCs w:val="23"/>
        </w:rPr>
      </w:pPr>
    </w:p>
    <w:p w14:paraId="3F444281" w14:textId="4E202D82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Portanto</w:t>
      </w:r>
      <w:r>
        <w:rPr>
          <w:rFonts w:ascii="Roboto" w:hAnsi="Roboto" w:cs="Arial"/>
          <w:sz w:val="23"/>
          <w:szCs w:val="23"/>
        </w:rPr>
        <w:t xml:space="preserve">, as contribuições que são destinadas à constituição de reserva matemática para atender às peculiaridades de cada plano de benefícios são classificadas em comuns e extraordinárias, ou seja, todo o valor que a entidade previdência privada recebe oriundo das contribuições, sejam as normais sejam as extraordinárias, se destina, obrigatoriamente, à formação </w:t>
      </w:r>
      <w:r>
        <w:rPr>
          <w:rFonts w:ascii="Roboto" w:hAnsi="Roboto" w:cs="Arial"/>
          <w:sz w:val="23"/>
          <w:szCs w:val="23"/>
        </w:rPr>
        <w:t>das</w:t>
      </w:r>
      <w:r>
        <w:rPr>
          <w:rFonts w:ascii="Roboto" w:hAnsi="Roboto" w:cs="Arial"/>
          <w:sz w:val="23"/>
          <w:szCs w:val="23"/>
        </w:rPr>
        <w:t xml:space="preserve"> reservas técnicas, provisões e fundos.</w:t>
      </w:r>
    </w:p>
    <w:p w14:paraId="6A24E5FF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08155CAA" w14:textId="3EB137D2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Consoante exposto, a</w:t>
      </w:r>
      <w:r>
        <w:rPr>
          <w:rFonts w:ascii="Roboto" w:hAnsi="Roboto" w:cs="Arial"/>
          <w:sz w:val="23"/>
          <w:szCs w:val="23"/>
        </w:rPr>
        <w:t xml:space="preserve"> legislação tributária já prevê a possibilidade de dedução das contribuições para previdência complementar da base de cálculo do IRPF. </w:t>
      </w:r>
    </w:p>
    <w:p w14:paraId="672D839E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0640B21B" w14:textId="5AF7BFE1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Nesse sentido, os</w:t>
      </w:r>
      <w:r>
        <w:rPr>
          <w:rFonts w:ascii="Roboto" w:hAnsi="Roboto" w:cs="Arial"/>
          <w:sz w:val="23"/>
          <w:szCs w:val="23"/>
        </w:rPr>
        <w:t xml:space="preserve"> art</w:t>
      </w:r>
      <w:r>
        <w:rPr>
          <w:rFonts w:ascii="Roboto" w:hAnsi="Roboto" w:cs="Arial"/>
          <w:sz w:val="23"/>
          <w:szCs w:val="23"/>
        </w:rPr>
        <w:t>s</w:t>
      </w:r>
      <w:r>
        <w:rPr>
          <w:rFonts w:ascii="Roboto" w:hAnsi="Roboto" w:cs="Arial"/>
          <w:sz w:val="23"/>
          <w:szCs w:val="23"/>
        </w:rPr>
        <w:t>. 11 da Lei nº 9.532/97</w:t>
      </w:r>
      <w:r>
        <w:rPr>
          <w:rFonts w:ascii="Roboto" w:hAnsi="Roboto" w:cs="Arial"/>
          <w:sz w:val="23"/>
          <w:szCs w:val="23"/>
        </w:rPr>
        <w:t xml:space="preserve"> e </w:t>
      </w:r>
      <w:r>
        <w:rPr>
          <w:rFonts w:ascii="Roboto" w:hAnsi="Roboto" w:cs="Arial"/>
          <w:sz w:val="23"/>
          <w:szCs w:val="23"/>
        </w:rPr>
        <w:t>o</w:t>
      </w:r>
      <w:r>
        <w:rPr>
          <w:rFonts w:ascii="Roboto" w:hAnsi="Roboto" w:cs="Arial"/>
          <w:sz w:val="23"/>
          <w:szCs w:val="23"/>
        </w:rPr>
        <w:t>s</w:t>
      </w:r>
      <w:r>
        <w:rPr>
          <w:rFonts w:ascii="Roboto" w:hAnsi="Roboto" w:cs="Arial"/>
          <w:sz w:val="23"/>
          <w:szCs w:val="23"/>
        </w:rPr>
        <w:t xml:space="preserve"> art</w:t>
      </w:r>
      <w:r>
        <w:rPr>
          <w:rFonts w:ascii="Roboto" w:hAnsi="Roboto" w:cs="Arial"/>
          <w:sz w:val="23"/>
          <w:szCs w:val="23"/>
        </w:rPr>
        <w:t>s</w:t>
      </w:r>
      <w:r>
        <w:rPr>
          <w:rFonts w:ascii="Roboto" w:hAnsi="Roboto" w:cs="Arial"/>
          <w:sz w:val="23"/>
          <w:szCs w:val="23"/>
        </w:rPr>
        <w:t xml:space="preserve">. </w:t>
      </w:r>
      <w:r>
        <w:rPr>
          <w:rFonts w:ascii="Roboto" w:hAnsi="Roboto" w:cs="Arial"/>
          <w:sz w:val="23"/>
          <w:szCs w:val="23"/>
        </w:rPr>
        <w:t xml:space="preserve">4º e </w:t>
      </w:r>
      <w:r>
        <w:rPr>
          <w:rFonts w:ascii="Roboto" w:hAnsi="Roboto" w:cs="Arial"/>
          <w:sz w:val="23"/>
          <w:szCs w:val="23"/>
        </w:rPr>
        <w:t>8º da Lei nº 9.250/95, estabelece</w:t>
      </w:r>
      <w:r>
        <w:rPr>
          <w:rFonts w:ascii="Roboto" w:hAnsi="Roboto" w:cs="Arial"/>
          <w:sz w:val="23"/>
          <w:szCs w:val="23"/>
        </w:rPr>
        <w:t>m</w:t>
      </w:r>
      <w:r>
        <w:rPr>
          <w:rFonts w:ascii="Roboto" w:hAnsi="Roboto" w:cs="Arial"/>
          <w:sz w:val="23"/>
          <w:szCs w:val="23"/>
        </w:rPr>
        <w:t xml:space="preserve"> que:</w:t>
      </w:r>
    </w:p>
    <w:p w14:paraId="7AFD792A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59B39FDC" w14:textId="60099DC3">
      <w:pPr>
        <w:widowControl w:val="0"/>
        <w:spacing w:line="276" w:lineRule="auto"/>
        <w:ind w:left="2268"/>
        <w:rPr>
          <w:rFonts w:ascii="Roboto" w:hAnsi="Roboto" w:cs="Arial"/>
          <w:b/>
          <w:bCs/>
          <w:sz w:val="21"/>
          <w:szCs w:val="21"/>
          <w:u w:val="single"/>
        </w:rPr>
      </w:pPr>
      <w:r>
        <w:rPr>
          <w:rFonts w:ascii="Roboto" w:hAnsi="Roboto" w:cs="Arial"/>
          <w:b/>
          <w:sz w:val="23"/>
          <w:szCs w:val="23"/>
          <w:u w:val="single"/>
        </w:rPr>
        <w:t>Lei nº 9.532/97</w:t>
      </w:r>
    </w:p>
    <w:p w14:paraId="73FD85F9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4A4DCD29" w14:textId="5B0899B4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Art. 11. O contribuinte poderá deduzir do rendimento bruto as importâncias pagas a título de pensão alimentícia ou com prestação de alimentos provisionais, em face das normas do Direito de Família, quando em cumprimento de decisão judicial ou acordo homologado judicialmente, inclusive a prestação de alimentos provisionais, e as contribuições para as entidades de previdência privada domiciliadas no País, cujo ônus tenha sido do próprio contribuinte e destinadas a custear </w:t>
      </w:r>
      <w:r>
        <w:rPr>
          <w:rFonts w:ascii="Roboto" w:hAnsi="Roboto" w:cs="Arial"/>
          <w:sz w:val="21"/>
          <w:szCs w:val="21"/>
        </w:rPr>
        <w:t>benefícios complementares assemelhados aos da Previdência Social.</w:t>
      </w:r>
    </w:p>
    <w:p w14:paraId="25C47CC1" w14:textId="1C5C9D6F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>Parágrafo único. O valor total das deduções a que se refere este artigo não poderá exceder a 12% (doze por cento) do total dos rendimentos computados na determinação da base de cálculo do imposto devido na declaração de rendimentos.</w:t>
      </w:r>
    </w:p>
    <w:p w14:paraId="40AF7E5B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01D886BD" w14:textId="77777777">
      <w:pPr>
        <w:widowControl w:val="0"/>
        <w:spacing w:line="276" w:lineRule="auto"/>
        <w:ind w:left="2268"/>
        <w:rPr>
          <w:rFonts w:ascii="Roboto" w:hAnsi="Roboto" w:cs="Arial"/>
          <w:b/>
          <w:bCs/>
          <w:sz w:val="21"/>
          <w:szCs w:val="21"/>
          <w:u w:val="single"/>
        </w:rPr>
      </w:pPr>
      <w:r>
        <w:rPr>
          <w:rFonts w:ascii="Roboto" w:hAnsi="Roboto" w:cs="Arial"/>
          <w:b/>
          <w:bCs/>
          <w:sz w:val="21"/>
          <w:szCs w:val="21"/>
          <w:u w:val="single"/>
        </w:rPr>
        <w:t xml:space="preserve">Lei nº 9.250/95: </w:t>
      </w:r>
    </w:p>
    <w:p w14:paraId="6AB5BA0E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58AF8A2C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Art. 4º. Na determinação da base de cálculo sujeita à incidência mensal do imposto de renda poderão ser deduzidas: [..] </w:t>
      </w:r>
    </w:p>
    <w:p w14:paraId="615497B8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V - as contribuições para as entidades de previdência privada domiciliadas no País, cujo ônus tenha sido do contribuinte, destinadas a custear benefícios complementares assemelhados aos da Previdência Social; [...] </w:t>
      </w:r>
    </w:p>
    <w:p w14:paraId="054D509A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0219E6DC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>Art. 8º A base de cálculo do imposto devido no ano-calendário será a diferença entre assomas: I</w:t>
      </w:r>
    </w:p>
    <w:p w14:paraId="36BA4144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 - de todos os rendimentos percebidos durante o ano-calendário, exceto os isentos, os não-tributáveis, os tributáveis exclusivamente na fonte e os sujeitos à tributação definitiva; </w:t>
      </w:r>
    </w:p>
    <w:p w14:paraId="2266A227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II - das deduções relativas: [...] </w:t>
      </w:r>
    </w:p>
    <w:p w14:paraId="5667717B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e) às contribuições para as entidades de previdência privada domiciliadas no País, cujo ônus tenha sido do contribuinte, destinadas a custear benefícios complementares assemelhados aos da Previdência Social; </w:t>
      </w:r>
    </w:p>
    <w:p w14:paraId="3C4017A9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</w:p>
    <w:p w14:paraId="0D679617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16D97152" w14:textId="47482A8B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Logo, </w:t>
      </w:r>
      <w:r>
        <w:rPr>
          <w:rFonts w:ascii="Roboto" w:hAnsi="Roboto" w:cs="Arial"/>
          <w:sz w:val="23"/>
          <w:szCs w:val="23"/>
        </w:rPr>
        <w:t>faz-se nítido que a parcela atinente à contribuiç</w:t>
      </w:r>
      <w:r>
        <w:rPr>
          <w:rFonts w:ascii="Roboto" w:hAnsi="Roboto" w:cs="Arial"/>
          <w:sz w:val="23"/>
          <w:szCs w:val="23"/>
        </w:rPr>
        <w:t>ão</w:t>
      </w:r>
      <w:r>
        <w:rPr>
          <w:rFonts w:ascii="Roboto" w:hAnsi="Roboto" w:cs="Arial"/>
          <w:sz w:val="23"/>
          <w:szCs w:val="23"/>
        </w:rPr>
        <w:t xml:space="preserve"> extraordinária há de ser deduzida da base de cálculo do IRPF retido e cobrado do Autor</w:t>
      </w:r>
      <w:r>
        <w:rPr>
          <w:rFonts w:ascii="Roboto" w:hAnsi="Roboto" w:cs="Arial"/>
          <w:sz w:val="23"/>
          <w:szCs w:val="23"/>
        </w:rPr>
        <w:t>, no limite de 12%</w:t>
      </w:r>
    </w:p>
    <w:p w14:paraId="1FB34CA6" w14:textId="3C904A1E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067828DF" w14:textId="680AE37B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Apesar disso</w:t>
      </w:r>
      <w:r>
        <w:rPr>
          <w:rFonts w:ascii="Roboto" w:hAnsi="Roboto" w:cs="Arial"/>
          <w:sz w:val="23"/>
          <w:szCs w:val="23"/>
        </w:rPr>
        <w:t xml:space="preserve">, </w:t>
      </w:r>
      <w:r>
        <w:rPr>
          <w:rFonts w:ascii="Roboto" w:hAnsi="Roboto" w:cs="Arial"/>
          <w:sz w:val="23"/>
          <w:szCs w:val="23"/>
        </w:rPr>
        <w:t xml:space="preserve">a </w:t>
      </w:r>
      <w:r>
        <w:rPr>
          <w:rFonts w:ascii="Roboto" w:hAnsi="Roboto" w:cs="Arial"/>
          <w:sz w:val="23"/>
          <w:szCs w:val="23"/>
        </w:rPr>
        <w:t xml:space="preserve">Ré, por meio da </w:t>
      </w:r>
      <w:r>
        <w:rPr>
          <w:rFonts w:ascii="Roboto" w:hAnsi="Roboto" w:cs="Arial"/>
          <w:sz w:val="23"/>
          <w:szCs w:val="23"/>
        </w:rPr>
        <w:t>Receita Federal do Brasil</w:t>
      </w:r>
      <w:r>
        <w:rPr>
          <w:rFonts w:ascii="Roboto" w:hAnsi="Roboto" w:cs="Arial"/>
          <w:sz w:val="23"/>
          <w:szCs w:val="23"/>
        </w:rPr>
        <w:t>, vem vedando</w:t>
      </w:r>
      <w:r>
        <w:rPr>
          <w:rFonts w:ascii="Roboto" w:hAnsi="Roboto" w:cs="Arial"/>
          <w:sz w:val="23"/>
          <w:szCs w:val="23"/>
        </w:rPr>
        <w:t xml:space="preserve"> a dedução das referidas contribuições da base de cálculo do Imposto de Renda, conforme se lê da Solução de Consulta COSIT nº 354/2017:</w:t>
      </w:r>
    </w:p>
    <w:p w14:paraId="39CDB577" w14:textId="23B75732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6D605A53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>ASSUNTO: IMPOSTO SOBRE A RENDA DE PESSOA FÍSICA - IRPF</w:t>
      </w:r>
      <w:r>
        <w:rPr>
          <w:rFonts w:ascii="Roboto" w:hAnsi="Roboto" w:cs="Arial"/>
          <w:sz w:val="21"/>
          <w:szCs w:val="21"/>
        </w:rPr>
        <w:br/>
      </w:r>
      <w:r>
        <w:rPr>
          <w:rFonts w:ascii="Roboto" w:hAnsi="Roboto" w:cs="Arial"/>
          <w:sz w:val="21"/>
          <w:szCs w:val="21"/>
        </w:rPr>
        <w:t>EMENTA: CONTRIBUIÇÃO EXTRAORDINÁRIA A PLANO FECHADO DE PREVIDÊNCIA COMPLEMENTAR. INDEDUTIBILIDADE.</w:t>
      </w:r>
    </w:p>
    <w:p w14:paraId="708D58EF" w14:textId="247612D9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>As contribuições extraordinárias, ou seja, aquelas que se destinam ao custeio de déficit, serviço passado e outras finalidades não incluídas na Contribuição normal, às entidades fechadas de previdência complementar, não são dedutíveis da base de cálculo do imposto sobre a renda de pessoa física.</w:t>
      </w:r>
    </w:p>
    <w:p w14:paraId="09C0F155" w14:textId="77777777">
      <w:pPr>
        <w:widowControl w:val="0"/>
        <w:spacing w:line="276" w:lineRule="auto"/>
        <w:ind w:left="2268"/>
        <w:rPr>
          <w:rFonts w:ascii="Roboto" w:hAnsi="Roboto" w:cs="Arial"/>
          <w:sz w:val="21"/>
          <w:szCs w:val="21"/>
        </w:rPr>
      </w:pPr>
      <w:r>
        <w:rPr>
          <w:rFonts w:ascii="Roboto" w:hAnsi="Roboto" w:cs="Arial"/>
          <w:sz w:val="21"/>
          <w:szCs w:val="21"/>
        </w:rPr>
        <w:t xml:space="preserve">DISPOSITIVOS LEGAIS: Constituição Federal (com a redação dada pela </w:t>
      </w:r>
      <w:r>
        <w:rPr>
          <w:rFonts w:ascii="Roboto" w:hAnsi="Roboto" w:cs="Arial"/>
          <w:sz w:val="21"/>
          <w:szCs w:val="21"/>
        </w:rPr>
        <w:t>Emenda Constitucional n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 xml:space="preserve"> 3, de 17 de março de 1993), art. 150, § 6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>; Lei Complementar n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 xml:space="preserve"> 108, de 29 de maio de 2001, art. 6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>; Lei Complementar n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 xml:space="preserve"> 109, de 29 de maio de 2001, arts. 18 a 21, 68 e 69; Lei n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 xml:space="preserve"> 9.250, de 26 de dezembro de 1995, arts. 4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>, inciso V, e, 8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>, incisos I e II, alínea e; Lei n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 xml:space="preserve"> 9.532, de 10 de dezembro de 1997, art. 11; Instrução Normativa SRF n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 xml:space="preserve"> 588, de 21 de dezembro de 2005, art. 6</w:t>
      </w:r>
      <w:r>
        <w:rPr>
          <w:rFonts w:ascii="Roboto" w:hAnsi="Roboto" w:cs="Arial"/>
          <w:strike/>
          <w:sz w:val="21"/>
          <w:szCs w:val="21"/>
        </w:rPr>
        <w:t>º</w:t>
      </w:r>
      <w:r>
        <w:rPr>
          <w:rFonts w:ascii="Roboto" w:hAnsi="Roboto" w:cs="Arial"/>
          <w:sz w:val="21"/>
          <w:szCs w:val="21"/>
        </w:rPr>
        <w:t>.</w:t>
      </w:r>
    </w:p>
    <w:p w14:paraId="4B98DF26" w14:textId="3694E925">
      <w:pPr>
        <w:widowControl w:val="0"/>
        <w:spacing w:line="276" w:lineRule="auto"/>
        <w:ind w:left="226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br/>
      </w:r>
    </w:p>
    <w:p w14:paraId="078449E9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7A4A4DBA" w14:textId="04634409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Tal significa que a retenção do IRPF sobre o contracheque mensal do Autor </w:t>
      </w:r>
      <w:r>
        <w:rPr>
          <w:rFonts w:ascii="Roboto" w:hAnsi="Roboto" w:cs="Arial"/>
          <w:sz w:val="23"/>
          <w:szCs w:val="23"/>
        </w:rPr>
        <w:t xml:space="preserve">está </w:t>
      </w:r>
      <w:r>
        <w:rPr>
          <w:rFonts w:ascii="Roboto" w:hAnsi="Roboto" w:cs="Arial"/>
          <w:sz w:val="23"/>
          <w:szCs w:val="23"/>
        </w:rPr>
        <w:t>incid</w:t>
      </w:r>
      <w:r>
        <w:rPr>
          <w:rFonts w:ascii="Roboto" w:hAnsi="Roboto" w:cs="Arial"/>
          <w:sz w:val="23"/>
          <w:szCs w:val="23"/>
        </w:rPr>
        <w:t>indo</w:t>
      </w:r>
      <w:r>
        <w:rPr>
          <w:rFonts w:ascii="Roboto" w:hAnsi="Roboto" w:cs="Arial"/>
          <w:sz w:val="23"/>
          <w:szCs w:val="23"/>
        </w:rPr>
        <w:t xml:space="preserve"> integralmente sobre as contribuições, </w:t>
      </w:r>
      <w:r>
        <w:rPr>
          <w:rFonts w:ascii="Roboto" w:hAnsi="Roboto" w:cs="Arial"/>
          <w:sz w:val="23"/>
          <w:szCs w:val="23"/>
        </w:rPr>
        <w:t>que também não podem ser deduzidas por ocasião da Declaração de Ajuste.</w:t>
      </w:r>
    </w:p>
    <w:p w14:paraId="3500B7FA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5627162D" w14:textId="43900EC0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Dada conjuntura, no entanto, se </w:t>
      </w:r>
      <w:r>
        <w:rPr>
          <w:rFonts w:ascii="Roboto" w:hAnsi="Roboto" w:cs="Arial"/>
          <w:sz w:val="23"/>
          <w:szCs w:val="23"/>
        </w:rPr>
        <w:t>mostra absurda</w:t>
      </w:r>
      <w:r>
        <w:rPr>
          <w:rFonts w:ascii="Roboto" w:hAnsi="Roboto" w:cs="Arial"/>
          <w:sz w:val="23"/>
          <w:szCs w:val="23"/>
        </w:rPr>
        <w:t xml:space="preserve">, vez que, repita-se, os rendimentos de aposentadoria são formados </w:t>
      </w:r>
      <w:r>
        <w:rPr>
          <w:rFonts w:ascii="Roboto" w:hAnsi="Roboto" w:cs="Arial"/>
          <w:sz w:val="23"/>
          <w:szCs w:val="23"/>
        </w:rPr>
        <w:t>t</w:t>
      </w:r>
      <w:r>
        <w:rPr>
          <w:rFonts w:ascii="Roboto" w:hAnsi="Roboto" w:cs="Arial"/>
          <w:sz w:val="23"/>
          <w:szCs w:val="23"/>
        </w:rPr>
        <w:t>anto p</w:t>
      </w:r>
      <w:r>
        <w:rPr>
          <w:rFonts w:ascii="Roboto" w:hAnsi="Roboto" w:cs="Arial"/>
          <w:sz w:val="23"/>
          <w:szCs w:val="23"/>
        </w:rPr>
        <w:t>elo pagamento das contribuições normais/ordinárias</w:t>
      </w:r>
      <w:r>
        <w:rPr>
          <w:rFonts w:ascii="Roboto" w:hAnsi="Roboto" w:cs="Arial"/>
          <w:sz w:val="23"/>
          <w:szCs w:val="23"/>
        </w:rPr>
        <w:t xml:space="preserve"> quanto d</w:t>
      </w:r>
      <w:r>
        <w:rPr>
          <w:rFonts w:ascii="Roboto" w:hAnsi="Roboto" w:cs="Arial"/>
          <w:sz w:val="23"/>
          <w:szCs w:val="23"/>
        </w:rPr>
        <w:t>as contribuições extraordinárias</w:t>
      </w:r>
      <w:r>
        <w:rPr>
          <w:rFonts w:ascii="Roboto" w:hAnsi="Roboto" w:cs="Arial"/>
          <w:sz w:val="23"/>
          <w:szCs w:val="23"/>
        </w:rPr>
        <w:t>.</w:t>
      </w:r>
    </w:p>
    <w:p w14:paraId="132B62D3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36474B78" w14:textId="5144A094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Importa mais uma vez destacar que</w:t>
      </w:r>
      <w:r>
        <w:rPr>
          <w:rFonts w:ascii="Roboto" w:hAnsi="Roboto" w:cs="Arial"/>
          <w:sz w:val="23"/>
          <w:szCs w:val="23"/>
        </w:rPr>
        <w:t xml:space="preserve"> o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 xml:space="preserve">STJ, ao julgar o Tema 1224, interpretou </w:t>
      </w:r>
      <w:r>
        <w:rPr>
          <w:rFonts w:ascii="Roboto" w:hAnsi="Roboto" w:cs="Arial"/>
          <w:sz w:val="23"/>
          <w:szCs w:val="23"/>
        </w:rPr>
        <w:t>a</w:t>
      </w:r>
      <w:r>
        <w:rPr>
          <w:rFonts w:ascii="Roboto" w:hAnsi="Roboto" w:cs="Arial"/>
          <w:sz w:val="23"/>
          <w:szCs w:val="23"/>
        </w:rPr>
        <w:t xml:space="preserve"> legislação de forma a abranger também </w:t>
      </w:r>
      <w:r>
        <w:rPr>
          <w:rFonts w:ascii="Roboto" w:hAnsi="Roboto" w:cs="Arial"/>
          <w:sz w:val="23"/>
          <w:szCs w:val="23"/>
        </w:rPr>
        <w:t>as</w:t>
      </w:r>
      <w:r>
        <w:rPr>
          <w:rFonts w:ascii="Roboto" w:hAnsi="Roboto" w:cs="Arial"/>
          <w:sz w:val="23"/>
          <w:szCs w:val="23"/>
        </w:rPr>
        <w:t xml:space="preserve"> contribuições extraordinárias, reconhecendo que elas se enquadram no conceito de contribuições para as entidades de previdência privada previsto na legislação, devendo, portanto, ser dedutíveis até o limite de 12</w:t>
      </w:r>
      <w:r>
        <w:rPr>
          <w:rFonts w:ascii="Roboto" w:hAnsi="Roboto" w:cs="Arial"/>
          <w:sz w:val="23"/>
          <w:szCs w:val="23"/>
        </w:rPr>
        <w:t>%.</w:t>
      </w:r>
    </w:p>
    <w:p w14:paraId="13D207A4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É possível deduzir, da base de cálculo do Imposto de Renda da Pessoa Física - IRPF, os valores vertidos a título de contribuições extraordinárias para a entidade fechada de previdência complementar, observando-se o limite de 12% do total dos rendimentos computados na determinação da base de cálculo do imposto devido na declaração de rendimentos, nos termos da Lei Complementar n. 109/2001 e das Leis n. 9.250/1995 e 9.532/1997.</w:t>
      </w:r>
    </w:p>
    <w:p w14:paraId="7B7BEC93" w14:textId="77777777">
      <w:pPr>
        <w:widowControl w:val="0"/>
        <w:spacing w:line="276" w:lineRule="auto"/>
        <w:ind w:left="2268"/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</w:pPr>
      <w:r>
        <w:rPr>
          <w:rStyle w:val="normaltextrun"/>
          <w:rFonts w:ascii="Roboto" w:hAnsi="Roboto" w:eastAsia="Times New Roman" w:cs="Segoe UI"/>
          <w:sz w:val="21"/>
          <w:szCs w:val="21"/>
          <w:lang w:eastAsia="pt-BR"/>
        </w:rPr>
        <w:t>(1ª Seção do STJ. Tema Repetitivo 124. Processo: REsps 2.043.775; 2.050.635 e 2.051.367. Julgamento em 12/11/2025)</w:t>
      </w:r>
    </w:p>
    <w:p w14:paraId="6B4D04AB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734A6477" w14:textId="77777777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</w:p>
    <w:p w14:paraId="11459965" w14:textId="271B64DC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Portanto, havendo </w:t>
      </w:r>
      <w:r>
        <w:rPr>
          <w:rFonts w:ascii="Roboto" w:hAnsi="Roboto" w:cs="Arial"/>
          <w:sz w:val="23"/>
          <w:szCs w:val="23"/>
        </w:rPr>
        <w:t>o</w:t>
      </w:r>
      <w:r>
        <w:rPr>
          <w:rFonts w:ascii="Roboto" w:hAnsi="Roboto" w:cs="Arial"/>
          <w:sz w:val="23"/>
          <w:szCs w:val="23"/>
        </w:rPr>
        <w:t xml:space="preserve"> </w:t>
      </w:r>
      <w:r>
        <w:rPr>
          <w:rFonts w:ascii="Roboto" w:hAnsi="Roboto" w:cs="Arial"/>
          <w:sz w:val="23"/>
          <w:szCs w:val="23"/>
        </w:rPr>
        <w:t>STJ</w:t>
      </w:r>
      <w:r>
        <w:rPr>
          <w:rFonts w:ascii="Roboto" w:hAnsi="Roboto" w:cs="Arial"/>
          <w:sz w:val="23"/>
          <w:szCs w:val="23"/>
        </w:rPr>
        <w:t xml:space="preserve"> consolidado o posicionamento ora defendido, a questão não comporta maiores digressões, pelo que </w:t>
      </w:r>
      <w:r>
        <w:rPr>
          <w:rFonts w:ascii="Roboto" w:hAnsi="Roboto" w:cs="Arial"/>
          <w:sz w:val="23"/>
          <w:szCs w:val="23"/>
        </w:rPr>
        <w:t xml:space="preserve">os pagamentos efetuados pelo Autor a título de contribuições extraordinárias ao </w:t>
      </w:r>
      <w:r>
        <w:rPr>
          <w:rFonts w:ascii="Roboto" w:hAnsi="Roboto" w:cs="Arial"/>
          <w:sz w:val="23"/>
          <w:szCs w:val="23"/>
        </w:rPr>
        <w:t>Petros I</w:t>
      </w:r>
      <w:r>
        <w:rPr>
          <w:rFonts w:ascii="Roboto" w:hAnsi="Roboto" w:cs="Arial"/>
          <w:sz w:val="23"/>
          <w:szCs w:val="23"/>
        </w:rPr>
        <w:t xml:space="preserve"> devem ser deduzidos da base de cálculo do IRPF do Autor, </w:t>
      </w:r>
      <w:r>
        <w:rPr>
          <w:rFonts w:ascii="Roboto" w:hAnsi="Roboto" w:cs="Arial"/>
          <w:sz w:val="23"/>
          <w:szCs w:val="23"/>
        </w:rPr>
        <w:t>observando</w:t>
      </w:r>
      <w:r>
        <w:rPr>
          <w:rFonts w:ascii="Roboto" w:hAnsi="Roboto" w:cs="Arial"/>
          <w:sz w:val="23"/>
          <w:szCs w:val="23"/>
        </w:rPr>
        <w:t xml:space="preserve">-se o limite legal de 12% estabelecido pelo </w:t>
      </w:r>
      <w:r>
        <w:rPr>
          <w:rFonts w:ascii="Roboto" w:hAnsi="Roboto" w:cs="Arial"/>
          <w:sz w:val="23"/>
          <w:szCs w:val="23"/>
        </w:rPr>
        <w:t>artigo</w:t>
      </w:r>
      <w:r>
        <w:rPr>
          <w:rFonts w:ascii="Roboto" w:hAnsi="Roboto" w:cs="Arial"/>
          <w:sz w:val="23"/>
          <w:szCs w:val="23"/>
        </w:rPr>
        <w:t xml:space="preserve"> 11 da Lei </w:t>
      </w:r>
      <w:r>
        <w:rPr>
          <w:rFonts w:ascii="Roboto" w:hAnsi="Roboto" w:cs="Arial"/>
          <w:sz w:val="23"/>
          <w:szCs w:val="23"/>
        </w:rPr>
        <w:t xml:space="preserve">n. </w:t>
      </w:r>
      <w:r>
        <w:rPr>
          <w:rFonts w:ascii="Roboto" w:hAnsi="Roboto" w:cs="Arial"/>
          <w:sz w:val="23"/>
          <w:szCs w:val="23"/>
        </w:rPr>
        <w:t>9.532</w:t>
      </w:r>
      <w:r>
        <w:rPr>
          <w:rFonts w:ascii="Roboto" w:hAnsi="Roboto" w:cs="Arial"/>
          <w:sz w:val="23"/>
          <w:szCs w:val="23"/>
        </w:rPr>
        <w:t xml:space="preserve"> de 10 de dezembro de </w:t>
      </w:r>
      <w:r>
        <w:rPr>
          <w:rFonts w:ascii="Roboto" w:hAnsi="Roboto" w:cs="Arial"/>
          <w:sz w:val="23"/>
          <w:szCs w:val="23"/>
        </w:rPr>
        <w:t>1997</w:t>
      </w:r>
      <w:r>
        <w:rPr>
          <w:rFonts w:ascii="Roboto" w:hAnsi="Roboto" w:cs="Arial"/>
          <w:sz w:val="23"/>
          <w:szCs w:val="23"/>
        </w:rPr>
        <w:t>.</w:t>
      </w:r>
      <w:r>
        <w:rPr>
          <w:rFonts w:ascii="Roboto" w:hAnsi="Roboto" w:cs="Arial"/>
          <w:sz w:val="23"/>
          <w:szCs w:val="23"/>
        </w:rPr>
        <w:t>,</w:t>
      </w:r>
      <w:r>
        <w:rPr>
          <w:rFonts w:ascii="Roboto" w:hAnsi="Roboto" w:cs="Arial"/>
          <w:sz w:val="23"/>
          <w:szCs w:val="23"/>
        </w:rPr>
        <w:t xml:space="preserve"> impondo-se o acolhimento da pretensão ora delineada.</w:t>
      </w:r>
    </w:p>
    <w:p w14:paraId="361A65A0" w14:textId="77777777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</w:p>
    <w:p w14:paraId="65768148" w14:textId="4BB02A38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/>
          <w:bCs/>
          <w:sz w:val="23"/>
          <w:szCs w:val="23"/>
          <w:lang w:eastAsia="pt-BR"/>
        </w:rPr>
      </w:pPr>
      <w:r>
        <w:rPr>
          <w:rFonts w:ascii="Roboto" w:hAnsi="Roboto" w:cs="Arial"/>
          <w:b/>
          <w:bCs/>
          <w:sz w:val="23"/>
          <w:szCs w:val="23"/>
          <w:lang w:eastAsia="pt-BR"/>
        </w:rPr>
        <w:t>5</w:t>
      </w:r>
      <w:r>
        <w:rPr>
          <w:rFonts w:ascii="Roboto" w:hAnsi="Roboto" w:cs="Arial"/>
          <w:b/>
          <w:bCs/>
          <w:sz w:val="23"/>
          <w:szCs w:val="23"/>
          <w:lang w:eastAsia="pt-BR"/>
        </w:rPr>
        <w:t>.2 – DO DIREITO DO AUTOR À RESTITUIÇÃO DOS VALORES PAGOS A TÍTULO DE IRPF NOS ÚLTIMOS 05 (CINCO) ANOS</w:t>
      </w:r>
    </w:p>
    <w:p w14:paraId="62C2DC03" w14:textId="687F5998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/>
          <w:bCs/>
          <w:sz w:val="23"/>
          <w:szCs w:val="23"/>
          <w:lang w:eastAsia="pt-BR"/>
        </w:rPr>
      </w:pPr>
    </w:p>
    <w:p w14:paraId="789D1BBE" w14:textId="352F4B80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>Como consectário lógico da desconstituição da ilícita tributação em apreço, o Autor requer a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inda a 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restituição dos valores </w:t>
      </w:r>
      <w:r>
        <w:rPr>
          <w:rFonts w:ascii="Roboto" w:hAnsi="Roboto" w:cs="Arial"/>
          <w:bCs/>
          <w:sz w:val="23"/>
          <w:szCs w:val="23"/>
          <w:lang w:eastAsia="pt-BR"/>
        </w:rPr>
        <w:t>recolhidos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a maior, em razão da não dedução das </w:t>
      </w:r>
      <w:r>
        <w:rPr>
          <w:rFonts w:ascii="Roboto" w:hAnsi="Roboto" w:cs="Arial"/>
          <w:bCs/>
          <w:sz w:val="23"/>
          <w:szCs w:val="23"/>
          <w:lang w:eastAsia="pt-BR"/>
        </w:rPr>
        <w:t>contribuições extraordinárias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da base de cálculo imposto de renda, observado o limite de 12</w:t>
      </w:r>
      <w:r>
        <w:rPr>
          <w:rFonts w:ascii="Roboto" w:hAnsi="Roboto" w:cs="Arial"/>
          <w:sz w:val="23"/>
          <w:szCs w:val="23"/>
          <w:lang w:eastAsia="pt-BR"/>
        </w:rPr>
        <w:t>%</w:t>
      </w:r>
      <w:r>
        <w:rPr>
          <w:rFonts w:ascii="Roboto" w:hAnsi="Roboto" w:cs="Arial"/>
          <w:sz w:val="23"/>
          <w:szCs w:val="23"/>
          <w:lang w:eastAsia="pt-BR"/>
        </w:rPr>
        <w:t>,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observado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o quinquênio prescricional.</w:t>
      </w:r>
    </w:p>
    <w:p w14:paraId="52E7BEE6" w14:textId="1F937106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</w:p>
    <w:p w14:paraId="7663A321" w14:textId="3CD06AD6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 xml:space="preserve">Frisa, nesse diapasão, que tais recolhimentos indevidos restam atestados pelos contracheques 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e Declarações de Imposto de Renda </w:t>
      </w:r>
      <w:r>
        <w:rPr>
          <w:rFonts w:ascii="Roboto" w:hAnsi="Roboto" w:cs="Arial"/>
          <w:bCs/>
          <w:sz w:val="23"/>
          <w:szCs w:val="23"/>
          <w:lang w:eastAsia="pt-BR"/>
        </w:rPr>
        <w:t>referentes ao período, ora acostados em sua integralidade (</w:t>
      </w:r>
      <w:r>
        <w:rPr>
          <w:rFonts w:ascii="Roboto" w:hAnsi="Roboto" w:cs="Arial"/>
          <w:b/>
          <w:bCs/>
          <w:sz w:val="23"/>
          <w:szCs w:val="23"/>
          <w:lang w:eastAsia="pt-BR"/>
        </w:rPr>
        <w:t>DOC. 0</w:t>
      </w:r>
      <w:r>
        <w:rPr>
          <w:rFonts w:ascii="Roboto" w:hAnsi="Roboto" w:cs="Arial"/>
          <w:b/>
          <w:bCs/>
          <w:sz w:val="23"/>
          <w:szCs w:val="23"/>
          <w:lang w:eastAsia="pt-BR"/>
        </w:rPr>
        <w:t>3 e 04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), os quais indicam 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que não </w:t>
      </w:r>
      <w:r>
        <w:rPr>
          <w:rFonts w:ascii="Roboto" w:hAnsi="Roboto" w:cs="Arial"/>
          <w:sz w:val="23"/>
          <w:szCs w:val="23"/>
          <w:lang w:eastAsia="pt-BR"/>
        </w:rPr>
        <w:t>foram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deduzido</w:t>
      </w:r>
      <w:r>
        <w:rPr>
          <w:rFonts w:ascii="Roboto" w:hAnsi="Roboto" w:cs="Arial"/>
          <w:bCs/>
          <w:sz w:val="23"/>
          <w:szCs w:val="23"/>
          <w:lang w:eastAsia="pt-BR"/>
        </w:rPr>
        <w:t>s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nenhum valor pago a título de contribuição extraordinária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da base de cálculo do imposto de renda.</w:t>
      </w:r>
    </w:p>
    <w:p w14:paraId="2A2C9365" w14:textId="0B1F40D8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</w:pPr>
    </w:p>
    <w:p w14:paraId="490745F5" w14:textId="71490112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 xml:space="preserve">Outrossim, para facilitar eventual trabalho deste MM. Juízo e do setor de cálculos, o Autor colaciona a planilha em anexo, resumindo, em valores históricos, todos os recolhimentos de IR sobre contribuições extraordinárias havidos, 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 xml:space="preserve">os quais totalizam 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>R$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</w:t>
      </w:r>
      <w:r>
        <w:rPr>
          <w:rFonts w:ascii="Roboto" w:hAnsi="Roboto" w:cs="Arial"/>
          <w:sz w:val="23"/>
          <w:szCs w:val="23"/>
        </w:rPr>
        <w:t xml:space="preserve"> (</w:t>
      </w:r>
      <w:r>
        <w:rPr>
          <w:rFonts w:ascii="Roboto" w:hAnsi="Roboto" w:cs="Arial"/>
          <w:b/>
          <w:bCs/>
          <w:sz w:val="23"/>
          <w:szCs w:val="23"/>
          <w:lang w:eastAsia="pt-BR"/>
        </w:rPr>
        <w:t>DOC. 0</w:t>
      </w:r>
      <w:r>
        <w:rPr>
          <w:rFonts w:ascii="Roboto" w:hAnsi="Roboto" w:cs="Arial"/>
          <w:b/>
          <w:bCs/>
          <w:sz w:val="23"/>
          <w:szCs w:val="23"/>
          <w:lang w:eastAsia="pt-BR"/>
        </w:rPr>
        <w:t>5</w:t>
      </w:r>
      <w:r>
        <w:rPr>
          <w:rFonts w:ascii="Roboto" w:hAnsi="Roboto" w:cs="Arial"/>
          <w:bCs/>
          <w:sz w:val="23"/>
          <w:szCs w:val="23"/>
          <w:lang w:eastAsia="pt-BR"/>
        </w:rPr>
        <w:t>).</w:t>
      </w:r>
    </w:p>
    <w:p w14:paraId="516E7642" w14:textId="15BB9826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</w:p>
    <w:p w14:paraId="58C898EF" w14:textId="60107078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 xml:space="preserve">Requer, assim, que, ao final da lide lhe sejam restituídos os valores pagos 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maior </w:t>
      </w:r>
      <w:r>
        <w:rPr>
          <w:rFonts w:ascii="Roboto" w:hAnsi="Roboto" w:cs="Arial"/>
          <w:bCs/>
          <w:sz w:val="23"/>
          <w:szCs w:val="23"/>
          <w:lang w:eastAsia="pt-BR"/>
        </w:rPr>
        <w:t>a título de IR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, em razão da não dedução 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contribuição extraordinária instituída em razão dos déficits registrados </w:t>
      </w:r>
      <w:r>
        <w:rPr>
          <w:rFonts w:ascii="Roboto" w:hAnsi="Roboto" w:cs="Arial"/>
          <w:bCs/>
          <w:sz w:val="23"/>
          <w:szCs w:val="23"/>
          <w:lang w:eastAsia="pt-BR"/>
        </w:rPr>
        <w:t>no Petros I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da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sua base de cálculo</w:t>
      </w:r>
      <w:r>
        <w:rPr>
          <w:rFonts w:ascii="Roboto" w:hAnsi="Roboto" w:cs="Arial"/>
          <w:bCs/>
          <w:sz w:val="23"/>
          <w:szCs w:val="23"/>
          <w:lang w:eastAsia="pt-BR"/>
        </w:rPr>
        <w:t>, devidamente atualizados desde a data de pagamento, sem prejuízo da restituição atualizada também das quantias que vierem a ser pagas após o ajuizamento desta ação – cujos comprovantes serão juntados no momento da liquidação.</w:t>
      </w:r>
    </w:p>
    <w:p w14:paraId="5D7D7E0D" w14:textId="77777777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</w:pPr>
    </w:p>
    <w:p w14:paraId="0A7CDC3E" w14:textId="7319E3C7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</w:pPr>
    </w:p>
    <w:p w14:paraId="0A11D610" w14:textId="6C9FCDBE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/>
          <w:bCs/>
          <w:sz w:val="23"/>
          <w:szCs w:val="23"/>
          <w:u w:val="single"/>
          <w:lang w:eastAsia="pt-BR"/>
        </w:rPr>
      </w:pPr>
      <w:r>
        <w:rPr>
          <w:rFonts w:ascii="Roboto" w:hAnsi="Roboto" w:cs="Arial"/>
          <w:b/>
          <w:bCs/>
          <w:sz w:val="23"/>
          <w:szCs w:val="23"/>
          <w:u w:val="single"/>
          <w:lang w:eastAsia="pt-BR"/>
        </w:rPr>
        <w:t>6</w:t>
      </w:r>
      <w:r>
        <w:rPr>
          <w:rFonts w:ascii="Roboto" w:hAnsi="Roboto" w:cs="Arial"/>
          <w:b/>
          <w:bCs/>
          <w:sz w:val="23"/>
          <w:szCs w:val="23"/>
          <w:u w:val="single"/>
          <w:lang w:eastAsia="pt-BR"/>
        </w:rPr>
        <w:t xml:space="preserve"> – DA CONCLUSÃO E DOS PEDIDOS</w:t>
      </w:r>
    </w:p>
    <w:p w14:paraId="31AC814D" w14:textId="77777777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</w:p>
    <w:p w14:paraId="2B3DB8DF" w14:textId="57507BCE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 xml:space="preserve">Ante todo o exposto, </w:t>
      </w:r>
      <w:r>
        <w:rPr>
          <w:rFonts w:ascii="Roboto" w:hAnsi="Roboto" w:cs="Arial"/>
          <w:sz w:val="23"/>
          <w:szCs w:val="23"/>
          <w:lang w:eastAsia="pt-BR"/>
        </w:rPr>
        <w:t>requer o Autor seja julgada INTEIRAMENTE PROCEDENTE a pretensão ora delineada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, </w:t>
      </w:r>
      <w:r>
        <w:rPr>
          <w:rFonts w:ascii="Roboto" w:hAnsi="Roboto" w:cs="Arial"/>
          <w:sz w:val="23"/>
          <w:szCs w:val="23"/>
        </w:rPr>
        <w:t xml:space="preserve"> para </w:t>
      </w:r>
      <w:r>
        <w:rPr>
          <w:rFonts w:ascii="Roboto" w:hAnsi="Roboto" w:cs="Arial"/>
          <w:sz w:val="23"/>
          <w:szCs w:val="23"/>
        </w:rPr>
        <w:t>autoriza</w:t>
      </w:r>
      <w:r>
        <w:rPr>
          <w:rFonts w:ascii="Roboto" w:hAnsi="Roboto" w:cs="Arial"/>
          <w:sz w:val="23"/>
          <w:szCs w:val="23"/>
        </w:rPr>
        <w:t>r</w:t>
      </w:r>
      <w:r>
        <w:rPr>
          <w:rFonts w:ascii="Roboto" w:hAnsi="Roboto" w:cs="Arial"/>
          <w:sz w:val="23"/>
          <w:szCs w:val="23"/>
        </w:rPr>
        <w:t xml:space="preserve"> a dedução da base de cálculo do imposto de renda das contribuições extraordinárias descontadas, destinadas ao saneamento das finanças deficitárias das entidades de previdência complementar, observando-se o limite legal de 12% estabelecido pelo artigo 11 da Lei </w:t>
      </w:r>
      <w:r>
        <w:rPr>
          <w:rFonts w:ascii="Roboto" w:hAnsi="Roboto" w:cs="Arial"/>
          <w:sz w:val="23"/>
          <w:szCs w:val="23"/>
        </w:rPr>
        <w:t xml:space="preserve">n. </w:t>
      </w:r>
      <w:r>
        <w:rPr>
          <w:rFonts w:ascii="Roboto" w:hAnsi="Roboto" w:cs="Arial"/>
          <w:sz w:val="23"/>
          <w:szCs w:val="23"/>
        </w:rPr>
        <w:t>9.532</w:t>
      </w:r>
      <w:r>
        <w:rPr>
          <w:rFonts w:ascii="Roboto" w:hAnsi="Roboto" w:cs="Arial"/>
          <w:sz w:val="23"/>
          <w:szCs w:val="23"/>
        </w:rPr>
        <w:t xml:space="preserve"> de 10 de dezembro de </w:t>
      </w:r>
      <w:r>
        <w:rPr>
          <w:rFonts w:ascii="Roboto" w:hAnsi="Roboto" w:cs="Arial"/>
          <w:sz w:val="23"/>
          <w:szCs w:val="23"/>
        </w:rPr>
        <w:t>1997, condenando ainda a União</w:t>
      </w:r>
      <w:r>
        <w:rPr>
          <w:rFonts w:ascii="Roboto" w:hAnsi="Roboto" w:cs="Arial"/>
          <w:sz w:val="23"/>
          <w:szCs w:val="23"/>
        </w:rPr>
        <w:t>, em havendo inobservância de tal proceder, após apuração da declaração de ajuste anual,</w:t>
      </w:r>
      <w:r>
        <w:rPr>
          <w:rFonts w:ascii="Roboto" w:hAnsi="Roboto" w:cs="Arial"/>
          <w:sz w:val="23"/>
          <w:szCs w:val="23"/>
        </w:rPr>
        <w:t xml:space="preserve"> a repetir o indébito daí decorrente, com observância da prescrição quinquenal e atualização pela Taxa Selic.</w:t>
      </w:r>
    </w:p>
    <w:p w14:paraId="79EA06BE" w14:textId="77777777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</w:p>
    <w:p w14:paraId="5453CECE" w14:textId="77777777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>Outrossim, pede ainda:</w:t>
      </w:r>
    </w:p>
    <w:p w14:paraId="40E775BD" w14:textId="23E9A9FC">
      <w:pPr>
        <w:autoSpaceDE w:val="0"/>
        <w:autoSpaceDN w:val="0"/>
        <w:adjustRightInd w:val="0"/>
        <w:spacing w:line="276" w:lineRule="auto"/>
        <w:ind w:left="1985" w:hanging="567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 xml:space="preserve">• </w:t>
      </w:r>
      <w:r>
        <w:rPr>
          <w:rFonts w:ascii="Roboto" w:hAnsi="Roboto" w:cs="Arial"/>
          <w:bCs/>
          <w:sz w:val="23"/>
          <w:szCs w:val="23"/>
          <w:lang w:eastAsia="pt-BR"/>
        </w:rPr>
        <w:tab/>
      </w:r>
      <w:r>
        <w:rPr>
          <w:rFonts w:ascii="Roboto" w:hAnsi="Roboto" w:cs="Arial"/>
          <w:bCs/>
          <w:sz w:val="23"/>
          <w:szCs w:val="23"/>
          <w:lang w:eastAsia="pt-BR"/>
        </w:rPr>
        <w:t>o deferimento da assistência judiciária gratuita, nos termos das Leis 9.099/95 e 10.259/2001;</w:t>
      </w:r>
    </w:p>
    <w:p w14:paraId="54D99EC2" w14:textId="562AE2C4">
      <w:pPr>
        <w:autoSpaceDE w:val="0"/>
        <w:autoSpaceDN w:val="0"/>
        <w:adjustRightInd w:val="0"/>
        <w:spacing w:line="276" w:lineRule="auto"/>
        <w:ind w:left="1985" w:hanging="567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 xml:space="preserve">• </w:t>
      </w:r>
      <w:r>
        <w:rPr>
          <w:rFonts w:ascii="Roboto" w:hAnsi="Roboto" w:cs="Arial"/>
          <w:bCs/>
          <w:sz w:val="23"/>
          <w:szCs w:val="23"/>
          <w:lang w:eastAsia="pt-BR"/>
        </w:rPr>
        <w:tab/>
      </w:r>
      <w:r>
        <w:rPr>
          <w:rFonts w:ascii="Roboto" w:hAnsi="Roboto" w:cs="Arial"/>
          <w:bCs/>
          <w:sz w:val="23"/>
          <w:szCs w:val="23"/>
          <w:lang w:eastAsia="pt-BR"/>
        </w:rPr>
        <w:t>a produção de todo tipo de prova admitido, sobretudo a documental e a pericial, no que se inclui a remessa dos autos ao SECAJ para apuração do valor a restituir atualizado;</w:t>
      </w:r>
    </w:p>
    <w:p w14:paraId="7F1A1B1B" w14:textId="464A5836">
      <w:pPr>
        <w:autoSpaceDE w:val="0"/>
        <w:autoSpaceDN w:val="0"/>
        <w:adjustRightInd w:val="0"/>
        <w:spacing w:line="276" w:lineRule="auto"/>
        <w:ind w:left="1985" w:hanging="567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 xml:space="preserve">• </w:t>
      </w:r>
      <w:r>
        <w:rPr>
          <w:rFonts w:ascii="Roboto" w:hAnsi="Roboto" w:cs="Arial"/>
          <w:bCs/>
          <w:sz w:val="23"/>
          <w:szCs w:val="23"/>
          <w:lang w:eastAsia="pt-BR"/>
        </w:rPr>
        <w:tab/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a citação da União através 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>de sua Nobre Procuradoria da Fazenda Nacional, com endereço na Rua Araújo Pinho, nº 91, Canela, Salvador/BA, CEP 40110-150,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para, querendo, apresentar a defesa que entender cabível; e</w:t>
      </w:r>
    </w:p>
    <w:p w14:paraId="488805A7" w14:textId="2D26F5BF">
      <w:pPr>
        <w:autoSpaceDE w:val="0"/>
        <w:autoSpaceDN w:val="0"/>
        <w:adjustRightInd w:val="0"/>
        <w:spacing w:line="276" w:lineRule="auto"/>
        <w:ind w:left="1985" w:hanging="567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 xml:space="preserve">• </w:t>
      </w:r>
      <w:r>
        <w:rPr>
          <w:rFonts w:ascii="Roboto" w:hAnsi="Roboto" w:cs="Arial"/>
          <w:bCs/>
          <w:sz w:val="23"/>
          <w:szCs w:val="23"/>
          <w:lang w:eastAsia="pt-BR"/>
        </w:rPr>
        <w:tab/>
      </w:r>
      <w:r>
        <w:rPr>
          <w:rFonts w:ascii="Roboto" w:hAnsi="Roboto" w:cs="Arial"/>
          <w:bCs/>
          <w:sz w:val="23"/>
          <w:szCs w:val="23"/>
          <w:lang w:eastAsia="pt-BR"/>
        </w:rPr>
        <w:t>a condenação da Ré ao ressarcimento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das custas e ao pagamento dos honorários sucumbenciais nos termos do art. 85 do CPC, se houver recurso à instância superior.</w:t>
      </w:r>
    </w:p>
    <w:p w14:paraId="64087BB0" w14:textId="323E4268">
      <w:pPr>
        <w:autoSpaceDE w:val="0"/>
        <w:autoSpaceDN w:val="0"/>
        <w:adjustRightInd w:val="0"/>
        <w:spacing w:line="276" w:lineRule="auto"/>
        <w:ind w:left="1418"/>
        <w:rPr>
          <w:rFonts w:ascii="Roboto" w:hAnsi="Roboto" w:cs="Arial"/>
          <w:bCs/>
          <w:sz w:val="23"/>
          <w:szCs w:val="23"/>
          <w:lang w:eastAsia="pt-BR"/>
        </w:rPr>
      </w:pPr>
    </w:p>
    <w:p w14:paraId="19865EFC" w14:textId="77777777">
      <w:pPr>
        <w:autoSpaceDE w:val="0"/>
        <w:autoSpaceDN w:val="0"/>
        <w:adjustRightInd w:val="0"/>
        <w:spacing w:line="276" w:lineRule="auto"/>
        <w:ind w:left="1418"/>
        <w:rPr>
          <w:rFonts w:ascii="Roboto" w:hAnsi="Roboto" w:cs="Arial"/>
          <w:bCs/>
          <w:sz w:val="23"/>
          <w:szCs w:val="23"/>
          <w:lang w:eastAsia="pt-BR"/>
        </w:rPr>
      </w:pPr>
    </w:p>
    <w:p w14:paraId="31A0D34B" w14:textId="63DBD29B">
      <w:pPr>
        <w:widowControl w:val="0"/>
        <w:spacing w:line="276" w:lineRule="auto"/>
        <w:ind w:firstLine="1418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>Por fim, requer</w:t>
      </w:r>
      <w:r>
        <w:rPr>
          <w:rFonts w:ascii="Roboto" w:hAnsi="Roboto" w:cs="Arial"/>
          <w:sz w:val="23"/>
          <w:szCs w:val="23"/>
        </w:rPr>
        <w:t>em</w:t>
      </w:r>
      <w:r>
        <w:rPr>
          <w:rFonts w:ascii="Roboto" w:hAnsi="Roboto" w:cs="Arial"/>
          <w:sz w:val="23"/>
          <w:szCs w:val="23"/>
        </w:rPr>
        <w:t xml:space="preserve"> que todas as intimações e publ</w:t>
      </w:r>
      <w:r>
        <w:rPr>
          <w:rFonts w:ascii="Roboto" w:hAnsi="Roboto" w:cs="Arial"/>
          <w:sz w:val="23"/>
          <w:szCs w:val="23"/>
        </w:rPr>
        <w:t>icações sejam feitas em nome do seu patrono</w:t>
      </w:r>
      <w:r>
        <w:rPr>
          <w:rFonts w:ascii="Roboto" w:hAnsi="Roboto" w:cs="Arial"/>
          <w:sz w:val="23"/>
          <w:szCs w:val="23"/>
        </w:rPr>
        <w:t xml:space="preserve"> Luiz Fernando Garcia Landeiro</w:t>
      </w:r>
      <w:r>
        <w:rPr>
          <w:rFonts w:ascii="Roboto" w:hAnsi="Roboto" w:cs="Arial"/>
          <w:sz w:val="23"/>
          <w:szCs w:val="23"/>
          <w:highlight w:val="yellow"/>
        </w:rPr>
        <w:t>, OAB/BA 16.911</w:t>
      </w:r>
      <w:r>
        <w:rPr>
          <w:rFonts w:ascii="Roboto" w:hAnsi="Roboto" w:cs="Arial"/>
          <w:sz w:val="23"/>
          <w:szCs w:val="23"/>
          <w:highlight w:val="yellow"/>
        </w:rPr>
        <w:t>.</w:t>
      </w:r>
    </w:p>
    <w:p w14:paraId="5D5E786D" w14:textId="77777777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</w:pPr>
    </w:p>
    <w:p w14:paraId="47890DBE" w14:textId="1058A3FE">
      <w:pPr>
        <w:autoSpaceDE w:val="0"/>
        <w:autoSpaceDN w:val="0"/>
        <w:adjustRightInd w:val="0"/>
        <w:spacing w:line="276" w:lineRule="auto"/>
        <w:ind w:firstLine="1418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 xml:space="preserve">Dá-se à causa o valor de </w:t>
      </w:r>
      <w:r>
        <w:rPr>
          <w:rFonts w:ascii="Roboto" w:hAnsi="Roboto" w:cs="Arial"/>
          <w:bCs/>
          <w:sz w:val="23"/>
          <w:szCs w:val="23"/>
          <w:lang w:eastAsia="pt-BR"/>
        </w:rPr>
        <w:t>R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$ 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>47.255,16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, 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>(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>Qu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 xml:space="preserve">arenta e sete mil, 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>duzentos e cinquenta e cinco reais e dezesseis centavos)</w:t>
      </w:r>
      <w:r>
        <w:rPr>
          <w:rFonts w:ascii="Roboto" w:hAnsi="Roboto" w:cs="Arial"/>
          <w:bCs/>
          <w:sz w:val="23"/>
          <w:szCs w:val="23"/>
          <w:lang w:eastAsia="pt-BR"/>
        </w:rPr>
        <w:t>.</w:t>
      </w:r>
      <w:r>
        <w:rPr>
          <w:rFonts w:ascii="Roboto" w:hAnsi="Roboto" w:cs="Arial"/>
          <w:bCs/>
          <w:sz w:val="23"/>
          <w:szCs w:val="23"/>
          <w:lang w:eastAsia="pt-BR"/>
        </w:rPr>
        <w:t xml:space="preserve"> c</w:t>
      </w:r>
      <w:r>
        <w:rPr>
          <w:rFonts w:ascii="Roboto" w:hAnsi="Roboto" w:cs="Arial"/>
          <w:bCs/>
          <w:sz w:val="23"/>
          <w:szCs w:val="23"/>
          <w:lang w:eastAsia="pt-BR"/>
        </w:rPr>
        <w:t>orrespondente ao valor histórico da</w:t>
      </w:r>
      <w:r>
        <w:rPr>
          <w:rFonts w:ascii="Roboto" w:hAnsi="Roboto" w:cs="Arial"/>
          <w:bCs/>
          <w:sz w:val="23"/>
          <w:szCs w:val="23"/>
          <w:lang w:eastAsia="pt-BR"/>
        </w:rPr>
        <w:t>s parcelas recolhidas</w:t>
      </w:r>
      <w:r>
        <w:rPr>
          <w:rFonts w:ascii="Roboto" w:hAnsi="Roboto" w:cs="Arial"/>
          <w:bCs/>
          <w:sz w:val="23"/>
          <w:szCs w:val="23"/>
          <w:lang w:eastAsia="pt-BR"/>
        </w:rPr>
        <w:t>.</w:t>
      </w:r>
    </w:p>
    <w:p w14:paraId="4996462F" w14:textId="77777777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</w:pPr>
    </w:p>
    <w:p w14:paraId="6FE10351" w14:textId="77777777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>Termos em que</w:t>
      </w:r>
    </w:p>
    <w:p w14:paraId="26493DB4" w14:textId="360950DF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lang w:eastAsia="pt-BR"/>
        </w:rPr>
        <w:t>Pede deferimento.</w:t>
      </w:r>
    </w:p>
    <w:p w14:paraId="1E7040FF" w14:textId="77777777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</w:pPr>
    </w:p>
    <w:p w14:paraId="62D0DEDB" w14:textId="2E5D41F5">
      <w:pPr>
        <w:autoSpaceDE w:val="0"/>
        <w:autoSpaceDN w:val="0"/>
        <w:adjustRightInd w:val="0"/>
        <w:spacing w:line="276" w:lineRule="auto"/>
        <w:rPr>
          <w:rFonts w:ascii="Roboto" w:hAnsi="Roboto" w:cs="Arial"/>
          <w:sz w:val="23"/>
          <w:szCs w:val="23"/>
          <w:lang w:eastAsia="pt-BR"/>
        </w:rPr>
      </w:pP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>Salvador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 xml:space="preserve">/BA, </w:t>
      </w:r>
      <w:r>
        <w:rPr>
          <w:rFonts w:ascii="Roboto" w:hAnsi="Roboto" w:cs="Arial"/>
          <w:bCs/>
          <w:sz w:val="23"/>
          <w:szCs w:val="23"/>
          <w:highlight w:val="yellow"/>
          <w:lang w:eastAsia="pt-BR"/>
        </w:rPr>
        <w:t>22 de dezembro de 202</w:t>
      </w:r>
      <w:r>
        <w:rPr>
          <w:rFonts w:ascii="Roboto" w:hAnsi="Roboto" w:cs="Arial"/>
          <w:bCs/>
          <w:sz w:val="23"/>
          <w:szCs w:val="23"/>
          <w:lang w:eastAsia="pt-BR"/>
        </w:rPr>
        <w:t>6</w:t>
      </w:r>
    </w:p>
    <w:p w14:paraId="41DA4DED" w14:textId="77777777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</w:pPr>
    </w:p>
    <w:p w14:paraId="75E3B2DD" w14:textId="77777777">
      <w:pPr>
        <w:autoSpaceDE w:val="0"/>
        <w:autoSpaceDN w:val="0"/>
        <w:adjustRightInd w:val="0"/>
        <w:spacing w:line="276" w:lineRule="auto"/>
        <w:rPr>
          <w:rFonts w:ascii="Roboto" w:hAnsi="Roboto" w:cs="Arial"/>
          <w:bCs/>
          <w:sz w:val="23"/>
          <w:szCs w:val="23"/>
          <w:lang w:eastAsia="pt-BR"/>
        </w:rPr>
        <w:sectPr>
          <w:headerReference w:type="default" r:id="rId13"/>
          <w:footerReference w:type="default" r:id="rId14"/>
          <w:type w:val="nextColumn"/>
          <w:pgSz w:w="11906" w:h="16838" w:orient="portrait" w:code="9"/>
          <w:pgMar w:top="2325" w:right="1134" w:bottom="1418" w:left="1701" w:header="567" w:footer="1093" w:gutter="0"/>
          <w:cols w:space="708"/>
          <w:docGrid w:linePitch="360"/>
        </w:sectPr>
      </w:pPr>
    </w:p>
    <w:p w14:paraId="536511E1" w14:textId="2F332CF1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</w:rPr>
        <w:t xml:space="preserve">LUIZ FERNANDO </w:t>
      </w:r>
      <w:r>
        <w:rPr>
          <w:rFonts w:ascii="Roboto" w:hAnsi="Roboto" w:cs="Arial"/>
          <w:sz w:val="23"/>
          <w:szCs w:val="23"/>
        </w:rPr>
        <w:t>GARCIA LANDEIRO</w:t>
      </w:r>
    </w:p>
    <w:p w14:paraId="13A5199C" w14:textId="7B0CCFA0">
      <w:pPr>
        <w:widowControl w:val="0"/>
        <w:spacing w:line="276" w:lineRule="auto"/>
        <w:rPr>
          <w:rFonts w:ascii="Roboto" w:hAnsi="Roboto" w:cs="Arial"/>
          <w:sz w:val="23"/>
          <w:szCs w:val="23"/>
        </w:rPr>
      </w:pPr>
      <w:r>
        <w:rPr>
          <w:rFonts w:ascii="Roboto" w:hAnsi="Roboto" w:cs="Arial"/>
          <w:sz w:val="23"/>
          <w:szCs w:val="23"/>
          <w:highlight w:val="yellow"/>
        </w:rPr>
        <w:t xml:space="preserve">OAB/BA </w:t>
      </w:r>
      <w:r>
        <w:rPr>
          <w:rFonts w:ascii="Roboto" w:hAnsi="Roboto" w:cs="Arial"/>
          <w:sz w:val="23"/>
          <w:szCs w:val="23"/>
          <w:highlight w:val="yellow"/>
        </w:rPr>
        <w:t>16.911</w:t>
      </w:r>
    </w:p>
    <w:sectPr>
      <w:headerReference w:type="default" r:id="rId15"/>
      <w:footerReference w:type="default" r:id="rId16"/>
      <w:type w:val="continuous"/>
      <w:pgSz w:w="11906" w:h="16838" w:orient="portrait" w:code="9"/>
      <w:pgMar w:top="2325" w:right="1134" w:bottom="1418" w:left="1701" w:header="567" w:footer="10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6E8F9" w14:textId="77777777">
      <w:pPr>
        <w:spacing w:line="240" w:lineRule="auto"/>
      </w:pPr>
      <w:r>
        <w:separator/>
      </w:r>
    </w:p>
  </w:endnote>
  <w:endnote w:type="continuationSeparator" w:id="0">
    <w:p w14:paraId="1962388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Spec="center" w:tblpYSpec="bottom"/>
      <w:tblOverlap w:val="never"/>
      <w:tblW w:w="11797" w:type="dxa"/>
      <w:tblBorders>
        <w:top w:val="single" w:color="auto" w:sz="4" w:space="0"/>
      </w:tblBorders>
      <w:tblLayout w:type="fixed"/>
      <w:tblCellMar>
        <w:left w:w="284" w:type="dxa"/>
        <w:right w:w="255" w:type="dxa"/>
      </w:tblCellMar>
      <w:tblLook w:val="04A0" w:firstRow="1" w:lastRow="0" w:firstColumn="1" w:lastColumn="0" w:noHBand="0" w:noVBand="1"/>
    </w:tblPr>
    <w:tblGrid>
      <w:gridCol w:w="11797"/>
    </w:tblGrid>
    <w:tr w14:paraId="47E3E481" w14:textId="77777777">
      <w:trPr>
        <w:trHeight w:val="1176" w:hRule="exact"/>
      </w:trPr>
      <w:tc>
        <w:tcPr>
          <w:tcW w:w="11797" w:type="dxa"/>
          <w:tcMar>
            <w:right w:w="284" w:type="dxa"/>
          </w:tcMar>
        </w:tcPr>
        <w:p w14:paraId="47E3E47D" w14:textId="77777777">
          <w:pPr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Av. Tancredo Neves, nº 2.539 - </w:t>
          </w:r>
          <w:proofErr w:type="spellStart"/>
          <w:r>
            <w:rPr>
              <w:sz w:val="20"/>
              <w:szCs w:val="20"/>
            </w:rPr>
            <w:t>Edf</w:t>
          </w:r>
          <w:proofErr w:type="spellEnd"/>
          <w:r>
            <w:rPr>
              <w:sz w:val="20"/>
              <w:szCs w:val="20"/>
            </w:rPr>
            <w:t>. CEO Salvador Shopping - Torre Londres - Conj. 2901</w:t>
          </w:r>
        </w:p>
        <w:p w14:paraId="47E3E47E" w14:textId="77777777">
          <w:pPr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Salvador - Bahia CEP 41820-021 - Telefone: (71) 3414-9254</w:t>
          </w:r>
        </w:p>
        <w:p w14:paraId="47E3E47F" w14:textId="77777777">
          <w:pPr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contato@glcm.com.br  - www.glcm.com.br</w:t>
          </w:r>
        </w:p>
        <w:p w14:paraId="47E3E480" w14:textId="77777777">
          <w:pPr>
            <w:pStyle w:val="Rodap"/>
          </w:pPr>
        </w:p>
      </w:tc>
    </w:tr>
  </w:tbl>
  <w:p w14:paraId="47E3E482" w14:textId="77777777">
    <w:pPr>
      <w:jc w:val="center"/>
      <w:rPr>
        <w:rFonts w:ascii="Book Antiqua" w:hAnsi="Book Antiqua"/>
        <w:b/>
        <w:sz w:val="16"/>
      </w:rPr>
    </w:pPr>
    <w:r>
      <w:rPr>
        <w:rFonts w:ascii="Book Antiqua" w:hAnsi="Book Antiqua"/>
        <w:b/>
        <w:sz w:val="16"/>
      </w:rPr>
      <w:t xml:space="preserve">Página </w:t>
    </w:r>
    <w:r>
      <w:rPr>
        <w:rFonts w:ascii="Book Antiqua" w:hAnsi="Book Antiqua"/>
        <w:b/>
        <w:sz w:val="16"/>
      </w:rPr>
      <w:fldChar w:fldCharType="begin"/>
    </w:r>
    <w:r>
      <w:rPr>
        <w:rFonts w:ascii="Book Antiqua" w:hAnsi="Book Antiqua"/>
        <w:b/>
        <w:sz w:val="16"/>
      </w:rPr>
      <w:instrText xml:space="preserve"> PAGE </w:instrText>
    </w:r>
    <w:r>
      <w:rPr>
        <w:rFonts w:ascii="Book Antiqua" w:hAnsi="Book Antiqua"/>
        <w:b/>
        <w:sz w:val="16"/>
      </w:rPr>
      <w:fldChar w:fldCharType="separate"/>
    </w:r>
    <w:r>
      <w:rPr>
        <w:rFonts w:ascii="Book Antiqua" w:hAnsi="Book Antiqua"/>
        <w:b/>
        <w:noProof/>
        <w:sz w:val="16"/>
      </w:rPr>
      <w:t>14</w:t>
    </w:r>
    <w:r>
      <w:rPr>
        <w:rFonts w:ascii="Book Antiqua" w:hAnsi="Book Antiqua"/>
        <w:b/>
        <w:sz w:val="16"/>
      </w:rPr>
      <w:fldChar w:fldCharType="end"/>
    </w:r>
    <w:r>
      <w:rPr>
        <w:rFonts w:ascii="Book Antiqua" w:hAnsi="Book Antiqua"/>
        <w:b/>
        <w:sz w:val="16"/>
      </w:rPr>
      <w:t xml:space="preserve"> de </w:t>
    </w:r>
    <w:r>
      <w:rPr>
        <w:rFonts w:ascii="Book Antiqua" w:hAnsi="Book Antiqua"/>
        <w:b/>
        <w:sz w:val="16"/>
      </w:rPr>
      <w:fldChar w:fldCharType="begin"/>
    </w:r>
    <w:r>
      <w:rPr>
        <w:rFonts w:ascii="Book Antiqua" w:hAnsi="Book Antiqua"/>
        <w:b/>
        <w:sz w:val="16"/>
      </w:rPr>
      <w:instrText xml:space="preserve"> NUMPAGES  </w:instrText>
    </w:r>
    <w:r>
      <w:rPr>
        <w:rFonts w:ascii="Book Antiqua" w:hAnsi="Book Antiqua"/>
        <w:b/>
        <w:sz w:val="16"/>
      </w:rPr>
      <w:fldChar w:fldCharType="separate"/>
    </w:r>
    <w:r>
      <w:rPr>
        <w:rFonts w:ascii="Book Antiqua" w:hAnsi="Book Antiqua"/>
        <w:b/>
        <w:noProof/>
        <w:sz w:val="16"/>
      </w:rPr>
      <w:t>14</w:t>
    </w:r>
    <w:r>
      <w:rPr>
        <w:rFonts w:ascii="Book Antiqua" w:hAnsi="Book Antiqua"/>
        <w:b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XSpec="center" w:tblpYSpec="bottom"/>
      <w:tblOverlap w:val="never"/>
      <w:tblW w:w="11797" w:type="dxa"/>
      <w:tblBorders>
        <w:top w:val="single" w:color="auto" w:sz="4" w:space="0"/>
      </w:tblBorders>
      <w:tblLayout w:type="fixed"/>
      <w:tblCellMar>
        <w:left w:w="284" w:type="dxa"/>
        <w:right w:w="255" w:type="dxa"/>
      </w:tblCellMar>
      <w:tblLook w:val="04A0" w:firstRow="1" w:lastRow="0" w:firstColumn="1" w:lastColumn="0" w:noHBand="0" w:noVBand="1"/>
    </w:tblPr>
    <w:tblGrid>
      <w:gridCol w:w="11797"/>
    </w:tblGrid>
    <w:tr w14:paraId="46330A63" w14:textId="77777777">
      <w:trPr>
        <w:trHeight w:val="1176" w:hRule="exact"/>
      </w:trPr>
      <w:tc>
        <w:tcPr>
          <w:tcW w:w="11797" w:type="dxa"/>
          <w:tcMar>
            <w:right w:w="284" w:type="dxa"/>
          </w:tcMar>
        </w:tcPr>
        <w:p w14:paraId="69EC02A5" w14:textId="77777777">
          <w:pPr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Av. Tancredo Neves, nº 2.539 - </w:t>
          </w:r>
          <w:proofErr w:type="spellStart"/>
          <w:r>
            <w:rPr>
              <w:sz w:val="20"/>
              <w:szCs w:val="20"/>
            </w:rPr>
            <w:t>Edf</w:t>
          </w:r>
          <w:proofErr w:type="spellEnd"/>
          <w:r>
            <w:rPr>
              <w:sz w:val="20"/>
              <w:szCs w:val="20"/>
            </w:rPr>
            <w:t>. CEO Salvador Shopping - Torre Londres - Conj. 2901</w:t>
          </w:r>
        </w:p>
        <w:p w14:paraId="1E2E690F" w14:textId="77777777">
          <w:pPr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Salvador - Bahia CEP 41820-021 - Telefone: (71) 3414-9254</w:t>
          </w:r>
        </w:p>
        <w:p w14:paraId="75811440" w14:textId="77777777">
          <w:pPr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contato@glcm.com.br  - www.glcm.com.br</w:t>
          </w:r>
        </w:p>
        <w:p w14:paraId="73F2D71B" w14:textId="77777777">
          <w:pPr>
            <w:pStyle w:val="Rodap"/>
          </w:pPr>
        </w:p>
      </w:tc>
    </w:tr>
  </w:tbl>
  <w:p w14:paraId="2F22613E" w14:textId="77777777">
    <w:pPr>
      <w:jc w:val="center"/>
      <w:rPr>
        <w:rFonts w:ascii="Book Antiqua" w:hAnsi="Book Antiqua"/>
        <w:b/>
        <w:sz w:val="16"/>
      </w:rPr>
    </w:pPr>
    <w:r>
      <w:rPr>
        <w:rFonts w:ascii="Book Antiqua" w:hAnsi="Book Antiqua"/>
        <w:b/>
        <w:sz w:val="16"/>
      </w:rPr>
      <w:t xml:space="preserve">Página </w:t>
    </w:r>
    <w:r>
      <w:rPr>
        <w:rFonts w:ascii="Book Antiqua" w:hAnsi="Book Antiqua"/>
        <w:b/>
        <w:sz w:val="16"/>
      </w:rPr>
      <w:fldChar w:fldCharType="begin"/>
    </w:r>
    <w:r>
      <w:rPr>
        <w:rFonts w:ascii="Book Antiqua" w:hAnsi="Book Antiqua"/>
        <w:b/>
        <w:sz w:val="16"/>
      </w:rPr>
      <w:instrText xml:space="preserve"> PAGE </w:instrText>
    </w:r>
    <w:r>
      <w:rPr>
        <w:rFonts w:ascii="Book Antiqua" w:hAnsi="Book Antiqua"/>
        <w:b/>
        <w:sz w:val="16"/>
      </w:rPr>
      <w:fldChar w:fldCharType="separate"/>
    </w:r>
    <w:r>
      <w:rPr>
        <w:rFonts w:ascii="Book Antiqua" w:hAnsi="Book Antiqua"/>
        <w:b/>
        <w:noProof/>
        <w:sz w:val="16"/>
      </w:rPr>
      <w:t>14</w:t>
    </w:r>
    <w:r>
      <w:rPr>
        <w:rFonts w:ascii="Book Antiqua" w:hAnsi="Book Antiqua"/>
        <w:b/>
        <w:sz w:val="16"/>
      </w:rPr>
      <w:fldChar w:fldCharType="end"/>
    </w:r>
    <w:r>
      <w:rPr>
        <w:rFonts w:ascii="Book Antiqua" w:hAnsi="Book Antiqua"/>
        <w:b/>
        <w:sz w:val="16"/>
      </w:rPr>
      <w:t xml:space="preserve"> de </w:t>
    </w:r>
    <w:r>
      <w:rPr>
        <w:rFonts w:ascii="Book Antiqua" w:hAnsi="Book Antiqua"/>
        <w:b/>
        <w:sz w:val="16"/>
      </w:rPr>
      <w:fldChar w:fldCharType="begin"/>
    </w:r>
    <w:r>
      <w:rPr>
        <w:rFonts w:ascii="Book Antiqua" w:hAnsi="Book Antiqua"/>
        <w:b/>
        <w:sz w:val="16"/>
      </w:rPr>
      <w:instrText xml:space="preserve"> NUMPAGES  </w:instrText>
    </w:r>
    <w:r>
      <w:rPr>
        <w:rFonts w:ascii="Book Antiqua" w:hAnsi="Book Antiqua"/>
        <w:b/>
        <w:sz w:val="16"/>
      </w:rPr>
      <w:fldChar w:fldCharType="separate"/>
    </w:r>
    <w:r>
      <w:rPr>
        <w:rFonts w:ascii="Book Antiqua" w:hAnsi="Book Antiqua"/>
        <w:b/>
        <w:noProof/>
        <w:sz w:val="16"/>
      </w:rPr>
      <w:t>14</w:t>
    </w:r>
    <w:r>
      <w:rPr>
        <w:rFonts w:ascii="Book Antiqua" w:hAnsi="Book Antiqua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E7D1" w14:textId="77777777">
      <w:pPr>
        <w:spacing w:line="240" w:lineRule="auto"/>
      </w:pPr>
      <w:r>
        <w:separator/>
      </w:r>
    </w:p>
  </w:footnote>
  <w:footnote w:type="continuationSeparator" w:id="0">
    <w:p w14:paraId="4611F1B8" w14:textId="77777777">
      <w:pPr>
        <w:spacing w:line="240" w:lineRule="auto"/>
      </w:pPr>
      <w:r>
        <w:continuationSeparator/>
      </w:r>
    </w:p>
  </w:footnote>
  <w:footnote w:id="1">
    <w:p w14:paraId="35539D96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Style w:val="Refdenotaderodap"/>
          <w:rFonts w:ascii="Roboto" w:hAnsi="Roboto"/>
          <w:sz w:val="20"/>
          <w:szCs w:val="20"/>
        </w:rPr>
        <w:footnoteRef/>
      </w:r>
      <w:r>
        <w:rPr>
          <w:rFonts w:ascii="Roboto" w:hAnsi="Roboto"/>
          <w:sz w:val="20"/>
          <w:szCs w:val="20"/>
        </w:rPr>
        <w:t xml:space="preserve"> </w:t>
      </w:r>
      <w:r>
        <w:rPr>
          <w:rFonts w:ascii="Roboto" w:hAnsi="Roboto" w:cs="Arial"/>
          <w:sz w:val="20"/>
          <w:szCs w:val="20"/>
        </w:rPr>
        <w:t>TRIBUTÁRIO. RECURSO ESPECIAL. AÇÃO DE REPETIÇÃO DE INDÉBITO REFERENTE AO IMPOSTO DE RENDA. TERMO INICIAL DO PRAZO PRESCRICIONAL QUINQUENAL. DATA DO PAGAMENTO REALIZADO APÓS A ENTREGA DA DECLARAÇÃO ANUAL DE AJUSTE DO IMPOSTO DE RENDA. JURISPRUDÊNCIA DO STJ.</w:t>
      </w:r>
    </w:p>
    <w:p w14:paraId="63D152D7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 xml:space="preserve">1. O Tribunal de origem decretou a prescrição adotando como termo inicial a data da retenção indevida. No entanto, </w:t>
      </w:r>
      <w:r>
        <w:rPr>
          <w:rFonts w:ascii="Roboto" w:hAnsi="Roboto" w:cs="Arial"/>
          <w:b/>
          <w:sz w:val="20"/>
          <w:szCs w:val="20"/>
        </w:rPr>
        <w:t>na forma da jurisprudência do STJ, "a prescrição da ação de repetição do indébito tributário flui a partir do pagamento realizado após a declaração anual de ajuste do imposto de renda e não a partir da retenção na fonte (antecipação)</w:t>
      </w:r>
      <w:r>
        <w:rPr>
          <w:rFonts w:ascii="Roboto" w:hAnsi="Roboto" w:cs="Arial"/>
          <w:sz w:val="20"/>
          <w:szCs w:val="20"/>
        </w:rPr>
        <w:t>" (AgRg no REsp 1.533.840/PR, Segunda Turma, Rel. Min. Mauro Campbell Marques, DJe 28.9.2015). No mesmo sentido: AgRg no REsp 1.276.535/RS, Rel. Ministra Assusete Magalhães, Segunda Turma, DJe 13.5.2016.</w:t>
      </w:r>
    </w:p>
    <w:p w14:paraId="7063E9A7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2. Assim, o prazo para postular a repetição de indébito tributário federal é de cinco anos a contar do pagamento indevido. Na hipótese dos autos, o acórdão recorrido reconhece que a declaração não foi entregue antes de fevereiro de 2005.</w:t>
      </w:r>
    </w:p>
    <w:p w14:paraId="4407ACEB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3. Como a declaração foi entregue em menos de cinco anos antes do ajuizamento presente da demanda, em janeiro de 2010, conclui-se que o direito do contribuinte não está prescrito, nos termos da fundamentação supra.</w:t>
      </w:r>
    </w:p>
    <w:p w14:paraId="758199F2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4. Recurso Especial provido.</w:t>
      </w:r>
    </w:p>
    <w:p w14:paraId="07FBCC4F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(RESP - RECURSO ESPECIAL - 1845450 2019.03.19426-1, HERMAN BENJAMIN, STJ - SEGUNDA TURMA, DJE DATA:19/12/2019 ..DTPB:.)</w:t>
      </w:r>
    </w:p>
    <w:p w14:paraId="61D99BAF" w14:textId="77777777">
      <w:pPr>
        <w:spacing w:line="240" w:lineRule="auto"/>
        <w:rPr>
          <w:rFonts w:ascii="Roboto" w:hAnsi="Roboto" w:cs="Arial"/>
          <w:sz w:val="20"/>
          <w:szCs w:val="20"/>
        </w:rPr>
      </w:pPr>
    </w:p>
    <w:p w14:paraId="7436701F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TRIBUTÁRIO. AGRAVO REGIMENTAL NO RECURSO ESPECIAL. AÇÃO DE REPETIÇÃO DE INDÉBITO REFERENTE AO IMPOSTO DE RENDA. HIPÓTESE EM QUE HOUVE A RETENÇÃO DO IMPOSTO, PELA FONTE PAGADORA, A TÍTULO DE ANTECIPAÇÃO. TERMO INICIAL DO PRAZO PRESCRICIONAL QUINQUENAL. DATA DO PAGAMENTO REALIZADO APÓS A ENTREGA DA DECLARAÇÃO ANUAL DE AJUSTE DO IMPOSTO DE RENDA. DECISÃO AGRAVADA EM CONSONÂNCIA COM A ATUAL JURISPRUDÊNCIA DO STJ. AGRAVO REGIMENTAL IMPROVIDO.</w:t>
      </w:r>
    </w:p>
    <w:p w14:paraId="67785683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I. Agravo Regimental interposto em 29/09/2015, contra decisão publicada em 24/09/2015.</w:t>
      </w:r>
    </w:p>
    <w:p w14:paraId="0E9BC62C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II. Consoante a jurisprudência do STF e do STJ, para as ações de repetição de indébito, relativas a tributos sujeitos a lançamento por homologação, ajuizadas a partir de 09/06/2005, deve ser aplicado o prazo prescricional quinquenal previsto no art. 3º da Lei Complementar 118/2005, ou seja, prazo de cinco anos, com termo inicial na data do pagamento. Já para as ações ajuizadas antes de 09/06/2005, deve ser aplicado o entendimento anterior, que permitia a cumulação do prazo do art. 150, § 4º, com o do art. 168, I, do CTN (denominada tese dos 5+5).</w:t>
      </w:r>
    </w:p>
    <w:p w14:paraId="090E2CA7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III. Numa linha de entendimento compatível com o art. 9º do Decreto-lei 94/96, reproduzido pelo art. 837 do Decreto 3.000/99, a Segunda Turma do STJ, ao julgar o Recurso Especial 136.553/RS (Rel. p/ acórdão Ministro ALDIR PASSARINHO JUNIOR, DJU de 05/02/2001), deixou consignado que "o contribuinte, onerado com o desconto ilegal do imposto de renda na fonte, não tem, ipso facto, direito à respectiva devolução, se já decorrido o ano-base; precisa, para esse efeito, apresentar a declaração anual do ajuste, a qual esclarecerá se tudo quanto lhe foi descontado na fonte constitui indébito tributário, ou se parte disso representou antecipação do imposto de renda devido".</w:t>
      </w:r>
    </w:p>
    <w:p w14:paraId="7FD3ABA6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 xml:space="preserve">IV. A Segunda Turma do STJ, a partir do julgamento do REsp 1.472.182/PR (Rel. Ministro MAURO CAMPBELL MARQUES, DJe de 01/07/2015), endossou a orientação firmada, pela Primeira Turma desta Corte, nos EDcl nos EDcl nos EDcl no REsp 1.233.176/PR (Rel. Ministro ARI PARGENDLER, PRIMEIRA TURMA, DJe de 27/11/2013), no sentido de que </w:t>
      </w:r>
      <w:r>
        <w:rPr>
          <w:rFonts w:ascii="Roboto" w:hAnsi="Roboto" w:cs="Arial"/>
          <w:b/>
          <w:sz w:val="20"/>
          <w:szCs w:val="20"/>
        </w:rPr>
        <w:t>a retenção do imposto de renda, pela fonte pagadora, não se assimila ao pagamento antecipado, aludido no § 1º do art. 150 do CTN. A quantia retida, pela fonte pagadora, não tem o efeito de pagamento, até porque toda ou parte dela poderá ser objeto de restituição, dependendo da declaração de ajuste anual. Assim, a prescrição da ação de repetição do indébito tributário flui a partir do pagamento realizado após a declaração anual de ajuste do imposto de renda</w:t>
      </w:r>
      <w:r>
        <w:rPr>
          <w:rFonts w:ascii="Roboto" w:hAnsi="Roboto" w:cs="Arial"/>
          <w:sz w:val="20"/>
          <w:szCs w:val="20"/>
        </w:rPr>
        <w:t>, dito pagamento antecipado, porque se dá sem prévio exame da autoridade administrativa acerca da respectiva correção (CTN, art. 150, caput).</w:t>
      </w:r>
    </w:p>
    <w:p w14:paraId="766D0D37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V. Com efeito, no aludido REsp 1.472.182/PR, a Segunda Turma do STJ decidiu que, "ressalvados os casos em que o recolhimento do tributo é feito exclusivamente pela retenção na fonte (rendimentos sujeitos a tributação exclusiva/definitiva), que não admite compensação ou abatimento com os valores apurados ao final do período, a prescrição da ação de repetição do indébito tributário flui a partir do pagamento realizado após a declaração anual de ajuste do imposto de renda e não a partir da retenção na fonte (antecipação). Precedente: EDcl nos EDcl nos EDcl no REsp 1.233.176/PR, Primeira Turma, Rel. Min. Ari Pargendler, julgado em 21/11/2013, DJe 27/11/2013" (STJ, REsp 1.472.182/PR, Rel. Ministro MAURO CAMPBELL MARQUES, SEGUNDA TURMA, DJe de 01/07/2015).</w:t>
      </w:r>
    </w:p>
    <w:p w14:paraId="50A0F862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VI. Na presente Ação de Repetição de Indébito, em que a petição inicial foi ajuizada em 08/10/2009, o contribuinte pleiteia a restituição do imposto de renda retido na fonte, a título de antecipação, e recolhido aos cofres públicos, pela fonte pagadora, em 15/09/2004. Logo, o direito de pleitear a restituição do mencionado imposto, por meio desta Ação, não se encontra atingido pela prescrição.</w:t>
      </w:r>
    </w:p>
    <w:p w14:paraId="4A6595C0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VII. Agravo Regimental improvido.</w:t>
      </w:r>
    </w:p>
    <w:p w14:paraId="362ED1E6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(AGRESP - AGRAVO REGIMENTAL NO RECURSO ESPECIAL - 1276535 2011.02.13453-0, ASSUSETE MAGALHÃES, STJ - SEGUNDA TURMA, DJE DATA:13/05/2016 ..DTPB:.)</w:t>
      </w:r>
    </w:p>
    <w:p w14:paraId="392981E3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TRIBUTÁRIO. RECURSO ESPECIAL. AÇÃO DE REPETIÇÃO DE INDÉBITO REFERENTE AO IMPOSTO DE RENDA. TERMO INICIAL DO PRAZO PRESCRICIONAL QUINQUENAL. DATA DO PAGAMENTO REALIZADO APÓS A ENTREGA DA DECLARAÇÃO ANUAL DE AJUSTE DO IMPOSTO DE RENDA. JURISPRUDÊNCIA DO STJ.</w:t>
      </w:r>
    </w:p>
    <w:p w14:paraId="0868B131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 xml:space="preserve">1. O Tribunal de origem decretou a prescrição adotando como termo inicial a data da retenção indevida. No entanto, </w:t>
      </w:r>
      <w:r>
        <w:rPr>
          <w:rFonts w:ascii="Roboto" w:hAnsi="Roboto" w:cs="Arial"/>
          <w:b/>
          <w:sz w:val="20"/>
          <w:szCs w:val="20"/>
        </w:rPr>
        <w:t>na forma da jurisprudência do STJ, "a prescrição da ação de repetição do indébito tributário flui a partir do pagamento realizado após a declaração anual de ajuste do imposto de renda e não a partir da retenção na fonte (antecipação)</w:t>
      </w:r>
      <w:r>
        <w:rPr>
          <w:rFonts w:ascii="Roboto" w:hAnsi="Roboto" w:cs="Arial"/>
          <w:sz w:val="20"/>
          <w:szCs w:val="20"/>
        </w:rPr>
        <w:t>" (AgRg no REsp 1.533.840/PR, Segunda Turma, Rel. Min. Mauro Campbell Marques, DJe 28.9.2015). No mesmo sentido: AgRg no REsp 1.276.535/RS, Rel. Ministra Assusete Magalhães, Segunda Turma, DJe 13.5.2016.</w:t>
      </w:r>
    </w:p>
    <w:p w14:paraId="33626278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2. Assim, o prazo para postular a repetição de indébito tributário federal é de cinco anos a contar do pagamento indevido. Na hipótese dos autos, o acórdão recorrido reconhece que a declaração não foi entregue antes de fevereiro de 2005.</w:t>
      </w:r>
    </w:p>
    <w:p w14:paraId="60685BE0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3. Como a declaração foi entregue em menos de cinco anos antes do ajuizamento presente da demanda, em janeiro de 2010, conclui-se que o direito do contribuinte não está prescrito, nos termos da fundamentação supra.</w:t>
      </w:r>
    </w:p>
    <w:p w14:paraId="1E9988C1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4. Recurso Especial provido.</w:t>
      </w:r>
    </w:p>
    <w:p w14:paraId="03200891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(RESP - RECURSO ESPECIAL - 1845450 2019.03.19426-1, HERMAN BENJAMIN, STJ - SEGUNDA TURMA, DJE DATA:19/12/2019 ..DTPB:.)</w:t>
      </w:r>
    </w:p>
    <w:p w14:paraId="7EF55BD8" w14:textId="77777777">
      <w:pPr>
        <w:spacing w:line="240" w:lineRule="auto"/>
        <w:rPr>
          <w:rFonts w:ascii="Roboto" w:hAnsi="Roboto" w:cs="Arial"/>
          <w:sz w:val="20"/>
          <w:szCs w:val="20"/>
        </w:rPr>
      </w:pPr>
    </w:p>
    <w:p w14:paraId="25D15E04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TRIBUTÁRIO. AGRAVO REGIMENTAL NO RECURSO ESPECIAL. AÇÃO DE REPETIÇÃO DE INDÉBITO REFERENTE AO IMPOSTO DE RENDA. HIPÓTESE EM QUE HOUVE A RETENÇÃO DO IMPOSTO, PELA FONTE PAGADORA, A TÍTULO DE ANTECIPAÇÃO. TERMO INICIAL DO PRAZO PRESCRICIONAL QUINQUENAL. DATA DO PAGAMENTO REALIZADO APÓS A ENTREGA DA DECLARAÇÃO ANUAL DE AJUSTE DO IMPOSTO DE RENDA. DECISÃO AGRAVADA EM CONSONÂNCIA COM A ATUAL JURISPRUDÊNCIA DO STJ. AGRAVO REGIMENTAL IMPROVIDO.</w:t>
      </w:r>
    </w:p>
    <w:p w14:paraId="6C108343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I. Agravo Regimental interposto em 29/09/2015, contra decisão publicada em 24/09/2015.</w:t>
      </w:r>
    </w:p>
    <w:p w14:paraId="508889F0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II. Consoante a jurisprudência do STF e do STJ, para as ações de repetição de indébito, relativas a tributos sujeitos a lançamento por homologação, ajuizadas a partir de 09/06/2005, deve ser aplicado o prazo prescricional quinquenal previsto no art. 3º da Lei Complementar 118/2005, ou seja, prazo de cinco anos, com termo inicial na data do pagamento. Já para as ações ajuizadas antes de 09/06/2005, deve ser aplicado o entendimento anterior, que permitia a cumulação do prazo do art. 150, § 4º, com o do art. 168, I, do CTN (denominada tese dos 5+5).</w:t>
      </w:r>
    </w:p>
    <w:p w14:paraId="2120ABE8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III. Numa linha de entendimento compatível com o art. 9º do Decreto-lei 94/96, reproduzido pelo art. 837 do Decreto 3.000/99, a Segunda Turma do STJ, ao julgar o Recurso Especial 136.553/RS (Rel. p/ acórdão Ministro ALDIR PASSARINHO JUNIOR, DJU de 05/02/2001), deixou consignado que "o contribuinte, onerado com o desconto ilegal do imposto de renda na fonte, não tem, ipso facto, direito à respectiva devolução, se já decorrido o ano-base; precisa, para esse efeito, apresentar a declaração anual do ajuste, a qual esclarecerá se tudo quanto lhe foi descontado na fonte constitui indébito tributário, ou se parte disso representou antecipação do imposto de renda devido".</w:t>
      </w:r>
    </w:p>
    <w:p w14:paraId="7D6FB673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 xml:space="preserve">IV. A Segunda Turma do STJ, a partir do julgamento do REsp 1.472.182/PR (Rel. Ministro MAURO CAMPBELL MARQUES, DJe de 01/07/2015), endossou a orientação firmada, pela Primeira Turma desta Corte, nos EDcl nos EDcl nos EDcl no REsp 1.233.176/PR (Rel. Ministro ARI PARGENDLER, PRIMEIRA TURMA, DJe de 27/11/2013), no sentido de que </w:t>
      </w:r>
      <w:r>
        <w:rPr>
          <w:rFonts w:ascii="Roboto" w:hAnsi="Roboto" w:cs="Arial"/>
          <w:b/>
          <w:sz w:val="20"/>
          <w:szCs w:val="20"/>
        </w:rPr>
        <w:t>a retenção do imposto de renda, pela fonte pagadora, não se assimila ao pagamento antecipado, aludido no § 1º do art. 150 do CTN. A quantia retida, pela fonte pagadora, não tem o efeito de pagamento, até porque toda ou parte dela poderá ser objeto de restituição, dependendo da declaração de ajuste anual. Assim, a prescrição da ação de repetição do indébito tributário flui a partir do pagamento realizado após a declaração anual de ajuste do imposto de renda</w:t>
      </w:r>
      <w:r>
        <w:rPr>
          <w:rFonts w:ascii="Roboto" w:hAnsi="Roboto" w:cs="Arial"/>
          <w:sz w:val="20"/>
          <w:szCs w:val="20"/>
        </w:rPr>
        <w:t>, dito pagamento antecipado, porque se dá sem prévio exame da autoridade administrativa acerca da respectiva correção (CTN, art. 150, caput).</w:t>
      </w:r>
    </w:p>
    <w:p w14:paraId="41B74B72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V. Com efeito, no aludido REsp 1.472.182/PR, a Segunda Turma do STJ decidiu que, "ressalvados os casos em que o recolhimento do tributo é feito exclusivamente pela retenção na fonte (rendimentos sujeitos a tributação exclusiva/definitiva), que não admite compensação ou abatimento com os valores apurados ao final do período, a prescrição da ação de repetição do indébito tributário flui a partir do pagamento realizado após a declaração anual de ajuste do imposto de renda e não a partir da retenção na fonte (antecipação). Precedente: EDcl nos EDcl nos EDcl no REsp 1.233.176/PR, Primeira Turma, Rel. Min. Ari Pargendler, julgado em 21/11/2013, DJe 27/11/2013" (STJ, REsp 1.472.182/PR, Rel. Ministro MAURO CAMPBELL MARQUES, SEGUNDA TURMA, DJe de 01/07/2015).</w:t>
      </w:r>
    </w:p>
    <w:p w14:paraId="2FD61D05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VI. Na presente Ação de Repetição de Indébito, em que a petição inicial foi ajuizada em 08/10/2009, o contribuinte pleiteia a restituição do imposto de renda retido na fonte, a título de antecipação, e recolhido aos cofres públicos, pela fonte pagadora, em 15/09/2004. Logo, o direito de pleitear a restituição do mencionado imposto, por meio desta Ação, não se encontra atingido pela prescrição.</w:t>
      </w:r>
    </w:p>
    <w:p w14:paraId="44242308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VII. Agravo Regimental improvido.</w:t>
      </w:r>
    </w:p>
    <w:p w14:paraId="3960B80F" w14:textId="77777777">
      <w:pPr>
        <w:spacing w:line="240" w:lineRule="auto"/>
        <w:rPr>
          <w:rFonts w:ascii="Roboto" w:hAnsi="Roboto" w:cs="Arial"/>
          <w:sz w:val="20"/>
          <w:szCs w:val="20"/>
        </w:rPr>
      </w:pPr>
      <w:r>
        <w:rPr>
          <w:rFonts w:ascii="Roboto" w:hAnsi="Roboto" w:cs="Arial"/>
          <w:sz w:val="20"/>
          <w:szCs w:val="20"/>
        </w:rPr>
        <w:t>(AGRESP - AGRAVO REGIMENTAL NO RECURSO ESPECIAL - 1276535 2011.02.13453-0, ASSUSETE MAGALHÃES, STJ - SEGUNDA TURMA, DJE DATA:13/05/2016 ..DTPB:.)</w:t>
      </w:r>
    </w:p>
    <w:p w14:paraId="32B1441A" w14:textId="3D3734A7">
      <w:pPr>
        <w:pStyle w:val="Textodenotaderodap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14:paraId="47E3E47C" w14:textId="661ED345">
    <w:pPr>
      <w:pStyle w:val="Cabealho"/>
    </w:pPr>
    <w:r>
      <w:t xml:space="preserve">                </w:t>
    </w:r>
    <w:r>
      <w:t xml:space="preserve">  </w:t>
    </w:r>
    <w:r>
      <w:t xml:space="preserve">                                                          </w:t>
    </w:r>
    <w:r>
      <w:t xml:space="preserve">                                                                                                                                                                                 </w:t>
    </w:r>
    <w:r>
      <w:t xml:space="preserve">                                                                                  </w:t>
    </w:r>
    <w:r>
      <w:t xml:space="preserve">                     </w:t>
    </w:r>
    <w:r>
      <w:t xml:space="preserve">   </w:t>
    </w:r>
    <w:r>
      <w:rPr>
        <w:noProof/>
        <w:lang w:eastAsia="pt-BR"/>
      </w:rPr>
      <w:ptab w:alignment="right" w:relativeTo="margin" w:leader="none"/>
    </w:r>
    <w:r>
      <w:rPr>
        <w:noProof/>
        <w:lang w:eastAsia="pt-BR"/>
      </w:rPr>
      <w:drawing>
        <wp:inline distT="0" distB="0" distL="0" distR="0" wp14:anchorId="3773F940" wp14:editId="772DCCAF">
          <wp:extent cx="1368152" cy="1224136"/>
          <wp:effectExtent l="0" t="0" r="3810" b="0"/>
          <wp:docPr id="1455290883" name="Imagem 1455290883" descr="Texto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8E3DE268-10BD-44C8-BEED-7E015FE0785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3" descr="Texto&#10;&#10;Descrição gerada automaticamente">
                    <a:extLst>
                      <a:ext uri="{FF2B5EF4-FFF2-40B4-BE49-F238E27FC236}">
                        <a16:creationId xmlns:a16="http://schemas.microsoft.com/office/drawing/2014/main" id="{8E3DE268-10BD-44C8-BEED-7E015FE0785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152" cy="1224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14:paraId="2A7E10D2" w14:textId="77777777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79871317" wp14:editId="4DF44E65">
          <wp:extent cx="3694176" cy="435864"/>
          <wp:effectExtent l="0" t="0" r="1905" b="254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arc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94176" cy="435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0F5"/>
    <w:multiLevelType w:val="multilevel"/>
    <w:tmpl w:val="C74E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EED77CC"/>
    <w:multiLevelType w:val="hybridMultilevel"/>
    <w:tmpl w:val="4884528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20F37"/>
    <w:multiLevelType w:val="hybridMultilevel"/>
    <w:tmpl w:val="BF3861BC"/>
    <w:lvl w:ilvl="0" w:tplc="E27E7EB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226C8"/>
    <w:multiLevelType w:val="hybridMultilevel"/>
    <w:tmpl w:val="E4426658"/>
    <w:lvl w:ilvl="0" w:tplc="04160001">
      <w:start w:val="1"/>
      <w:numFmt w:val="bullet"/>
      <w:lvlText w:val=""/>
      <w:lvlJc w:val="left"/>
      <w:pPr>
        <w:ind w:left="285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357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429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501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73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645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717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89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8618" w:hanging="360"/>
      </w:pPr>
      <w:rPr>
        <w:rFonts w:hint="default" w:ascii="Wingdings" w:hAnsi="Wingdings"/>
      </w:rPr>
    </w:lvl>
  </w:abstractNum>
  <w:abstractNum w:abstractNumId="4" w15:restartNumberingAfterBreak="0">
    <w:nsid w:val="5D73536D"/>
    <w:multiLevelType w:val="hybridMultilevel"/>
    <w:tmpl w:val="CA70D7F2"/>
    <w:lvl w:ilvl="0" w:tplc="09DC97C0">
      <w:start w:val="1"/>
      <w:numFmt w:val="decimal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6A547125"/>
    <w:multiLevelType w:val="hybridMultilevel"/>
    <w:tmpl w:val="703A0078"/>
    <w:lvl w:ilvl="0" w:tplc="3B660588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6F8C1529"/>
    <w:multiLevelType w:val="hybridMultilevel"/>
    <w:tmpl w:val="A990907A"/>
    <w:lvl w:ilvl="0" w:tplc="33780B1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545600"/>
    <w:multiLevelType w:val="hybridMultilevel"/>
    <w:tmpl w:val="C6289C5A"/>
    <w:lvl w:ilvl="0" w:tplc="9B00E51A">
      <w:start w:val="1"/>
      <w:numFmt w:val="upperLetter"/>
      <w:lvlText w:val="%1)"/>
      <w:lvlJc w:val="left"/>
      <w:pPr>
        <w:ind w:left="234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065" w:hanging="360"/>
      </w:pPr>
    </w:lvl>
    <w:lvl w:ilvl="2" w:tplc="0416001B" w:tentative="1">
      <w:start w:val="1"/>
      <w:numFmt w:val="lowerRoman"/>
      <w:lvlText w:val="%3."/>
      <w:lvlJc w:val="right"/>
      <w:pPr>
        <w:ind w:left="3785" w:hanging="180"/>
      </w:pPr>
    </w:lvl>
    <w:lvl w:ilvl="3" w:tplc="0416000F" w:tentative="1">
      <w:start w:val="1"/>
      <w:numFmt w:val="decimal"/>
      <w:lvlText w:val="%4."/>
      <w:lvlJc w:val="left"/>
      <w:pPr>
        <w:ind w:left="4505" w:hanging="360"/>
      </w:pPr>
    </w:lvl>
    <w:lvl w:ilvl="4" w:tplc="04160019" w:tentative="1">
      <w:start w:val="1"/>
      <w:numFmt w:val="lowerLetter"/>
      <w:lvlText w:val="%5."/>
      <w:lvlJc w:val="left"/>
      <w:pPr>
        <w:ind w:left="5225" w:hanging="360"/>
      </w:pPr>
    </w:lvl>
    <w:lvl w:ilvl="5" w:tplc="0416001B" w:tentative="1">
      <w:start w:val="1"/>
      <w:numFmt w:val="lowerRoman"/>
      <w:lvlText w:val="%6."/>
      <w:lvlJc w:val="right"/>
      <w:pPr>
        <w:ind w:left="5945" w:hanging="180"/>
      </w:pPr>
    </w:lvl>
    <w:lvl w:ilvl="6" w:tplc="0416000F" w:tentative="1">
      <w:start w:val="1"/>
      <w:numFmt w:val="decimal"/>
      <w:lvlText w:val="%7."/>
      <w:lvlJc w:val="left"/>
      <w:pPr>
        <w:ind w:left="6665" w:hanging="360"/>
      </w:pPr>
    </w:lvl>
    <w:lvl w:ilvl="7" w:tplc="04160019" w:tentative="1">
      <w:start w:val="1"/>
      <w:numFmt w:val="lowerLetter"/>
      <w:lvlText w:val="%8."/>
      <w:lvlJc w:val="left"/>
      <w:pPr>
        <w:ind w:left="7385" w:hanging="360"/>
      </w:pPr>
    </w:lvl>
    <w:lvl w:ilvl="8" w:tplc="0416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8" w15:restartNumberingAfterBreak="0">
    <w:nsid w:val="7ACD6F52"/>
    <w:multiLevelType w:val="hybridMultilevel"/>
    <w:tmpl w:val="13CE3FAE"/>
    <w:lvl w:ilvl="0" w:tplc="8400797C">
      <w:start w:val="1"/>
      <w:numFmt w:val="upperRoman"/>
      <w:lvlText w:val="%1)"/>
      <w:lvlJc w:val="left"/>
      <w:pPr>
        <w:ind w:left="1080" w:hanging="72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353110">
    <w:abstractNumId w:val="2"/>
  </w:num>
  <w:num w:numId="2" w16cid:durableId="679236701">
    <w:abstractNumId w:val="5"/>
  </w:num>
  <w:num w:numId="3" w16cid:durableId="174735908">
    <w:abstractNumId w:val="6"/>
  </w:num>
  <w:num w:numId="4" w16cid:durableId="1715080415">
    <w:abstractNumId w:val="0"/>
  </w:num>
  <w:num w:numId="5" w16cid:durableId="1917280670">
    <w:abstractNumId w:val="8"/>
  </w:num>
  <w:num w:numId="6" w16cid:durableId="1539658841">
    <w:abstractNumId w:val="4"/>
  </w:num>
  <w:num w:numId="7" w16cid:durableId="1881018124">
    <w:abstractNumId w:val="7"/>
  </w:num>
  <w:num w:numId="8" w16cid:durableId="1471365344">
    <w:abstractNumId w:val="1"/>
  </w:num>
  <w:num w:numId="9" w16cid:durableId="75964474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6F57"/>
    <w:rsid w:val="00002EBC"/>
    <w:rsid w:val="00007490"/>
    <w:rsid w:val="0001149E"/>
    <w:rsid w:val="00015D0B"/>
    <w:rsid w:val="00017442"/>
    <w:rsid w:val="00017E57"/>
    <w:rsid w:val="00021BA9"/>
    <w:rsid w:val="000250D1"/>
    <w:rsid w:val="00025ECB"/>
    <w:rsid w:val="00030614"/>
    <w:rsid w:val="00030DC5"/>
    <w:rsid w:val="000349B9"/>
    <w:rsid w:val="0003669A"/>
    <w:rsid w:val="00047559"/>
    <w:rsid w:val="000475E4"/>
    <w:rsid w:val="00047B81"/>
    <w:rsid w:val="00054F9E"/>
    <w:rsid w:val="0005676D"/>
    <w:rsid w:val="00057466"/>
    <w:rsid w:val="0005768D"/>
    <w:rsid w:val="00057835"/>
    <w:rsid w:val="00060A2D"/>
    <w:rsid w:val="00060EC4"/>
    <w:rsid w:val="00064C1D"/>
    <w:rsid w:val="00065640"/>
    <w:rsid w:val="00066240"/>
    <w:rsid w:val="00072031"/>
    <w:rsid w:val="00072C2E"/>
    <w:rsid w:val="0007506D"/>
    <w:rsid w:val="00077C55"/>
    <w:rsid w:val="0008418F"/>
    <w:rsid w:val="00084C91"/>
    <w:rsid w:val="00085970"/>
    <w:rsid w:val="000860B5"/>
    <w:rsid w:val="00086593"/>
    <w:rsid w:val="00086C57"/>
    <w:rsid w:val="00090D80"/>
    <w:rsid w:val="00092990"/>
    <w:rsid w:val="00093467"/>
    <w:rsid w:val="00097099"/>
    <w:rsid w:val="00097BF9"/>
    <w:rsid w:val="000A1B00"/>
    <w:rsid w:val="000A1D8A"/>
    <w:rsid w:val="000A205A"/>
    <w:rsid w:val="000A354D"/>
    <w:rsid w:val="000A7C8C"/>
    <w:rsid w:val="000B0703"/>
    <w:rsid w:val="000B1E11"/>
    <w:rsid w:val="000B306E"/>
    <w:rsid w:val="000B34E3"/>
    <w:rsid w:val="000B5962"/>
    <w:rsid w:val="000B59CD"/>
    <w:rsid w:val="000B6D1B"/>
    <w:rsid w:val="000C065F"/>
    <w:rsid w:val="000C116F"/>
    <w:rsid w:val="000C1581"/>
    <w:rsid w:val="000C5381"/>
    <w:rsid w:val="000C6F8A"/>
    <w:rsid w:val="000C79A7"/>
    <w:rsid w:val="000D3331"/>
    <w:rsid w:val="000D67D6"/>
    <w:rsid w:val="000E0E12"/>
    <w:rsid w:val="000E1D59"/>
    <w:rsid w:val="000E3BFC"/>
    <w:rsid w:val="000E5493"/>
    <w:rsid w:val="000E57E5"/>
    <w:rsid w:val="000F0A7C"/>
    <w:rsid w:val="000F5519"/>
    <w:rsid w:val="000F63FC"/>
    <w:rsid w:val="0010485D"/>
    <w:rsid w:val="00104F93"/>
    <w:rsid w:val="0010647C"/>
    <w:rsid w:val="00106B13"/>
    <w:rsid w:val="00115FBE"/>
    <w:rsid w:val="00116AE5"/>
    <w:rsid w:val="00117B2C"/>
    <w:rsid w:val="001206E9"/>
    <w:rsid w:val="00122B6F"/>
    <w:rsid w:val="00123539"/>
    <w:rsid w:val="00125A19"/>
    <w:rsid w:val="00131118"/>
    <w:rsid w:val="00136600"/>
    <w:rsid w:val="00137A01"/>
    <w:rsid w:val="001501BB"/>
    <w:rsid w:val="001577E1"/>
    <w:rsid w:val="00161A93"/>
    <w:rsid w:val="001621C2"/>
    <w:rsid w:val="001631C6"/>
    <w:rsid w:val="0016356B"/>
    <w:rsid w:val="0016543A"/>
    <w:rsid w:val="0016558B"/>
    <w:rsid w:val="00171125"/>
    <w:rsid w:val="00171D14"/>
    <w:rsid w:val="00174A11"/>
    <w:rsid w:val="00180C39"/>
    <w:rsid w:val="00180D38"/>
    <w:rsid w:val="00182878"/>
    <w:rsid w:val="00186A32"/>
    <w:rsid w:val="00187C8E"/>
    <w:rsid w:val="00192936"/>
    <w:rsid w:val="00194954"/>
    <w:rsid w:val="00195FB7"/>
    <w:rsid w:val="00197504"/>
    <w:rsid w:val="001A5AF9"/>
    <w:rsid w:val="001B0990"/>
    <w:rsid w:val="001B37B6"/>
    <w:rsid w:val="001B5AE9"/>
    <w:rsid w:val="001B60C9"/>
    <w:rsid w:val="001B67DD"/>
    <w:rsid w:val="001B7DFE"/>
    <w:rsid w:val="001C4A6E"/>
    <w:rsid w:val="001C4E3F"/>
    <w:rsid w:val="001D120E"/>
    <w:rsid w:val="001D1607"/>
    <w:rsid w:val="001D406E"/>
    <w:rsid w:val="001D52A3"/>
    <w:rsid w:val="001E27B4"/>
    <w:rsid w:val="001E5610"/>
    <w:rsid w:val="001E7171"/>
    <w:rsid w:val="001F1742"/>
    <w:rsid w:val="001F406C"/>
    <w:rsid w:val="001F4E93"/>
    <w:rsid w:val="001F500F"/>
    <w:rsid w:val="001F5591"/>
    <w:rsid w:val="001F60B1"/>
    <w:rsid w:val="001F631D"/>
    <w:rsid w:val="002019B8"/>
    <w:rsid w:val="00202206"/>
    <w:rsid w:val="00206B1E"/>
    <w:rsid w:val="00210111"/>
    <w:rsid w:val="00210200"/>
    <w:rsid w:val="002105B4"/>
    <w:rsid w:val="00210686"/>
    <w:rsid w:val="00211490"/>
    <w:rsid w:val="002165E5"/>
    <w:rsid w:val="002167C6"/>
    <w:rsid w:val="00223F64"/>
    <w:rsid w:val="00226942"/>
    <w:rsid w:val="002312D3"/>
    <w:rsid w:val="002318AC"/>
    <w:rsid w:val="0023384E"/>
    <w:rsid w:val="002375FA"/>
    <w:rsid w:val="00237C07"/>
    <w:rsid w:val="00241460"/>
    <w:rsid w:val="00242E24"/>
    <w:rsid w:val="00244247"/>
    <w:rsid w:val="00246BF1"/>
    <w:rsid w:val="002504B8"/>
    <w:rsid w:val="0025167F"/>
    <w:rsid w:val="00251A02"/>
    <w:rsid w:val="0025501B"/>
    <w:rsid w:val="002564DA"/>
    <w:rsid w:val="00262EF6"/>
    <w:rsid w:val="002638E4"/>
    <w:rsid w:val="0026609E"/>
    <w:rsid w:val="00267330"/>
    <w:rsid w:val="002718F3"/>
    <w:rsid w:val="00271FCD"/>
    <w:rsid w:val="00272099"/>
    <w:rsid w:val="00274181"/>
    <w:rsid w:val="00277433"/>
    <w:rsid w:val="00282383"/>
    <w:rsid w:val="002847F9"/>
    <w:rsid w:val="0028708C"/>
    <w:rsid w:val="00290B4C"/>
    <w:rsid w:val="00293B67"/>
    <w:rsid w:val="0029432D"/>
    <w:rsid w:val="00294A0E"/>
    <w:rsid w:val="00294B26"/>
    <w:rsid w:val="00294F27"/>
    <w:rsid w:val="002A2BE7"/>
    <w:rsid w:val="002A5F6A"/>
    <w:rsid w:val="002A65BF"/>
    <w:rsid w:val="002B3EBE"/>
    <w:rsid w:val="002B5F76"/>
    <w:rsid w:val="002C4976"/>
    <w:rsid w:val="002C5DC2"/>
    <w:rsid w:val="002C6837"/>
    <w:rsid w:val="002D101B"/>
    <w:rsid w:val="002D1770"/>
    <w:rsid w:val="002D3A54"/>
    <w:rsid w:val="002D3F75"/>
    <w:rsid w:val="002D6D49"/>
    <w:rsid w:val="002E34E8"/>
    <w:rsid w:val="002E46E0"/>
    <w:rsid w:val="002E6868"/>
    <w:rsid w:val="002E76D5"/>
    <w:rsid w:val="002F0F8B"/>
    <w:rsid w:val="002F13D1"/>
    <w:rsid w:val="003037E9"/>
    <w:rsid w:val="00303D0D"/>
    <w:rsid w:val="0031022A"/>
    <w:rsid w:val="00310BCA"/>
    <w:rsid w:val="00311C59"/>
    <w:rsid w:val="00312847"/>
    <w:rsid w:val="003162D7"/>
    <w:rsid w:val="003206E2"/>
    <w:rsid w:val="003226B1"/>
    <w:rsid w:val="003229AC"/>
    <w:rsid w:val="00323C5D"/>
    <w:rsid w:val="00323C9F"/>
    <w:rsid w:val="00324042"/>
    <w:rsid w:val="00327289"/>
    <w:rsid w:val="00333DA1"/>
    <w:rsid w:val="00336282"/>
    <w:rsid w:val="00336D7D"/>
    <w:rsid w:val="00337357"/>
    <w:rsid w:val="00337F6C"/>
    <w:rsid w:val="00337FBB"/>
    <w:rsid w:val="00341030"/>
    <w:rsid w:val="0034320C"/>
    <w:rsid w:val="003433CA"/>
    <w:rsid w:val="003512EE"/>
    <w:rsid w:val="0035140D"/>
    <w:rsid w:val="00351633"/>
    <w:rsid w:val="00357170"/>
    <w:rsid w:val="00357F12"/>
    <w:rsid w:val="00360CD8"/>
    <w:rsid w:val="003623FA"/>
    <w:rsid w:val="00364A32"/>
    <w:rsid w:val="003650E6"/>
    <w:rsid w:val="00370127"/>
    <w:rsid w:val="003709A6"/>
    <w:rsid w:val="00373C7A"/>
    <w:rsid w:val="00376F9F"/>
    <w:rsid w:val="00380009"/>
    <w:rsid w:val="003829C6"/>
    <w:rsid w:val="00382BA7"/>
    <w:rsid w:val="0038698B"/>
    <w:rsid w:val="00386B1B"/>
    <w:rsid w:val="00390072"/>
    <w:rsid w:val="00391E27"/>
    <w:rsid w:val="00392099"/>
    <w:rsid w:val="00393DA8"/>
    <w:rsid w:val="003A4221"/>
    <w:rsid w:val="003A4BFD"/>
    <w:rsid w:val="003A6C3E"/>
    <w:rsid w:val="003A7C91"/>
    <w:rsid w:val="003B2488"/>
    <w:rsid w:val="003B24B8"/>
    <w:rsid w:val="003B2DEC"/>
    <w:rsid w:val="003B7F19"/>
    <w:rsid w:val="003C156E"/>
    <w:rsid w:val="003C471D"/>
    <w:rsid w:val="003C47FD"/>
    <w:rsid w:val="003C5054"/>
    <w:rsid w:val="003D5D0C"/>
    <w:rsid w:val="003E0CB7"/>
    <w:rsid w:val="003E2412"/>
    <w:rsid w:val="003E2C81"/>
    <w:rsid w:val="003E39C0"/>
    <w:rsid w:val="003E68C1"/>
    <w:rsid w:val="003E75D5"/>
    <w:rsid w:val="003F054E"/>
    <w:rsid w:val="003F0BCB"/>
    <w:rsid w:val="003F2881"/>
    <w:rsid w:val="003F294A"/>
    <w:rsid w:val="003F3B1A"/>
    <w:rsid w:val="003F67F6"/>
    <w:rsid w:val="003F776E"/>
    <w:rsid w:val="00400DFF"/>
    <w:rsid w:val="00400F0E"/>
    <w:rsid w:val="00403C2B"/>
    <w:rsid w:val="00404353"/>
    <w:rsid w:val="00407543"/>
    <w:rsid w:val="00410C36"/>
    <w:rsid w:val="004145AE"/>
    <w:rsid w:val="00416962"/>
    <w:rsid w:val="00416B26"/>
    <w:rsid w:val="0042319C"/>
    <w:rsid w:val="004235E5"/>
    <w:rsid w:val="00424993"/>
    <w:rsid w:val="0042512E"/>
    <w:rsid w:val="004278A2"/>
    <w:rsid w:val="00433BCD"/>
    <w:rsid w:val="00433F7A"/>
    <w:rsid w:val="004344CE"/>
    <w:rsid w:val="00437091"/>
    <w:rsid w:val="00440386"/>
    <w:rsid w:val="00444533"/>
    <w:rsid w:val="004446BE"/>
    <w:rsid w:val="0044649B"/>
    <w:rsid w:val="00446CBA"/>
    <w:rsid w:val="00447CC0"/>
    <w:rsid w:val="00451866"/>
    <w:rsid w:val="0045276F"/>
    <w:rsid w:val="00452B86"/>
    <w:rsid w:val="004578F9"/>
    <w:rsid w:val="00460CAF"/>
    <w:rsid w:val="004620FE"/>
    <w:rsid w:val="0047250B"/>
    <w:rsid w:val="00472845"/>
    <w:rsid w:val="004758BD"/>
    <w:rsid w:val="00480946"/>
    <w:rsid w:val="004920FD"/>
    <w:rsid w:val="00492751"/>
    <w:rsid w:val="004933F2"/>
    <w:rsid w:val="004941C8"/>
    <w:rsid w:val="00494577"/>
    <w:rsid w:val="00494658"/>
    <w:rsid w:val="004A1CD5"/>
    <w:rsid w:val="004A2CD5"/>
    <w:rsid w:val="004A3D45"/>
    <w:rsid w:val="004A4D93"/>
    <w:rsid w:val="004B0C2E"/>
    <w:rsid w:val="004B228F"/>
    <w:rsid w:val="004B2F7C"/>
    <w:rsid w:val="004B3E4F"/>
    <w:rsid w:val="004C0295"/>
    <w:rsid w:val="004C0C8E"/>
    <w:rsid w:val="004C116E"/>
    <w:rsid w:val="004C21EF"/>
    <w:rsid w:val="004C2794"/>
    <w:rsid w:val="004C52C7"/>
    <w:rsid w:val="004C56C7"/>
    <w:rsid w:val="004C6FD6"/>
    <w:rsid w:val="004C77EF"/>
    <w:rsid w:val="004D0D37"/>
    <w:rsid w:val="004D227D"/>
    <w:rsid w:val="004D336C"/>
    <w:rsid w:val="004D4A8A"/>
    <w:rsid w:val="004D5661"/>
    <w:rsid w:val="004D5DF7"/>
    <w:rsid w:val="004D68C1"/>
    <w:rsid w:val="004D6B1D"/>
    <w:rsid w:val="004D79AE"/>
    <w:rsid w:val="004D7BD4"/>
    <w:rsid w:val="004E2EBA"/>
    <w:rsid w:val="004F446F"/>
    <w:rsid w:val="0050445B"/>
    <w:rsid w:val="0050454D"/>
    <w:rsid w:val="00514C83"/>
    <w:rsid w:val="00514CA1"/>
    <w:rsid w:val="005223CE"/>
    <w:rsid w:val="005249A9"/>
    <w:rsid w:val="00524DA3"/>
    <w:rsid w:val="00530F95"/>
    <w:rsid w:val="0053428E"/>
    <w:rsid w:val="005348AD"/>
    <w:rsid w:val="00542926"/>
    <w:rsid w:val="00544358"/>
    <w:rsid w:val="005475FA"/>
    <w:rsid w:val="005514CB"/>
    <w:rsid w:val="005570F2"/>
    <w:rsid w:val="0056079E"/>
    <w:rsid w:val="00561837"/>
    <w:rsid w:val="00564652"/>
    <w:rsid w:val="00565D91"/>
    <w:rsid w:val="0056601F"/>
    <w:rsid w:val="00572517"/>
    <w:rsid w:val="00573AB0"/>
    <w:rsid w:val="00573FA0"/>
    <w:rsid w:val="005753ED"/>
    <w:rsid w:val="0057584C"/>
    <w:rsid w:val="00575A5B"/>
    <w:rsid w:val="00576386"/>
    <w:rsid w:val="0057651B"/>
    <w:rsid w:val="005771AA"/>
    <w:rsid w:val="00577A72"/>
    <w:rsid w:val="00577E07"/>
    <w:rsid w:val="00581F5A"/>
    <w:rsid w:val="00584469"/>
    <w:rsid w:val="0058597D"/>
    <w:rsid w:val="00587111"/>
    <w:rsid w:val="00592759"/>
    <w:rsid w:val="00594221"/>
    <w:rsid w:val="005A071E"/>
    <w:rsid w:val="005A0740"/>
    <w:rsid w:val="005A3FCF"/>
    <w:rsid w:val="005A7A3F"/>
    <w:rsid w:val="005B04C3"/>
    <w:rsid w:val="005C29BC"/>
    <w:rsid w:val="005C2A93"/>
    <w:rsid w:val="005C4F9D"/>
    <w:rsid w:val="005C6202"/>
    <w:rsid w:val="005C65F4"/>
    <w:rsid w:val="005C663F"/>
    <w:rsid w:val="005C67A5"/>
    <w:rsid w:val="005D031B"/>
    <w:rsid w:val="005D5D49"/>
    <w:rsid w:val="005D6763"/>
    <w:rsid w:val="005D7F6E"/>
    <w:rsid w:val="005E010E"/>
    <w:rsid w:val="005E360E"/>
    <w:rsid w:val="005E575B"/>
    <w:rsid w:val="005E75FB"/>
    <w:rsid w:val="005F203D"/>
    <w:rsid w:val="006003FA"/>
    <w:rsid w:val="006006EE"/>
    <w:rsid w:val="00603675"/>
    <w:rsid w:val="00605BC3"/>
    <w:rsid w:val="00610B42"/>
    <w:rsid w:val="00610CCD"/>
    <w:rsid w:val="00610FF9"/>
    <w:rsid w:val="006110E8"/>
    <w:rsid w:val="00612508"/>
    <w:rsid w:val="00612F12"/>
    <w:rsid w:val="00615217"/>
    <w:rsid w:val="00617801"/>
    <w:rsid w:val="0061788D"/>
    <w:rsid w:val="0062083B"/>
    <w:rsid w:val="006228CE"/>
    <w:rsid w:val="00623AC8"/>
    <w:rsid w:val="006300C5"/>
    <w:rsid w:val="00634C7D"/>
    <w:rsid w:val="00635CEF"/>
    <w:rsid w:val="00635F14"/>
    <w:rsid w:val="00636FFD"/>
    <w:rsid w:val="00641DBC"/>
    <w:rsid w:val="00644267"/>
    <w:rsid w:val="00647F27"/>
    <w:rsid w:val="00650358"/>
    <w:rsid w:val="006505DD"/>
    <w:rsid w:val="0065259F"/>
    <w:rsid w:val="00652E16"/>
    <w:rsid w:val="006542F2"/>
    <w:rsid w:val="006545B0"/>
    <w:rsid w:val="0065627C"/>
    <w:rsid w:val="00656558"/>
    <w:rsid w:val="006605CE"/>
    <w:rsid w:val="00660802"/>
    <w:rsid w:val="00663DA8"/>
    <w:rsid w:val="006647D9"/>
    <w:rsid w:val="00664E7A"/>
    <w:rsid w:val="0066732A"/>
    <w:rsid w:val="006674A2"/>
    <w:rsid w:val="00667EA0"/>
    <w:rsid w:val="00671419"/>
    <w:rsid w:val="00671D7D"/>
    <w:rsid w:val="006727E6"/>
    <w:rsid w:val="00673A37"/>
    <w:rsid w:val="00673E16"/>
    <w:rsid w:val="006752B8"/>
    <w:rsid w:val="006754EF"/>
    <w:rsid w:val="00675924"/>
    <w:rsid w:val="00682741"/>
    <w:rsid w:val="0069225C"/>
    <w:rsid w:val="00693CCD"/>
    <w:rsid w:val="00697816"/>
    <w:rsid w:val="006A02FC"/>
    <w:rsid w:val="006A10AA"/>
    <w:rsid w:val="006A37FF"/>
    <w:rsid w:val="006A4A41"/>
    <w:rsid w:val="006A6DAA"/>
    <w:rsid w:val="006A7C69"/>
    <w:rsid w:val="006B4D20"/>
    <w:rsid w:val="006C066B"/>
    <w:rsid w:val="006C55FC"/>
    <w:rsid w:val="006C70EC"/>
    <w:rsid w:val="006C764D"/>
    <w:rsid w:val="006D2E48"/>
    <w:rsid w:val="006D5BAB"/>
    <w:rsid w:val="006D5C3F"/>
    <w:rsid w:val="006D6BB5"/>
    <w:rsid w:val="006E0B30"/>
    <w:rsid w:val="006E2EAE"/>
    <w:rsid w:val="006E32E2"/>
    <w:rsid w:val="006E49BE"/>
    <w:rsid w:val="006E4A3B"/>
    <w:rsid w:val="006F020A"/>
    <w:rsid w:val="006F0B31"/>
    <w:rsid w:val="006F1F9D"/>
    <w:rsid w:val="006F5C51"/>
    <w:rsid w:val="006F7A67"/>
    <w:rsid w:val="006F7F12"/>
    <w:rsid w:val="00700064"/>
    <w:rsid w:val="00700CA0"/>
    <w:rsid w:val="007010B9"/>
    <w:rsid w:val="00702B0C"/>
    <w:rsid w:val="00703BF3"/>
    <w:rsid w:val="00704278"/>
    <w:rsid w:val="00706508"/>
    <w:rsid w:val="00707255"/>
    <w:rsid w:val="00707746"/>
    <w:rsid w:val="00711E4F"/>
    <w:rsid w:val="00712207"/>
    <w:rsid w:val="00713E00"/>
    <w:rsid w:val="00716741"/>
    <w:rsid w:val="00717410"/>
    <w:rsid w:val="00717BD8"/>
    <w:rsid w:val="00720247"/>
    <w:rsid w:val="00721BB1"/>
    <w:rsid w:val="00721D49"/>
    <w:rsid w:val="00723292"/>
    <w:rsid w:val="00725B47"/>
    <w:rsid w:val="00733852"/>
    <w:rsid w:val="00734AE2"/>
    <w:rsid w:val="007368D9"/>
    <w:rsid w:val="0073695B"/>
    <w:rsid w:val="00741A40"/>
    <w:rsid w:val="00745C46"/>
    <w:rsid w:val="00746FD5"/>
    <w:rsid w:val="007475CD"/>
    <w:rsid w:val="00750075"/>
    <w:rsid w:val="00751EEA"/>
    <w:rsid w:val="007540D2"/>
    <w:rsid w:val="00754415"/>
    <w:rsid w:val="00754C19"/>
    <w:rsid w:val="007555E1"/>
    <w:rsid w:val="007571F3"/>
    <w:rsid w:val="00760767"/>
    <w:rsid w:val="00763709"/>
    <w:rsid w:val="007646F5"/>
    <w:rsid w:val="0077158F"/>
    <w:rsid w:val="007724B2"/>
    <w:rsid w:val="00772F7D"/>
    <w:rsid w:val="007736D9"/>
    <w:rsid w:val="00777F6D"/>
    <w:rsid w:val="0078067E"/>
    <w:rsid w:val="007825E7"/>
    <w:rsid w:val="007856DE"/>
    <w:rsid w:val="00785E13"/>
    <w:rsid w:val="007932DC"/>
    <w:rsid w:val="00793542"/>
    <w:rsid w:val="00795DDD"/>
    <w:rsid w:val="007966A0"/>
    <w:rsid w:val="007A18D7"/>
    <w:rsid w:val="007A1CA4"/>
    <w:rsid w:val="007A1D4F"/>
    <w:rsid w:val="007A1D5F"/>
    <w:rsid w:val="007A207B"/>
    <w:rsid w:val="007A46F3"/>
    <w:rsid w:val="007A6EC9"/>
    <w:rsid w:val="007B0246"/>
    <w:rsid w:val="007B1EDD"/>
    <w:rsid w:val="007B2614"/>
    <w:rsid w:val="007B2D01"/>
    <w:rsid w:val="007C0064"/>
    <w:rsid w:val="007C0606"/>
    <w:rsid w:val="007C0C5A"/>
    <w:rsid w:val="007C2714"/>
    <w:rsid w:val="007C651D"/>
    <w:rsid w:val="007C6D89"/>
    <w:rsid w:val="007C784F"/>
    <w:rsid w:val="007D07B1"/>
    <w:rsid w:val="007D0B9F"/>
    <w:rsid w:val="007D2A21"/>
    <w:rsid w:val="007D363D"/>
    <w:rsid w:val="007D7A4A"/>
    <w:rsid w:val="007E0A31"/>
    <w:rsid w:val="007E2A19"/>
    <w:rsid w:val="007E61A1"/>
    <w:rsid w:val="007E725D"/>
    <w:rsid w:val="007F05A9"/>
    <w:rsid w:val="007F2F0A"/>
    <w:rsid w:val="007F47AF"/>
    <w:rsid w:val="007F4823"/>
    <w:rsid w:val="007F5006"/>
    <w:rsid w:val="007F572F"/>
    <w:rsid w:val="00802F75"/>
    <w:rsid w:val="00803DBA"/>
    <w:rsid w:val="0080514B"/>
    <w:rsid w:val="00806299"/>
    <w:rsid w:val="00810AB8"/>
    <w:rsid w:val="008130A6"/>
    <w:rsid w:val="008166A5"/>
    <w:rsid w:val="00816EE6"/>
    <w:rsid w:val="00817F83"/>
    <w:rsid w:val="00822557"/>
    <w:rsid w:val="008247D3"/>
    <w:rsid w:val="008276C9"/>
    <w:rsid w:val="008367C7"/>
    <w:rsid w:val="00837596"/>
    <w:rsid w:val="00842C0E"/>
    <w:rsid w:val="00844088"/>
    <w:rsid w:val="00846834"/>
    <w:rsid w:val="008504C6"/>
    <w:rsid w:val="00851689"/>
    <w:rsid w:val="00864E11"/>
    <w:rsid w:val="00865699"/>
    <w:rsid w:val="00866793"/>
    <w:rsid w:val="008709D1"/>
    <w:rsid w:val="00870A08"/>
    <w:rsid w:val="00871B72"/>
    <w:rsid w:val="00872DE0"/>
    <w:rsid w:val="00874201"/>
    <w:rsid w:val="008763E3"/>
    <w:rsid w:val="008774FA"/>
    <w:rsid w:val="00883516"/>
    <w:rsid w:val="00884646"/>
    <w:rsid w:val="008850CF"/>
    <w:rsid w:val="00886535"/>
    <w:rsid w:val="00890062"/>
    <w:rsid w:val="008918CE"/>
    <w:rsid w:val="00892CD1"/>
    <w:rsid w:val="00894DCD"/>
    <w:rsid w:val="00896333"/>
    <w:rsid w:val="008A70AD"/>
    <w:rsid w:val="008B1478"/>
    <w:rsid w:val="008B1786"/>
    <w:rsid w:val="008B18A0"/>
    <w:rsid w:val="008B1CEF"/>
    <w:rsid w:val="008B2357"/>
    <w:rsid w:val="008B2844"/>
    <w:rsid w:val="008B29E0"/>
    <w:rsid w:val="008B5264"/>
    <w:rsid w:val="008B57A7"/>
    <w:rsid w:val="008B7537"/>
    <w:rsid w:val="008C0EBE"/>
    <w:rsid w:val="008C2BBA"/>
    <w:rsid w:val="008C391D"/>
    <w:rsid w:val="008C6D5F"/>
    <w:rsid w:val="008C7CA6"/>
    <w:rsid w:val="008D40FE"/>
    <w:rsid w:val="008D43E7"/>
    <w:rsid w:val="008D4C49"/>
    <w:rsid w:val="008D6358"/>
    <w:rsid w:val="008E12AB"/>
    <w:rsid w:val="008E14D1"/>
    <w:rsid w:val="008E1C7B"/>
    <w:rsid w:val="008E2364"/>
    <w:rsid w:val="008E2770"/>
    <w:rsid w:val="008E30DC"/>
    <w:rsid w:val="008E511C"/>
    <w:rsid w:val="008E67F3"/>
    <w:rsid w:val="008E7B6C"/>
    <w:rsid w:val="008F1D37"/>
    <w:rsid w:val="008F1D5F"/>
    <w:rsid w:val="008F2864"/>
    <w:rsid w:val="008F6E47"/>
    <w:rsid w:val="00900617"/>
    <w:rsid w:val="009014E5"/>
    <w:rsid w:val="00903BAA"/>
    <w:rsid w:val="00903FA0"/>
    <w:rsid w:val="00904918"/>
    <w:rsid w:val="00904ECE"/>
    <w:rsid w:val="00906E6C"/>
    <w:rsid w:val="009120BA"/>
    <w:rsid w:val="0091280E"/>
    <w:rsid w:val="009159B2"/>
    <w:rsid w:val="00916B0E"/>
    <w:rsid w:val="00917B02"/>
    <w:rsid w:val="00921FFB"/>
    <w:rsid w:val="009229AE"/>
    <w:rsid w:val="0092419A"/>
    <w:rsid w:val="00924F11"/>
    <w:rsid w:val="0092739F"/>
    <w:rsid w:val="009321A8"/>
    <w:rsid w:val="00933775"/>
    <w:rsid w:val="00947C39"/>
    <w:rsid w:val="009502EC"/>
    <w:rsid w:val="0095117D"/>
    <w:rsid w:val="00953FCB"/>
    <w:rsid w:val="00960093"/>
    <w:rsid w:val="009600A0"/>
    <w:rsid w:val="00961C2A"/>
    <w:rsid w:val="00964399"/>
    <w:rsid w:val="00965E68"/>
    <w:rsid w:val="00970927"/>
    <w:rsid w:val="00971D25"/>
    <w:rsid w:val="00971E07"/>
    <w:rsid w:val="00973404"/>
    <w:rsid w:val="009777D3"/>
    <w:rsid w:val="00977B76"/>
    <w:rsid w:val="0098367C"/>
    <w:rsid w:val="00983FF0"/>
    <w:rsid w:val="00984454"/>
    <w:rsid w:val="00984909"/>
    <w:rsid w:val="00986312"/>
    <w:rsid w:val="0098637D"/>
    <w:rsid w:val="009872AE"/>
    <w:rsid w:val="00990C2B"/>
    <w:rsid w:val="00990F63"/>
    <w:rsid w:val="00991070"/>
    <w:rsid w:val="00991A06"/>
    <w:rsid w:val="00996DDB"/>
    <w:rsid w:val="009971D5"/>
    <w:rsid w:val="009A0CAB"/>
    <w:rsid w:val="009A4653"/>
    <w:rsid w:val="009B0841"/>
    <w:rsid w:val="009B3780"/>
    <w:rsid w:val="009B55DC"/>
    <w:rsid w:val="009B74B1"/>
    <w:rsid w:val="009B7F77"/>
    <w:rsid w:val="009C0574"/>
    <w:rsid w:val="009C0877"/>
    <w:rsid w:val="009C0E8E"/>
    <w:rsid w:val="009C0F94"/>
    <w:rsid w:val="009C1F21"/>
    <w:rsid w:val="009C4BD9"/>
    <w:rsid w:val="009C641A"/>
    <w:rsid w:val="009C7DEA"/>
    <w:rsid w:val="009D19EE"/>
    <w:rsid w:val="009D1D88"/>
    <w:rsid w:val="009D6CBB"/>
    <w:rsid w:val="009E4E6C"/>
    <w:rsid w:val="009E4FE9"/>
    <w:rsid w:val="009E5C81"/>
    <w:rsid w:val="009E7E7C"/>
    <w:rsid w:val="009F037B"/>
    <w:rsid w:val="009F0C50"/>
    <w:rsid w:val="009F0E61"/>
    <w:rsid w:val="00A022D0"/>
    <w:rsid w:val="00A03789"/>
    <w:rsid w:val="00A05D16"/>
    <w:rsid w:val="00A1646B"/>
    <w:rsid w:val="00A17DA0"/>
    <w:rsid w:val="00A20099"/>
    <w:rsid w:val="00A24E21"/>
    <w:rsid w:val="00A271A1"/>
    <w:rsid w:val="00A3245D"/>
    <w:rsid w:val="00A33FE0"/>
    <w:rsid w:val="00A3401A"/>
    <w:rsid w:val="00A417FB"/>
    <w:rsid w:val="00A424EA"/>
    <w:rsid w:val="00A434C4"/>
    <w:rsid w:val="00A440DD"/>
    <w:rsid w:val="00A509B4"/>
    <w:rsid w:val="00A57495"/>
    <w:rsid w:val="00A6138F"/>
    <w:rsid w:val="00A61B4C"/>
    <w:rsid w:val="00A62583"/>
    <w:rsid w:val="00A653B5"/>
    <w:rsid w:val="00A67EA3"/>
    <w:rsid w:val="00A7370B"/>
    <w:rsid w:val="00A7465D"/>
    <w:rsid w:val="00A76E19"/>
    <w:rsid w:val="00A8324E"/>
    <w:rsid w:val="00A84C8B"/>
    <w:rsid w:val="00A85B44"/>
    <w:rsid w:val="00A8658E"/>
    <w:rsid w:val="00A87DFC"/>
    <w:rsid w:val="00A90FA3"/>
    <w:rsid w:val="00A91132"/>
    <w:rsid w:val="00A91CDB"/>
    <w:rsid w:val="00A92664"/>
    <w:rsid w:val="00A9476E"/>
    <w:rsid w:val="00A953A8"/>
    <w:rsid w:val="00A9712A"/>
    <w:rsid w:val="00AA0E56"/>
    <w:rsid w:val="00AA1524"/>
    <w:rsid w:val="00AA78B7"/>
    <w:rsid w:val="00AB0A9F"/>
    <w:rsid w:val="00AB18B3"/>
    <w:rsid w:val="00AB2368"/>
    <w:rsid w:val="00AB4907"/>
    <w:rsid w:val="00AC09A2"/>
    <w:rsid w:val="00AC3651"/>
    <w:rsid w:val="00AC37AD"/>
    <w:rsid w:val="00AC4346"/>
    <w:rsid w:val="00AC4D52"/>
    <w:rsid w:val="00AC795A"/>
    <w:rsid w:val="00AD2AB4"/>
    <w:rsid w:val="00AD3736"/>
    <w:rsid w:val="00AD4A51"/>
    <w:rsid w:val="00AD4ECC"/>
    <w:rsid w:val="00AD5230"/>
    <w:rsid w:val="00AD6C9C"/>
    <w:rsid w:val="00AE1F03"/>
    <w:rsid w:val="00AE2624"/>
    <w:rsid w:val="00AE4D10"/>
    <w:rsid w:val="00AE55D5"/>
    <w:rsid w:val="00AE5AFE"/>
    <w:rsid w:val="00AE6E12"/>
    <w:rsid w:val="00AF081B"/>
    <w:rsid w:val="00AF2A6B"/>
    <w:rsid w:val="00AF5ADB"/>
    <w:rsid w:val="00AF6DCF"/>
    <w:rsid w:val="00AF769A"/>
    <w:rsid w:val="00B0031B"/>
    <w:rsid w:val="00B008FF"/>
    <w:rsid w:val="00B03AF8"/>
    <w:rsid w:val="00B045C5"/>
    <w:rsid w:val="00B04FF6"/>
    <w:rsid w:val="00B05885"/>
    <w:rsid w:val="00B118CA"/>
    <w:rsid w:val="00B1316A"/>
    <w:rsid w:val="00B14AFA"/>
    <w:rsid w:val="00B15889"/>
    <w:rsid w:val="00B203B2"/>
    <w:rsid w:val="00B24AE5"/>
    <w:rsid w:val="00B25CDA"/>
    <w:rsid w:val="00B26B19"/>
    <w:rsid w:val="00B35761"/>
    <w:rsid w:val="00B368CF"/>
    <w:rsid w:val="00B36F81"/>
    <w:rsid w:val="00B40BBA"/>
    <w:rsid w:val="00B41123"/>
    <w:rsid w:val="00B41D5A"/>
    <w:rsid w:val="00B425AE"/>
    <w:rsid w:val="00B43881"/>
    <w:rsid w:val="00B46F9B"/>
    <w:rsid w:val="00B47527"/>
    <w:rsid w:val="00B518E3"/>
    <w:rsid w:val="00B51A7E"/>
    <w:rsid w:val="00B55FA1"/>
    <w:rsid w:val="00B620F5"/>
    <w:rsid w:val="00B64166"/>
    <w:rsid w:val="00B721EA"/>
    <w:rsid w:val="00B74066"/>
    <w:rsid w:val="00B7406E"/>
    <w:rsid w:val="00B822F0"/>
    <w:rsid w:val="00B82928"/>
    <w:rsid w:val="00B82AAF"/>
    <w:rsid w:val="00B8739E"/>
    <w:rsid w:val="00B927EC"/>
    <w:rsid w:val="00B92FC0"/>
    <w:rsid w:val="00B9473E"/>
    <w:rsid w:val="00B9568F"/>
    <w:rsid w:val="00B9782A"/>
    <w:rsid w:val="00BA075D"/>
    <w:rsid w:val="00BA18FF"/>
    <w:rsid w:val="00BA4566"/>
    <w:rsid w:val="00BA6761"/>
    <w:rsid w:val="00BA6968"/>
    <w:rsid w:val="00BA73C9"/>
    <w:rsid w:val="00BA7FAC"/>
    <w:rsid w:val="00BB071F"/>
    <w:rsid w:val="00BB1D2A"/>
    <w:rsid w:val="00BB5391"/>
    <w:rsid w:val="00BB5E7C"/>
    <w:rsid w:val="00BB70FA"/>
    <w:rsid w:val="00BB71EA"/>
    <w:rsid w:val="00BC45E2"/>
    <w:rsid w:val="00BD46FF"/>
    <w:rsid w:val="00BD5DFB"/>
    <w:rsid w:val="00BD68F2"/>
    <w:rsid w:val="00BE0518"/>
    <w:rsid w:val="00BE1C5A"/>
    <w:rsid w:val="00BE2E12"/>
    <w:rsid w:val="00BE3AAC"/>
    <w:rsid w:val="00BE52CF"/>
    <w:rsid w:val="00BE7192"/>
    <w:rsid w:val="00BE747E"/>
    <w:rsid w:val="00BE7C64"/>
    <w:rsid w:val="00BF1675"/>
    <w:rsid w:val="00BF4194"/>
    <w:rsid w:val="00BF4859"/>
    <w:rsid w:val="00BF5A38"/>
    <w:rsid w:val="00BF5C7D"/>
    <w:rsid w:val="00C009C1"/>
    <w:rsid w:val="00C04A46"/>
    <w:rsid w:val="00C06412"/>
    <w:rsid w:val="00C10DCE"/>
    <w:rsid w:val="00C11F24"/>
    <w:rsid w:val="00C14813"/>
    <w:rsid w:val="00C16019"/>
    <w:rsid w:val="00C211BB"/>
    <w:rsid w:val="00C2199B"/>
    <w:rsid w:val="00C21FEF"/>
    <w:rsid w:val="00C25E40"/>
    <w:rsid w:val="00C30998"/>
    <w:rsid w:val="00C30DBA"/>
    <w:rsid w:val="00C32248"/>
    <w:rsid w:val="00C3495C"/>
    <w:rsid w:val="00C40D53"/>
    <w:rsid w:val="00C4229F"/>
    <w:rsid w:val="00C43A08"/>
    <w:rsid w:val="00C45734"/>
    <w:rsid w:val="00C45EE2"/>
    <w:rsid w:val="00C46C01"/>
    <w:rsid w:val="00C46DA7"/>
    <w:rsid w:val="00C476B9"/>
    <w:rsid w:val="00C50504"/>
    <w:rsid w:val="00C55887"/>
    <w:rsid w:val="00C56E0C"/>
    <w:rsid w:val="00C57C47"/>
    <w:rsid w:val="00C6154C"/>
    <w:rsid w:val="00C62728"/>
    <w:rsid w:val="00C63453"/>
    <w:rsid w:val="00C64137"/>
    <w:rsid w:val="00C6441E"/>
    <w:rsid w:val="00C64C65"/>
    <w:rsid w:val="00C64E36"/>
    <w:rsid w:val="00C65114"/>
    <w:rsid w:val="00C6673E"/>
    <w:rsid w:val="00C672E4"/>
    <w:rsid w:val="00C67309"/>
    <w:rsid w:val="00C7379F"/>
    <w:rsid w:val="00C73C87"/>
    <w:rsid w:val="00C81F98"/>
    <w:rsid w:val="00C82D15"/>
    <w:rsid w:val="00C82F9C"/>
    <w:rsid w:val="00C8487F"/>
    <w:rsid w:val="00C87D86"/>
    <w:rsid w:val="00C92C9B"/>
    <w:rsid w:val="00C9329D"/>
    <w:rsid w:val="00C974BE"/>
    <w:rsid w:val="00CA06F3"/>
    <w:rsid w:val="00CA1FA1"/>
    <w:rsid w:val="00CB0492"/>
    <w:rsid w:val="00CB0B21"/>
    <w:rsid w:val="00CB350B"/>
    <w:rsid w:val="00CB3922"/>
    <w:rsid w:val="00CB5363"/>
    <w:rsid w:val="00CB6A97"/>
    <w:rsid w:val="00CC1187"/>
    <w:rsid w:val="00CC1483"/>
    <w:rsid w:val="00CC5371"/>
    <w:rsid w:val="00CC6788"/>
    <w:rsid w:val="00CC7BC8"/>
    <w:rsid w:val="00CD2703"/>
    <w:rsid w:val="00CD5589"/>
    <w:rsid w:val="00CD6C10"/>
    <w:rsid w:val="00CE2E2E"/>
    <w:rsid w:val="00CE4D3A"/>
    <w:rsid w:val="00CE665A"/>
    <w:rsid w:val="00CE6B3F"/>
    <w:rsid w:val="00CE6F57"/>
    <w:rsid w:val="00CE7B8B"/>
    <w:rsid w:val="00CF26E3"/>
    <w:rsid w:val="00CF367F"/>
    <w:rsid w:val="00CF4462"/>
    <w:rsid w:val="00CF6521"/>
    <w:rsid w:val="00CF6AF5"/>
    <w:rsid w:val="00D001C3"/>
    <w:rsid w:val="00D04535"/>
    <w:rsid w:val="00D10154"/>
    <w:rsid w:val="00D12DCF"/>
    <w:rsid w:val="00D13FF7"/>
    <w:rsid w:val="00D17A4A"/>
    <w:rsid w:val="00D23EF2"/>
    <w:rsid w:val="00D32D11"/>
    <w:rsid w:val="00D32E61"/>
    <w:rsid w:val="00D33E19"/>
    <w:rsid w:val="00D353F4"/>
    <w:rsid w:val="00D377CC"/>
    <w:rsid w:val="00D40DBC"/>
    <w:rsid w:val="00D40F00"/>
    <w:rsid w:val="00D43914"/>
    <w:rsid w:val="00D45400"/>
    <w:rsid w:val="00D45A01"/>
    <w:rsid w:val="00D46F72"/>
    <w:rsid w:val="00D471D0"/>
    <w:rsid w:val="00D548D5"/>
    <w:rsid w:val="00D54A95"/>
    <w:rsid w:val="00D5697D"/>
    <w:rsid w:val="00D56BA4"/>
    <w:rsid w:val="00D6039C"/>
    <w:rsid w:val="00D64864"/>
    <w:rsid w:val="00D66BCB"/>
    <w:rsid w:val="00D718FF"/>
    <w:rsid w:val="00D76390"/>
    <w:rsid w:val="00D805C2"/>
    <w:rsid w:val="00D81BC1"/>
    <w:rsid w:val="00D86C2C"/>
    <w:rsid w:val="00D878A8"/>
    <w:rsid w:val="00D90C9C"/>
    <w:rsid w:val="00D974E4"/>
    <w:rsid w:val="00DA1F7D"/>
    <w:rsid w:val="00DA39B6"/>
    <w:rsid w:val="00DB2DA3"/>
    <w:rsid w:val="00DB4913"/>
    <w:rsid w:val="00DB5776"/>
    <w:rsid w:val="00DB7638"/>
    <w:rsid w:val="00DC0CF4"/>
    <w:rsid w:val="00DC10B3"/>
    <w:rsid w:val="00DC3386"/>
    <w:rsid w:val="00DC3F52"/>
    <w:rsid w:val="00DC50DF"/>
    <w:rsid w:val="00DD13D7"/>
    <w:rsid w:val="00DD321D"/>
    <w:rsid w:val="00DD5152"/>
    <w:rsid w:val="00DE3CEB"/>
    <w:rsid w:val="00DE4762"/>
    <w:rsid w:val="00DE76EF"/>
    <w:rsid w:val="00DF2332"/>
    <w:rsid w:val="00DF5D7C"/>
    <w:rsid w:val="00DF737F"/>
    <w:rsid w:val="00DF76B9"/>
    <w:rsid w:val="00DF7F49"/>
    <w:rsid w:val="00E002E8"/>
    <w:rsid w:val="00E00353"/>
    <w:rsid w:val="00E02016"/>
    <w:rsid w:val="00E0231D"/>
    <w:rsid w:val="00E04583"/>
    <w:rsid w:val="00E050C7"/>
    <w:rsid w:val="00E0511C"/>
    <w:rsid w:val="00E1017F"/>
    <w:rsid w:val="00E11564"/>
    <w:rsid w:val="00E126D6"/>
    <w:rsid w:val="00E12AF4"/>
    <w:rsid w:val="00E146E8"/>
    <w:rsid w:val="00E165BE"/>
    <w:rsid w:val="00E231B9"/>
    <w:rsid w:val="00E24A57"/>
    <w:rsid w:val="00E24C34"/>
    <w:rsid w:val="00E25D86"/>
    <w:rsid w:val="00E26B69"/>
    <w:rsid w:val="00E30F30"/>
    <w:rsid w:val="00E3144C"/>
    <w:rsid w:val="00E3366E"/>
    <w:rsid w:val="00E33C2C"/>
    <w:rsid w:val="00E362AC"/>
    <w:rsid w:val="00E36541"/>
    <w:rsid w:val="00E42176"/>
    <w:rsid w:val="00E42F9A"/>
    <w:rsid w:val="00E43980"/>
    <w:rsid w:val="00E46480"/>
    <w:rsid w:val="00E47D05"/>
    <w:rsid w:val="00E53153"/>
    <w:rsid w:val="00E539DC"/>
    <w:rsid w:val="00E56880"/>
    <w:rsid w:val="00E60B6D"/>
    <w:rsid w:val="00E6189F"/>
    <w:rsid w:val="00E6215F"/>
    <w:rsid w:val="00E70FB8"/>
    <w:rsid w:val="00E724D7"/>
    <w:rsid w:val="00E7661A"/>
    <w:rsid w:val="00E76DB2"/>
    <w:rsid w:val="00E81E82"/>
    <w:rsid w:val="00E830B9"/>
    <w:rsid w:val="00E84161"/>
    <w:rsid w:val="00E85A08"/>
    <w:rsid w:val="00E85C8A"/>
    <w:rsid w:val="00E860FA"/>
    <w:rsid w:val="00E87D32"/>
    <w:rsid w:val="00E90883"/>
    <w:rsid w:val="00E90B25"/>
    <w:rsid w:val="00E91196"/>
    <w:rsid w:val="00E96845"/>
    <w:rsid w:val="00E9711D"/>
    <w:rsid w:val="00EA624A"/>
    <w:rsid w:val="00EB436F"/>
    <w:rsid w:val="00EC185C"/>
    <w:rsid w:val="00EC5171"/>
    <w:rsid w:val="00EC6D79"/>
    <w:rsid w:val="00ED131A"/>
    <w:rsid w:val="00ED176E"/>
    <w:rsid w:val="00ED22D3"/>
    <w:rsid w:val="00ED3A9B"/>
    <w:rsid w:val="00ED50E9"/>
    <w:rsid w:val="00ED6CAC"/>
    <w:rsid w:val="00EE2197"/>
    <w:rsid w:val="00EE7746"/>
    <w:rsid w:val="00EE7948"/>
    <w:rsid w:val="00EF0056"/>
    <w:rsid w:val="00EF0446"/>
    <w:rsid w:val="00EF0820"/>
    <w:rsid w:val="00EF221F"/>
    <w:rsid w:val="00EF2483"/>
    <w:rsid w:val="00EF327E"/>
    <w:rsid w:val="00EF4FFC"/>
    <w:rsid w:val="00EF5D08"/>
    <w:rsid w:val="00EF5F1E"/>
    <w:rsid w:val="00F0297B"/>
    <w:rsid w:val="00F03927"/>
    <w:rsid w:val="00F07680"/>
    <w:rsid w:val="00F1001E"/>
    <w:rsid w:val="00F10D46"/>
    <w:rsid w:val="00F11972"/>
    <w:rsid w:val="00F13A46"/>
    <w:rsid w:val="00F159F9"/>
    <w:rsid w:val="00F16A99"/>
    <w:rsid w:val="00F16EC6"/>
    <w:rsid w:val="00F16F23"/>
    <w:rsid w:val="00F2026B"/>
    <w:rsid w:val="00F206B6"/>
    <w:rsid w:val="00F215CA"/>
    <w:rsid w:val="00F21E04"/>
    <w:rsid w:val="00F22CD2"/>
    <w:rsid w:val="00F249B4"/>
    <w:rsid w:val="00F25820"/>
    <w:rsid w:val="00F27A80"/>
    <w:rsid w:val="00F30504"/>
    <w:rsid w:val="00F30A21"/>
    <w:rsid w:val="00F30A8F"/>
    <w:rsid w:val="00F32B86"/>
    <w:rsid w:val="00F34AEA"/>
    <w:rsid w:val="00F35EA3"/>
    <w:rsid w:val="00F44935"/>
    <w:rsid w:val="00F44E36"/>
    <w:rsid w:val="00F50D1E"/>
    <w:rsid w:val="00F52368"/>
    <w:rsid w:val="00F53913"/>
    <w:rsid w:val="00F55E42"/>
    <w:rsid w:val="00F55FF0"/>
    <w:rsid w:val="00F57226"/>
    <w:rsid w:val="00F578A6"/>
    <w:rsid w:val="00F601EF"/>
    <w:rsid w:val="00F60557"/>
    <w:rsid w:val="00F6170B"/>
    <w:rsid w:val="00F61AF6"/>
    <w:rsid w:val="00F6371D"/>
    <w:rsid w:val="00F64C9C"/>
    <w:rsid w:val="00F65CEC"/>
    <w:rsid w:val="00F67D8C"/>
    <w:rsid w:val="00F70101"/>
    <w:rsid w:val="00F70D52"/>
    <w:rsid w:val="00F75ABF"/>
    <w:rsid w:val="00F76520"/>
    <w:rsid w:val="00F83500"/>
    <w:rsid w:val="00F83ED6"/>
    <w:rsid w:val="00F8497D"/>
    <w:rsid w:val="00F86734"/>
    <w:rsid w:val="00F9264A"/>
    <w:rsid w:val="00F9416E"/>
    <w:rsid w:val="00F9556D"/>
    <w:rsid w:val="00F96F35"/>
    <w:rsid w:val="00FA6E12"/>
    <w:rsid w:val="00FB0A2D"/>
    <w:rsid w:val="00FB218A"/>
    <w:rsid w:val="00FB4E88"/>
    <w:rsid w:val="00FB7413"/>
    <w:rsid w:val="00FB75B1"/>
    <w:rsid w:val="00FC19AC"/>
    <w:rsid w:val="00FC74E0"/>
    <w:rsid w:val="00FD0F88"/>
    <w:rsid w:val="00FD2F8C"/>
    <w:rsid w:val="00FD4FE7"/>
    <w:rsid w:val="00FD6BDE"/>
    <w:rsid w:val="00FD741B"/>
    <w:rsid w:val="00FE1D42"/>
    <w:rsid w:val="00FE4589"/>
    <w:rsid w:val="00FE4C9D"/>
    <w:rsid w:val="00FE510B"/>
    <w:rsid w:val="00FE5F48"/>
    <w:rsid w:val="00FE7382"/>
    <w:rsid w:val="00FF006F"/>
    <w:rsid w:val="00FF0D58"/>
    <w:rsid w:val="00FF19B7"/>
    <w:rsid w:val="00FF615C"/>
    <w:rsid w:val="10E6EAC6"/>
    <w:rsid w:val="1D84A231"/>
    <w:rsid w:val="21989081"/>
    <w:rsid w:val="2ACD86A4"/>
    <w:rsid w:val="333C3C02"/>
    <w:rsid w:val="35F6599B"/>
    <w:rsid w:val="369E346A"/>
    <w:rsid w:val="37B272C1"/>
    <w:rsid w:val="3EFF7556"/>
    <w:rsid w:val="464D75CE"/>
    <w:rsid w:val="4B077D15"/>
    <w:rsid w:val="5BBF56FD"/>
    <w:rsid w:val="600340A5"/>
    <w:rsid w:val="61902E92"/>
    <w:rsid w:val="6F19FCDB"/>
    <w:rsid w:val="788282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E3E3A9"/>
  <w15:docId w15:val="{97B1DA8E-E0C2-4975-B73F-E186C7C9BE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B4913"/>
    <w:pPr>
      <w:spacing w:line="360" w:lineRule="auto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21FEF"/>
    <w:pPr>
      <w:keepNext/>
      <w:spacing w:before="240" w:after="60"/>
      <w:outlineLvl w:val="0"/>
    </w:pPr>
    <w:rPr>
      <w:rFonts w:ascii="Cambria" w:hAnsi="Cambria" w:eastAsia="Times New Roman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har"/>
    <w:qFormat/>
    <w:rsid w:val="00B74066"/>
    <w:pPr>
      <w:keepNext/>
      <w:outlineLvl w:val="2"/>
    </w:pPr>
    <w:rPr>
      <w:rFonts w:ascii="Arial" w:hAnsi="Arial" w:eastAsia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FEF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FEF"/>
    <w:pPr>
      <w:spacing w:before="240" w:after="60"/>
      <w:outlineLvl w:val="6"/>
    </w:pPr>
    <w:rPr>
      <w:rFonts w:eastAsia="Times New Roman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C0574"/>
    <w:pPr>
      <w:tabs>
        <w:tab w:val="center" w:pos="4252"/>
        <w:tab w:val="right" w:pos="8504"/>
      </w:tabs>
      <w:spacing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9C0574"/>
  </w:style>
  <w:style w:type="paragraph" w:styleId="Rodap">
    <w:name w:val="footer"/>
    <w:basedOn w:val="Normal"/>
    <w:link w:val="RodapChar"/>
    <w:uiPriority w:val="99"/>
    <w:unhideWhenUsed/>
    <w:rsid w:val="009C0574"/>
    <w:pPr>
      <w:tabs>
        <w:tab w:val="center" w:pos="4252"/>
        <w:tab w:val="right" w:pos="8504"/>
      </w:tabs>
      <w:spacing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C0574"/>
  </w:style>
  <w:style w:type="paragraph" w:styleId="Textodebalo">
    <w:name w:val="Balloon Text"/>
    <w:basedOn w:val="Normal"/>
    <w:link w:val="TextodebaloChar"/>
    <w:uiPriority w:val="99"/>
    <w:semiHidden/>
    <w:unhideWhenUsed/>
    <w:rsid w:val="009C0574"/>
    <w:pPr>
      <w:spacing w:line="240" w:lineRule="auto"/>
    </w:pPr>
    <w:rPr>
      <w:rFonts w:ascii="Tahoma" w:hAnsi="Tahoma"/>
      <w:sz w:val="16"/>
      <w:szCs w:val="16"/>
    </w:rPr>
  </w:style>
  <w:style w:type="character" w:styleId="TextodebaloChar" w:customStyle="1">
    <w:name w:val="Texto de balão Char"/>
    <w:link w:val="Textodebalo"/>
    <w:uiPriority w:val="99"/>
    <w:semiHidden/>
    <w:rsid w:val="009C057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2D177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3Char" w:customStyle="1">
    <w:name w:val="Título 3 Char"/>
    <w:link w:val="Ttulo3"/>
    <w:rsid w:val="00B74066"/>
    <w:rPr>
      <w:rFonts w:ascii="Arial" w:hAnsi="Arial" w:eastAsia="Times New Roman" w:cs="Arial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rsid w:val="00B74066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rsid w:val="00B74066"/>
    <w:pPr>
      <w:spacing w:line="240" w:lineRule="auto"/>
    </w:pPr>
    <w:rPr>
      <w:rFonts w:ascii="Times New Roman" w:hAnsi="Times New Roman" w:eastAsia="Times New Roman"/>
      <w:sz w:val="20"/>
      <w:szCs w:val="20"/>
      <w:lang w:eastAsia="pt-BR"/>
    </w:rPr>
  </w:style>
  <w:style w:type="character" w:styleId="TextodenotaderodapChar" w:customStyle="1">
    <w:name w:val="Texto de nota de rodapé Char"/>
    <w:link w:val="Textodenotaderodap"/>
    <w:uiPriority w:val="99"/>
    <w:rsid w:val="00B74066"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fdenotaderodap">
    <w:name w:val="footnote reference"/>
    <w:semiHidden/>
    <w:rsid w:val="00B74066"/>
    <w:rPr>
      <w:vertAlign w:val="superscript"/>
    </w:rPr>
  </w:style>
  <w:style w:type="character" w:styleId="Forte">
    <w:name w:val="Strong"/>
    <w:uiPriority w:val="22"/>
    <w:qFormat/>
    <w:rsid w:val="00B74066"/>
    <w:rPr>
      <w:b/>
      <w:bCs/>
    </w:rPr>
  </w:style>
  <w:style w:type="character" w:styleId="nfase">
    <w:name w:val="Emphasis"/>
    <w:qFormat/>
    <w:rsid w:val="00B74066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unhideWhenUsed/>
    <w:rsid w:val="00B74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/>
      <w:sz w:val="20"/>
      <w:szCs w:val="20"/>
      <w:lang w:eastAsia="pt-BR"/>
    </w:rPr>
  </w:style>
  <w:style w:type="character" w:styleId="Pr-formataoHTMLChar" w:customStyle="1">
    <w:name w:val="Pré-formatação HTML Char"/>
    <w:link w:val="Pr-formataoHTML"/>
    <w:uiPriority w:val="99"/>
    <w:rsid w:val="00B74066"/>
    <w:rPr>
      <w:rFonts w:ascii="Courier New" w:hAnsi="Courier New" w:eastAsia="Times New Roman" w:cs="Courier New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rsid w:val="00B74066"/>
    <w:pPr>
      <w:tabs>
        <w:tab w:val="left" w:pos="2268"/>
      </w:tabs>
      <w:spacing w:line="240" w:lineRule="auto"/>
    </w:pPr>
    <w:rPr>
      <w:rFonts w:ascii="Arial" w:hAnsi="Arial" w:eastAsia="Times New Roman"/>
      <w:sz w:val="20"/>
      <w:szCs w:val="20"/>
      <w:lang w:eastAsia="pt-BR"/>
    </w:rPr>
  </w:style>
  <w:style w:type="character" w:styleId="Corpodetexto2Char" w:customStyle="1">
    <w:name w:val="Corpo de texto 2 Char"/>
    <w:link w:val="Corpodetexto2"/>
    <w:rsid w:val="00B74066"/>
    <w:rPr>
      <w:rFonts w:ascii="Arial" w:hAnsi="Arial" w:eastAsia="Times New Roman" w:cs="Times New Roman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237C07"/>
    <w:pPr>
      <w:ind w:left="720"/>
      <w:contextualSpacing/>
    </w:pPr>
  </w:style>
  <w:style w:type="character" w:styleId="Hyperlink">
    <w:name w:val="Hyperlink"/>
    <w:uiPriority w:val="99"/>
    <w:rsid w:val="00237C07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237C07"/>
    <w:rPr>
      <w:color w:val="800080"/>
      <w:u w:val="single"/>
    </w:rPr>
  </w:style>
  <w:style w:type="character" w:styleId="Ttulo1Char" w:customStyle="1">
    <w:name w:val="Título 1 Char"/>
    <w:link w:val="Ttulo1"/>
    <w:uiPriority w:val="9"/>
    <w:rsid w:val="00C21FEF"/>
    <w:rPr>
      <w:rFonts w:ascii="Cambria" w:hAnsi="Cambria" w:eastAsia="Times New Roman"/>
      <w:b/>
      <w:bCs/>
      <w:kern w:val="32"/>
      <w:sz w:val="32"/>
      <w:szCs w:val="32"/>
      <w:lang w:eastAsia="en-US"/>
    </w:rPr>
  </w:style>
  <w:style w:type="character" w:styleId="Ttulo4Char" w:customStyle="1">
    <w:name w:val="Título 4 Char"/>
    <w:link w:val="Ttulo4"/>
    <w:uiPriority w:val="9"/>
    <w:semiHidden/>
    <w:rsid w:val="00C21FEF"/>
    <w:rPr>
      <w:rFonts w:ascii="Calibri" w:hAnsi="Calibri" w:eastAsia="Times New Roman" w:cs="Times New Roman"/>
      <w:b/>
      <w:bCs/>
      <w:sz w:val="28"/>
      <w:szCs w:val="28"/>
      <w:lang w:eastAsia="en-US"/>
    </w:rPr>
  </w:style>
  <w:style w:type="character" w:styleId="Ttulo7Char" w:customStyle="1">
    <w:name w:val="Título 7 Char"/>
    <w:link w:val="Ttulo7"/>
    <w:uiPriority w:val="9"/>
    <w:semiHidden/>
    <w:rsid w:val="00C21FEF"/>
    <w:rPr>
      <w:rFonts w:ascii="Calibri" w:hAnsi="Calibri" w:eastAsia="Times New Roman" w:cs="Times New Roman"/>
      <w:sz w:val="24"/>
      <w:szCs w:val="24"/>
      <w:lang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C21FEF"/>
  </w:style>
  <w:style w:type="character" w:styleId="CorpodetextoChar" w:customStyle="1">
    <w:name w:val="Corpo de texto Char"/>
    <w:link w:val="Corpodetexto"/>
    <w:uiPriority w:val="99"/>
    <w:rsid w:val="00C21FEF"/>
    <w:rPr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C21FEF"/>
    <w:rPr>
      <w:sz w:val="16"/>
      <w:szCs w:val="16"/>
    </w:rPr>
  </w:style>
  <w:style w:type="character" w:styleId="Corpodetexto3Char" w:customStyle="1">
    <w:name w:val="Corpo de texto 3 Char"/>
    <w:link w:val="Corpodetexto3"/>
    <w:uiPriority w:val="99"/>
    <w:semiHidden/>
    <w:rsid w:val="00C21FEF"/>
    <w:rPr>
      <w:sz w:val="16"/>
      <w:szCs w:val="16"/>
      <w:lang w:eastAsia="en-US"/>
    </w:rPr>
  </w:style>
  <w:style w:type="character" w:styleId="Nmerodepgina">
    <w:name w:val="page number"/>
    <w:rsid w:val="0042319C"/>
  </w:style>
  <w:style w:type="paragraph" w:styleId="text1" w:customStyle="1">
    <w:name w:val="text1"/>
    <w:basedOn w:val="Normal"/>
    <w:rsid w:val="00DB4913"/>
    <w:pPr>
      <w:spacing w:before="263" w:after="263" w:line="240" w:lineRule="auto"/>
      <w:ind w:left="88" w:right="88"/>
      <w:jc w:val="left"/>
    </w:pPr>
    <w:rPr>
      <w:rFonts w:ascii="Times New Roman" w:hAnsi="Times New Roman" w:eastAsia="Times New Roman"/>
      <w:sz w:val="23"/>
      <w:szCs w:val="23"/>
      <w:lang w:eastAsia="pt-BR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EE2197"/>
    <w:rPr>
      <w:color w:val="808080"/>
      <w:shd w:val="clear" w:color="auto" w:fill="E6E6E6"/>
    </w:rPr>
  </w:style>
  <w:style w:type="paragraph" w:styleId="Default" w:customStyle="1">
    <w:name w:val="Default"/>
    <w:rsid w:val="005C65F4"/>
    <w:pPr>
      <w:autoSpaceDE w:val="0"/>
      <w:autoSpaceDN w:val="0"/>
      <w:adjustRightInd w:val="0"/>
    </w:pPr>
    <w:rPr>
      <w:rFonts w:ascii="Malgun Gothic" w:eastAsia="Malgun Gothic" w:cs="Malgun Gothic"/>
      <w:color w:val="000000"/>
      <w:sz w:val="24"/>
      <w:szCs w:val="24"/>
    </w:rPr>
  </w:style>
  <w:style w:type="character" w:styleId="normaltextrun" w:customStyle="1">
    <w:name w:val="normaltextrun"/>
    <w:basedOn w:val="Fontepargpadro"/>
    <w:rsid w:val="00A61B4C"/>
  </w:style>
  <w:style w:type="paragraph" w:styleId="paragraph" w:customStyle="1">
    <w:name w:val="paragraph"/>
    <w:basedOn w:val="Normal"/>
    <w:rsid w:val="00C2199B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/>
      <w:sz w:val="24"/>
      <w:szCs w:val="24"/>
      <w:lang w:eastAsia="pt-BR"/>
    </w:rPr>
  </w:style>
  <w:style w:type="character" w:styleId="eop" w:customStyle="1">
    <w:name w:val="eop"/>
    <w:basedOn w:val="Fontepargpadro"/>
    <w:rsid w:val="00C2199B"/>
  </w:style>
  <w:style w:type="paragraph" w:styleId="Reviso">
    <w:name w:val="Revision"/>
    <w:hidden/>
    <w:uiPriority w:val="99"/>
    <w:semiHidden/>
    <w:rsid w:val="007475C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39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2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2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mailto:pfn.ba@pgfn.gov.br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intimacao@glcm.com.br" TargetMode="External" Id="rId11" /><Relationship Type="http://schemas.openxmlformats.org/officeDocument/2006/relationships/numbering" Target="numbering.xml" Id="rId5" /><Relationship Type="http://schemas.openxmlformats.org/officeDocument/2006/relationships/header" Target="head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heus.moraes.GLCM\Desktop\TIMBRAD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22AA0428DF9640B09870F6105B99B2" ma:contentTypeVersion="13" ma:contentTypeDescription="Crie um novo documento." ma:contentTypeScope="" ma:versionID="767fc481316ac4f4025481fb48393820">
  <xsd:schema xmlns:xsd="http://www.w3.org/2001/XMLSchema" xmlns:xs="http://www.w3.org/2001/XMLSchema" xmlns:p="http://schemas.microsoft.com/office/2006/metadata/properties" xmlns:ns2="7110e5b5-bc0b-438b-a41f-a73359eb6337" xmlns:ns3="6b4e864d-a815-4097-ac90-2974c57a97e0" targetNamespace="http://schemas.microsoft.com/office/2006/metadata/properties" ma:root="true" ma:fieldsID="c82ae56593b73865e0e139c16538d1ad" ns2:_="" ns3:_="">
    <xsd:import namespace="7110e5b5-bc0b-438b-a41f-a73359eb6337"/>
    <xsd:import namespace="6b4e864d-a815-4097-ac90-2974c57a97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10e5b5-bc0b-438b-a41f-a73359eb63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0ec049-7312-4b4a-bb5a-0948420f3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e864d-a815-4097-ac90-2974c57a97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ec48c8-6c8a-4fd4-a057-e8fe5acc4c24}" ma:internalName="TaxCatchAll" ma:showField="CatchAllData" ma:web="6b4e864d-a815-4097-ac90-2974c57a97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e864d-a815-4097-ac90-2974c57a97e0" xsi:nil="true"/>
    <lcf76f155ced4ddcb4097134ff3c332f xmlns="7110e5b5-bc0b-438b-a41f-a73359eb633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99F328-7F30-46D4-B476-C129C602F3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099EB5-2363-48E5-9174-5CC6E624DB13}"/>
</file>

<file path=customXml/itemProps3.xml><?xml version="1.0" encoding="utf-8"?>
<ds:datastoreItem xmlns:ds="http://schemas.openxmlformats.org/officeDocument/2006/customXml" ds:itemID="{9CD7D737-A7E3-4DB8-8BE6-ACF700686D0A}">
  <ds:schemaRefs>
    <ds:schemaRef ds:uri="http://schemas.microsoft.com/office/2006/metadata/properties"/>
    <ds:schemaRef ds:uri="http://schemas.microsoft.com/office/infopath/2007/PartnerControls"/>
    <ds:schemaRef ds:uri="6b4e864d-a815-4097-ac90-2974c57a97e0"/>
    <ds:schemaRef ds:uri="7110e5b5-bc0b-438b-a41f-a73359eb6337"/>
  </ds:schemaRefs>
</ds:datastoreItem>
</file>

<file path=customXml/itemProps4.xml><?xml version="1.0" encoding="utf-8"?>
<ds:datastoreItem xmlns:ds="http://schemas.openxmlformats.org/officeDocument/2006/customXml" ds:itemID="{657F7444-70EA-4ED5-B968-C21A807C6BA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TIMBRADO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/>
  <revision>124</revision>
  <lastPrinted>2023-03-08T03:49:00.0000000Z</lastPrinted>
  <dcterms:created xsi:type="dcterms:W3CDTF">2023-03-08T03:49:00.0000000Z</dcterms:created>
  <dcterms:modified xsi:type="dcterms:W3CDTF">2026-01-21T13:04:33.4464513Z</dcterms:modified>
</coreProperties>
</file>