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4"/>
          <w:u w:val="single"/>
        </w:rPr>
        <w:t>PROCURAÇÃO</w:t>
      </w:r>
    </w:p>
    <w:p>
      <w:pPr>
        <w:autoSpaceDN w:val="0"/>
        <w:autoSpaceDE w:val="0"/>
        <w:widowControl/>
        <w:spacing w:line="245" w:lineRule="auto" w:before="268" w:after="0"/>
        <w:ind w:left="262" w:right="212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OUTORGANTE: {NOME_CLIENTE}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{NACIONALIDADE}, {PROFISSAO}, inscrito no CPF sob o nº </w:t>
      </w:r>
      <w:r>
        <w:rPr>
          <w:rFonts w:ascii="Calibri" w:hAnsi="Calibri" w:eastAsia="Calibri"/>
          <w:b w:val="0"/>
          <w:i w:val="0"/>
          <w:color w:val="000000"/>
          <w:sz w:val="22"/>
        </w:rPr>
        <w:t>{CPF}, residente e domiciliado na {ENDERECO_COMPLETO}</w:t>
      </w:r>
      <w:r>
        <w:rPr>
          <w:rFonts w:ascii="Calibri" w:hAnsi="Calibri" w:eastAsia="Calibri"/>
          <w:b w:val="0"/>
          <w:i w:val="0"/>
          <w:color w:val="000000"/>
          <w:sz w:val="22"/>
        </w:rPr>
        <w:t>;</w:t>
      </w:r>
    </w:p>
    <w:p>
      <w:pPr>
        <w:autoSpaceDN w:val="0"/>
        <w:autoSpaceDE w:val="0"/>
        <w:widowControl/>
        <w:spacing w:line="245" w:lineRule="auto" w:before="268" w:after="0"/>
        <w:ind w:left="262" w:right="212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OUTORGADOS: SARA ALEXANDRINA DOS SANTOS CARVALHO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brasileira, casada, advogada,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inscrita na OAB/SE n. 1274-A, CPF sob nº. 940.641.055-91, integrante da sociedade de advogado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denominada </w:t>
      </w:r>
      <w:r>
        <w:rPr>
          <w:rFonts w:ascii="Calibri" w:hAnsi="Calibri" w:eastAsia="Calibri"/>
          <w:b/>
          <w:i w:val="0"/>
          <w:color w:val="000000"/>
          <w:sz w:val="22"/>
        </w:rPr>
        <w:t>SARA CARVALHO SOCIEDADE INDIVIDUAL DE ADVOCACIA,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com sede Rua Rosalina,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305, bairro Farolândia, Aracaju/SE, CEP 49032-150, inscrito CNPJ sob nº. 42.347.346/0001-00 e na </w:t>
      </w:r>
      <w:r>
        <w:rPr>
          <w:rFonts w:ascii="Calibri" w:hAnsi="Calibri" w:eastAsia="Calibri"/>
          <w:b w:val="0"/>
          <w:i w:val="0"/>
          <w:color w:val="000000"/>
          <w:sz w:val="22"/>
        </w:rPr>
        <w:t>OAB/SE sob nº. 956/2021, local que serve, também, como endereço profissional do outorgado.</w:t>
      </w:r>
    </w:p>
    <w:p>
      <w:pPr>
        <w:autoSpaceDN w:val="0"/>
        <w:autoSpaceDE w:val="0"/>
        <w:widowControl/>
        <w:spacing w:line="245" w:lineRule="auto" w:before="268" w:after="0"/>
        <w:ind w:left="262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PODERES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Por este instrumento particular de procuração, e na melhor forma de direito, consoante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>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disposto no art. 15, §3º da Lei 8.906/94, a outorgante nomeia e constitui os outorgados seus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procuradores, conferindo-lhes poderes para o foro em geral, com a cláusula </w:t>
      </w:r>
      <w:r>
        <w:rPr>
          <w:rFonts w:ascii="Calibri" w:hAnsi="Calibri" w:eastAsia="Calibri"/>
          <w:b/>
          <w:i/>
          <w:color w:val="000000"/>
          <w:sz w:val="22"/>
        </w:rPr>
        <w:t>ad judiciaet extra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ajuizamento de ações na Justiça do Trabalho e Tribunais Superiores, concedendo-lhes, ainda,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poderes especiais e expressos para confessar, reconhecer a procedência do pedido, transigir,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desistir, renunciar ao direito sobre o qual se funda a ação, receber, dar quitação, firmar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compromisso e assinar declaração de hipossuficiência econômica, levantar alvarás, podendo ainda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dar por intimado/citado, impugnar, contestar, embargar, apelar, agravar, recorrer, receber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dar quitação, levantar depósitos judiciais, inclusive sucumbenciais, acordar, transigir, desistir, bem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ainda, requisitar documentos em Juízo ou em repartições públicas, enfim requerer o que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preciso, praticando todos os demais atos necessários ao bom e fiel cumprimento do presente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>mandato, inclusive substabelecer, com ou sem reserva de iguais poderes.</w:t>
      </w:r>
    </w:p>
    <w:p>
      <w:pPr>
        <w:autoSpaceDN w:val="0"/>
        <w:autoSpaceDE w:val="0"/>
        <w:widowControl/>
        <w:spacing w:line="262" w:lineRule="auto" w:before="2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{LOCAL_ASSINATURA}, {DATA}.</w:t>
      </w:r>
    </w:p>
    <w:p>
      <w:pPr>
        <w:autoSpaceDN w:val="0"/>
        <w:autoSpaceDE w:val="0"/>
        <w:widowControl/>
        <w:spacing w:line="245" w:lineRule="auto" w:before="242" w:after="0"/>
        <w:ind w:left="2592" w:right="244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______________________________________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{NOME_CLIENTE}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2"/>
        </w:rPr>
        <w:t>{CPF}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1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