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14:paraId="707268D9" w14:textId="77777777">
      <w:pPr>
        <w:spacing w:line="276" w:lineRule="auto"/>
        <w:ind w:right="-285" w:firstLine="0"/>
        <w:jc w:val="both"/>
        <w:rPr>
          <w:rFonts w:ascii="Roboto" w:hAnsi="Roboto" w:eastAsia="Arial" w:cs="Arial"/>
          <w:b/>
          <w:bCs/>
          <w:sz w:val="23"/>
          <w:szCs w:val="23"/>
        </w:rPr>
      </w:pPr>
      <w:r>
        <w:rPr>
          <w:rFonts w:ascii="Roboto" w:hAnsi="Roboto" w:eastAsia="Arial" w:cs="Arial"/>
          <w:b/>
          <w:bCs/>
          <w:sz w:val="23"/>
          <w:szCs w:val="23"/>
        </w:rPr>
        <w:t>EXMO(A). SR(A). DR(A) JUIZ(A) FEDERAL DA __ª VARA DO TRABALHO DE CAMAÇARI/BA</w:t>
      </w:r>
    </w:p>
    <w:p w14:paraId="702D3D86" w14:textId="77777777">
      <w:pPr>
        <w:spacing w:line="276" w:lineRule="auto"/>
        <w:ind w:right="-285"/>
        <w:jc w:val="both"/>
        <w:rPr>
          <w:rFonts w:ascii="Roboto" w:hAnsi="Roboto" w:eastAsia="Arial" w:cs="Arial"/>
          <w:b/>
          <w:bCs/>
          <w:sz w:val="23"/>
          <w:szCs w:val="23"/>
        </w:rPr>
      </w:pPr>
    </w:p>
    <w:p w14:paraId="129E1EB7" w14:textId="77777777">
      <w:pPr>
        <w:spacing w:line="276" w:lineRule="auto"/>
        <w:ind w:right="-285"/>
        <w:jc w:val="both"/>
        <w:rPr>
          <w:rFonts w:ascii="Roboto" w:hAnsi="Roboto" w:eastAsia="Arial" w:cs="Arial"/>
          <w:sz w:val="23"/>
          <w:szCs w:val="23"/>
        </w:rPr>
      </w:pPr>
      <w:r>
        <w:rPr>
          <w:rFonts w:ascii="Roboto" w:hAnsi="Roboto" w:eastAsia="Arial" w:cs="Arial"/>
          <w:noProof/>
          <w:sz w:val="23"/>
          <w:szCs w:val="23"/>
          <w:lang w:eastAsia="pt-BR"/>
        </w:rPr>
        <mc:AlternateContent>
          <mc:Choice Requires="wps">
            <w:drawing>
              <wp:anchor distT="0" distB="0" distL="114300" distR="114300" simplePos="0" relativeHeight="251658240" behindDoc="0" locked="0" layoutInCell="1" allowOverlap="1" wp14:anchorId="12923DC9" wp14:editId="07210F60">
                <wp:simplePos x="0" y="0"/>
                <wp:positionH relativeFrom="column">
                  <wp:posOffset>1158240</wp:posOffset>
                </wp:positionH>
                <wp:positionV relativeFrom="paragraph">
                  <wp:posOffset>254635</wp:posOffset>
                </wp:positionV>
                <wp:extent cx="4572000" cy="600075"/>
                <wp:effectExtent l="0" t="0" r="19050" b="28575"/>
                <wp:wrapNone/>
                <wp:docPr id="993241265" name="Retângulo: Cantos Arredondados 1"/>
                <wp:cNvGraphicFramePr/>
                <a:graphic xmlns:a="http://schemas.openxmlformats.org/drawingml/2006/main">
                  <a:graphicData uri="http://schemas.microsoft.com/office/word/2010/wordprocessingShape">
                    <wps:wsp>
                      <wps:cNvSpPr/>
                      <wps:spPr>
                        <a:xfrm>
                          <a:off x="0" y="0"/>
                          <a:ext cx="4572000" cy="600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9918E9" w14:textId="77777777">
                            <w:pPr>
                              <w:ind w:firstLine="0"/>
                              <w:jc w:val="center"/>
                              <w:rPr>
                                <w:color w:val="E7E6E6" w:themeColor="background2"/>
                              </w:rPr>
                            </w:pPr>
                            <w:r>
                              <w:rPr>
                                <w:rFonts w:ascii="Roboto" w:hAnsi="Roboto" w:eastAsia="Arial" w:cs="Arial"/>
                                <w:b/>
                                <w:color w:val="E7E6E6" w:themeColor="background2"/>
                                <w:sz w:val="23"/>
                                <w:szCs w:val="23"/>
                              </w:rPr>
                              <w:t>MATÉRIA DE DIREITO – DESNECESSIDADE DE AUDIÊNCIA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tângulo: Cantos Arredondados 1" style="position:absolute;left:0;text-align:left;margin-left:91.2pt;margin-top:20.05pt;width:5in;height:47.2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arcsize="10923f" w14:anchorId="12923D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">
                <v:stroke joinstyle="miter"/>
                <v:textbox>
                  <w:txbxContent>
                    <w:p w14:paraId="199918E9" w14:textId="77777777">
                      <w:pPr>
                        <w:ind w:firstLine="0"/>
                        <w:jc w:val="center"/>
                        <w:rPr>
                          <w:color w:val="E7E6E6" w:themeColor="background2"/>
                        </w:rPr>
                      </w:pPr>
                      <w:r>
                        <w:rPr>
                          <w:rFonts w:ascii="Roboto" w:hAnsi="Roboto" w:eastAsia="Arial" w:cs="Arial"/>
                          <w:b/>
                          <w:color w:val="E7E6E6" w:themeColor="background2"/>
                          <w:sz w:val="23"/>
                          <w:szCs w:val="23"/>
                        </w:rPr>
                        <w:t>MATÉRIA DE DIREITO – DESNECESSIDADE DE AUDIÊNCIA</w:t>
                      </w:r>
                    </w:p>
                  </w:txbxContent>
                </v:textbox>
              </v:roundrect>
            </w:pict>
          </mc:Fallback>
        </mc:AlternateContent>
      </w:r>
    </w:p>
    <w:p w14:paraId="215D5586" w14:textId="77777777">
      <w:pPr>
        <w:spacing w:line="276" w:lineRule="auto"/>
        <w:ind w:right="-285"/>
        <w:jc w:val="both"/>
        <w:rPr>
          <w:rFonts w:ascii="Roboto" w:hAnsi="Roboto" w:eastAsia="Arial" w:cs="Arial"/>
          <w:sz w:val="23"/>
          <w:szCs w:val="23"/>
        </w:rPr>
      </w:pPr>
    </w:p>
    <w:p w14:paraId="14A6B5F9" w14:textId="77777777">
      <w:pPr>
        <w:spacing w:line="276" w:lineRule="auto"/>
        <w:ind w:right="-285"/>
        <w:jc w:val="both"/>
        <w:rPr>
          <w:rFonts w:ascii="Roboto" w:hAnsi="Roboto" w:eastAsia="Arial" w:cs="Arial"/>
          <w:sz w:val="23"/>
          <w:szCs w:val="23"/>
        </w:rPr>
      </w:pPr>
    </w:p>
    <w:p w14:paraId="5A9FBF16" w14:textId="77777777">
      <w:pPr>
        <w:spacing w:line="276" w:lineRule="auto"/>
        <w:ind w:right="-285"/>
        <w:jc w:val="both"/>
        <w:rPr>
          <w:rFonts w:ascii="Roboto" w:hAnsi="Roboto" w:eastAsia="Arial" w:cs="Arial"/>
          <w:sz w:val="23"/>
          <w:szCs w:val="23"/>
        </w:rPr>
      </w:pPr>
    </w:p>
    <w:p w14:paraId="3D72A095" w14:textId="77777777">
      <w:pPr>
        <w:spacing w:line="276" w:lineRule="auto"/>
        <w:ind w:right="-285" w:firstLine="0"/>
        <w:jc w:val="both"/>
        <w:rPr>
          <w:rFonts w:ascii="Roboto" w:hAnsi="Roboto" w:eastAsia="Arial" w:cs="Arial"/>
          <w:sz w:val="23"/>
          <w:szCs w:val="23"/>
        </w:rPr>
      </w:pPr>
    </w:p>
    <w:p w14:paraId="71875C0D" w14:textId="77777777">
      <w:pPr>
        <w:spacing w:line="276" w:lineRule="auto"/>
        <w:ind w:left="2268" w:firstLine="0"/>
        <w:jc w:val="both"/>
        <w:rPr>
          <w:rFonts w:ascii="Roboto" w:hAnsi="Roboto" w:eastAsia="Arial" w:cs="Arial"/>
          <w:b/>
          <w:sz w:val="23"/>
          <w:szCs w:val="23"/>
        </w:rPr>
      </w:pPr>
    </w:p>
    <w:p w14:paraId="70E35C73" w14:textId="77777777">
      <w:pPr>
        <w:spacing w:line="276" w:lineRule="auto"/>
        <w:ind w:left="2268" w:firstLine="0"/>
        <w:jc w:val="both"/>
        <w:rPr>
          <w:rFonts w:ascii="Roboto" w:hAnsi="Roboto" w:eastAsia="Arial" w:cs="Arial"/>
          <w:b/>
          <w:sz w:val="22"/>
        </w:rPr>
      </w:pPr>
      <w:r>
        <w:rPr>
          <w:rFonts w:ascii="Roboto" w:hAnsi="Roboto" w:eastAsia="Arial" w:cs="Arial"/>
          <w:b/>
          <w:sz w:val="22"/>
        </w:rPr>
        <w:t xml:space="preserve">EMENTA: </w:t>
      </w:r>
    </w:p>
    <w:p w14:paraId="5D5EA030" w14:textId="77777777">
      <w:pPr>
        <w:spacing w:line="276" w:lineRule="auto"/>
        <w:ind w:left="2268" w:firstLine="0"/>
        <w:jc w:val="both"/>
        <w:rPr>
          <w:rFonts w:ascii="Roboto" w:hAnsi="Roboto" w:eastAsia="Arial" w:cs="Arial"/>
          <w:sz w:val="22"/>
        </w:rPr>
      </w:pPr>
      <w:r>
        <w:rPr>
          <w:rFonts w:ascii="Roboto" w:hAnsi="Roboto" w:eastAsia="Arial" w:cs="Arial"/>
          <w:sz w:val="22"/>
        </w:rPr>
        <w:t xml:space="preserve">EMPRESA NÃO PAGA CORRETAMENTE OS REFLEXOS DAS HORAS EXTRAS DEVIDAS AO TRABALHADOR (Repouso Semanal Remunerado, férias com abono de 1/3 e gratificação de 2/3, 13º salários, FGTS e contribuições da PETROS (Fundação Petrobrás de Seguridade Social). </w:t>
      </w:r>
    </w:p>
    <w:p w14:paraId="12342762" w14:textId="77777777">
      <w:pPr>
        <w:spacing w:line="276" w:lineRule="auto"/>
        <w:ind w:left="2268" w:firstLine="0"/>
        <w:jc w:val="both"/>
        <w:rPr>
          <w:rFonts w:ascii="Roboto" w:hAnsi="Roboto" w:eastAsia="Arial" w:cs="Arial"/>
          <w:sz w:val="22"/>
        </w:rPr>
      </w:pPr>
      <w:r>
        <w:rPr>
          <w:rFonts w:ascii="Roboto" w:hAnsi="Roboto" w:eastAsia="Arial" w:cs="Arial"/>
          <w:sz w:val="22"/>
        </w:rPr>
        <w:t>COM O ADVENTO DA ACT 2023-2025, E MANTIDO NO ACT 2025-2027, A RECLAMADA PASSA A PAGAR APENAS O REPOUSO SEMANAL REMUNERADO, INADIMPLINDO AS DEMAIS VERBAS (FÉRIAS + 1/3, 13º SALÁRIO, FGTS E PETROS). A NOVA SISTEMÁTICA DE APURAÇÃO MENSAL E SEMESTRAL (MAIO/NOVEMBRO), VIGENTE A PARTIR DE 01/01/2026, AMPLIA O PASSIVO, QUE AGORA INCIDE SOBRE CADA QUITAÇÃO MENSAL, SEMESTRAL E RESCISÓRIA DO BANCO DE HORAS.</w:t>
      </w:r>
    </w:p>
    <w:p w14:paraId="75D79B30" w14:textId="77777777">
      <w:pPr>
        <w:spacing w:line="276" w:lineRule="auto"/>
        <w:ind w:right="-285" w:firstLine="0"/>
        <w:jc w:val="both"/>
        <w:rPr>
          <w:rFonts w:ascii="Roboto" w:hAnsi="Roboto" w:eastAsia="Arial" w:cs="Arial"/>
          <w:sz w:val="23"/>
          <w:szCs w:val="23"/>
        </w:rPr>
      </w:pPr>
    </w:p>
    <w:p w14:paraId="6B69704E" w14:textId="77777777">
      <w:pPr>
        <w:spacing w:line="276" w:lineRule="auto"/>
        <w:ind w:right="-285" w:firstLine="0"/>
        <w:jc w:val="both"/>
        <w:rPr>
          <w:rFonts w:ascii="Roboto" w:hAnsi="Roboto" w:eastAsia="Arial" w:cs="Arial"/>
          <w:sz w:val="23"/>
          <w:szCs w:val="23"/>
        </w:rPr>
      </w:pPr>
    </w:p>
    <w:p w14:paraId="47064185" w14:textId="77777777">
      <w:pPr>
        <w:spacing w:line="276" w:lineRule="auto"/>
        <w:ind w:right="-285"/>
        <w:jc w:val="both"/>
        <w:rPr>
          <w:rFonts w:ascii="Roboto" w:hAnsi="Roboto" w:eastAsia="Arial" w:cs="Arial"/>
          <w:sz w:val="23"/>
          <w:szCs w:val="23"/>
        </w:rPr>
      </w:pPr>
    </w:p>
    <w:p w14:paraId="560C556B" w14:textId="77777777">
      <w:pPr>
        <w:spacing w:line="276" w:lineRule="auto"/>
        <w:ind w:right="-285"/>
        <w:jc w:val="both"/>
        <w:rPr>
          <w:rFonts w:ascii="Roboto" w:hAnsi="Roboto" w:eastAsia="Arial" w:cs="Arial"/>
          <w:bCs/>
          <w:sz w:val="23"/>
          <w:szCs w:val="23"/>
        </w:rPr>
      </w:pPr>
      <w:r>
        <w:rPr>
          <w:rFonts w:ascii="Roboto" w:hAnsi="Roboto" w:eastAsia="Arial" w:cs="Arial"/>
          <w:b/>
          <w:sz w:val="23"/>
          <w:szCs w:val="23"/>
        </w:rPr>
        <w:t>{NOME_CLIENTE}</w:t>
      </w:r>
      <w:r>
        <w:rPr>
          <w:rFonts w:ascii="Roboto" w:hAnsi="Roboto" w:eastAsia="Arial" w:cs="Arial"/>
          <w:bCs/>
          <w:sz w:val="23"/>
          <w:szCs w:val="23"/>
        </w:rPr>
        <w:t>, {NACIONALIDADE}, {ESTADO_CIVIL}, {PROFISSAO}, residente e domiciliado em {ENDERECO_COMPLETO}.com, </w:t>
      </w:r>
      <w:r>
        <w:rPr>
          <w:rFonts w:ascii="Roboto" w:hAnsi="Roboto" w:eastAsia="Arial" w:cs="Arial"/>
          <w:b/>
          <w:bCs/>
          <w:sz w:val="23"/>
          <w:szCs w:val="23"/>
        </w:rPr>
        <w:t xml:space="preserve"/>
      </w:r>
      <w:r>
        <w:rPr>
          <w:rFonts w:ascii="Roboto" w:hAnsi="Roboto" w:eastAsiaTheme="minorEastAsia"/>
          <w:sz w:val="23"/>
          <w:szCs w:val="23"/>
        </w:rPr>
        <w:t xml:space="preserve"/>
      </w:r>
      <w:bookmarkStart w:name="_Int_o4gtkNak" w:id="0"/>
      <w:r>
        <w:rPr>
          <w:rFonts w:ascii="Roboto" w:hAnsi="Roboto" w:eastAsiaTheme="minorEastAsia"/>
          <w:sz w:val="23"/>
          <w:szCs w:val="23"/>
        </w:rPr>
        <w:t/>
      </w:r>
      <w:bookmarkEnd w:id="0"/>
      <w:r>
        <w:rPr>
          <w:rFonts w:ascii="Roboto" w:hAnsi="Roboto" w:eastAsiaTheme="minorEastAsia"/>
          <w:sz w:val="23"/>
          <w:szCs w:val="23"/>
        </w:rPr>
        <w:t xml:space="preserve"/>
      </w:r>
      <w:bookmarkStart w:name="_Int_oAjARl6v" w:id="1"/>
      <w:r>
        <w:rPr>
          <w:rFonts w:ascii="Roboto" w:hAnsi="Roboto" w:eastAsiaTheme="minorEastAsia"/>
          <w:sz w:val="23"/>
          <w:szCs w:val="23"/>
        </w:rPr>
        <w:t>telefone</w:t>
      </w:r>
      <w:bookmarkEnd w:id="1"/>
      <w:r>
        <w:rPr>
          <w:rFonts w:ascii="Roboto" w:hAnsi="Roboto" w:eastAsiaTheme="minorEastAsia"/>
          <w:sz w:val="23"/>
          <w:szCs w:val="23"/>
        </w:rPr>
        <w:t>: (71)</w:t>
      </w:r>
      <w:r>
        <w:t xml:space="preserve"> </w:t>
      </w:r>
      <w:r>
        <w:rPr>
          <w:rFonts w:ascii="Roboto" w:hAnsi="Roboto" w:eastAsiaTheme="minorEastAsia"/>
          <w:sz w:val="23"/>
          <w:szCs w:val="23"/>
        </w:rPr>
        <w:t>99194-7722, vem, por seu advogado infrafirmado, constituído mediante procuração constante nos autos (DOC. 01), com endereço profissional no rodapé desta página, oferecer</w:t>
      </w:r>
    </w:p>
    <w:p w14:paraId="3235DC5D" w14:textId="77777777">
      <w:pPr>
        <w:spacing w:line="276" w:lineRule="auto"/>
        <w:ind w:right="-285"/>
        <w:jc w:val="both"/>
        <w:rPr>
          <w:rFonts w:ascii="Roboto" w:hAnsi="Roboto" w:eastAsia="Arial" w:cs="Arial"/>
          <w:sz w:val="23"/>
          <w:szCs w:val="23"/>
        </w:rPr>
      </w:pPr>
    </w:p>
    <w:p w14:paraId="5753A43D" w14:textId="77777777">
      <w:pPr>
        <w:spacing w:line="276" w:lineRule="auto"/>
        <w:ind w:right="-285" w:firstLine="0"/>
        <w:jc w:val="center"/>
        <w:rPr>
          <w:rFonts w:ascii="Roboto" w:hAnsi="Roboto" w:eastAsia="Arial" w:cs="Arial"/>
          <w:b/>
          <w:bCs/>
          <w:sz w:val="23"/>
          <w:szCs w:val="23"/>
          <w:u w:val="single"/>
        </w:rPr>
      </w:pPr>
      <w:r>
        <w:rPr>
          <w:rFonts w:ascii="Roboto" w:hAnsi="Roboto" w:eastAsia="Arial" w:cs="Arial"/>
          <w:b/>
          <w:bCs/>
          <w:sz w:val="23"/>
          <w:szCs w:val="23"/>
          <w:u w:val="single"/>
        </w:rPr>
        <w:t>RECLAMAÇÃO TRABALHISTA</w:t>
      </w:r>
    </w:p>
    <w:p w14:paraId="3ED0AACD" w14:textId="77777777">
      <w:pPr>
        <w:spacing w:line="276" w:lineRule="auto"/>
        <w:ind w:right="-285"/>
        <w:jc w:val="both"/>
        <w:rPr>
          <w:rFonts w:ascii="Roboto" w:hAnsi="Roboto" w:eastAsia="Arial" w:cs="Arial"/>
          <w:sz w:val="23"/>
          <w:szCs w:val="23"/>
        </w:rPr>
      </w:pPr>
    </w:p>
    <w:p w14:paraId="663550DD" w14:textId="77777777">
      <w:pPr>
        <w:spacing w:line="276" w:lineRule="auto"/>
        <w:ind w:right="-285"/>
        <w:jc w:val="both"/>
        <w:rPr>
          <w:rFonts w:ascii="Roboto" w:hAnsi="Roboto" w:eastAsia="Arial" w:cs="Arial"/>
          <w:sz w:val="23"/>
          <w:szCs w:val="23"/>
        </w:rPr>
      </w:pPr>
    </w:p>
    <w:p w14:paraId="266C18AF"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em desfavor de </w:t>
      </w:r>
      <w:r>
        <w:rPr>
          <w:rFonts w:ascii="Roboto" w:hAnsi="Roboto" w:eastAsia="Arial" w:cs="Arial"/>
          <w:b/>
          <w:bCs/>
          <w:sz w:val="23"/>
          <w:szCs w:val="23"/>
        </w:rPr>
        <w:t>PETRÓLEO BRASILEIRO S. A. – PETROBRÁS</w:t>
      </w:r>
      <w:r>
        <w:rPr>
          <w:rFonts w:ascii="Roboto" w:hAnsi="Roboto" w:eastAsia="Arial" w:cs="Arial"/>
          <w:sz w:val="23"/>
          <w:szCs w:val="23"/>
        </w:rPr>
        <w:t>, sociedade de economia mista inscrita no CNPJ sob nº 33.000.167/0143-23, situada na avenida do Av. Antônio Carlos Magalhães, nº. 1.113, Ed. Adhemar de Queiroz, 2º andar, CEP 40.000-000, Pituba, Salvador, Bahia pelos fatos e fundamentos jurídicos que passa a expor:</w:t>
      </w:r>
    </w:p>
    <w:p w14:paraId="1BFBC8B8" w14:textId="77777777">
      <w:pPr>
        <w:spacing w:line="276" w:lineRule="auto"/>
        <w:ind w:right="-285"/>
        <w:jc w:val="both"/>
        <w:rPr>
          <w:rFonts w:ascii="Roboto" w:hAnsi="Roboto" w:eastAsia="Arial" w:cs="Arial"/>
          <w:sz w:val="23"/>
          <w:szCs w:val="23"/>
        </w:rPr>
      </w:pPr>
    </w:p>
    <w:p w14:paraId="254FF7D6" w14:textId="77777777">
      <w:pPr>
        <w:spacing w:line="276" w:lineRule="auto"/>
        <w:ind w:right="-285"/>
        <w:jc w:val="both"/>
        <w:rPr>
          <w:rFonts w:ascii="Roboto" w:hAnsi="Roboto" w:eastAsia="Arial" w:cs="Arial"/>
          <w:b/>
          <w:bCs/>
          <w:sz w:val="23"/>
          <w:szCs w:val="23"/>
        </w:rPr>
      </w:pPr>
      <w:r>
        <w:rPr>
          <w:rFonts w:ascii="Roboto" w:hAnsi="Roboto" w:eastAsia="Arial" w:cs="Arial"/>
          <w:b/>
          <w:bCs/>
          <w:sz w:val="23"/>
          <w:szCs w:val="23"/>
        </w:rPr>
        <w:t>I – DAS PRELIMINARES.</w:t>
      </w:r>
    </w:p>
    <w:p w14:paraId="07E3A10A" w14:textId="77777777">
      <w:pPr>
        <w:pStyle w:val="PargrafodaLista"/>
        <w:numPr>
          <w:ilvl w:val="0"/>
          <w:numId w:val="15"/>
        </w:numPr>
        <w:spacing w:line="276" w:lineRule="auto"/>
        <w:ind w:right="-285"/>
        <w:jc w:val="both"/>
        <w:rPr>
          <w:rFonts w:ascii="Roboto" w:hAnsi="Roboto" w:eastAsia="Arial" w:cs="Arial"/>
          <w:b/>
          <w:bCs/>
          <w:sz w:val="23"/>
          <w:szCs w:val="23"/>
          <w:u w:val="single"/>
        </w:rPr>
      </w:pPr>
      <w:r>
        <w:rPr>
          <w:rFonts w:ascii="Roboto" w:hAnsi="Roboto" w:eastAsia="Arial" w:cs="Arial"/>
          <w:b w:val="1"/>
          <w:bCs w:val="1"/>
          <w:sz w:val="23"/>
          <w:szCs w:val="23"/>
        </w:rPr>
        <w:t>DA PREFERÊNCIA PELO JUÍZO 100%. MATÉRIA DE DIREITO.</w:t>
      </w:r>
      <w:r>
        <w:rPr>
          <w:rFonts w:ascii="Roboto" w:hAnsi="Roboto" w:eastAsia="Arial" w:cs="Arial"/>
          <w:b w:val="1"/>
          <w:bCs w:val="1"/>
          <w:sz w:val="23"/>
          <w:szCs w:val="23"/>
          <w:u w:val="single"/>
        </w:rPr>
        <w:t xml:space="preserve"> </w:t>
      </w:r>
      <w:r>
        <w:rPr>
          <w:rFonts w:ascii="Roboto" w:hAnsi="Roboto" w:eastAsia="Arial" w:cs="Arial"/>
          <w:b w:val="1"/>
          <w:bCs w:val="1"/>
          <w:sz w:val="23"/>
          <w:szCs w:val="23"/>
        </w:rPr>
        <w:t>DESNECESSIDADE DE PRODUÇÃO DE PROVA EM JUÍZO</w:t>
      </w:r>
    </w:p>
    <w:p w14:paraId="42A5BD5F" w14:textId="53D8BC33">
      <w:pPr>
        <w:spacing w:after="0" w:afterAutospacing="off" w:line="276" w:lineRule="auto"/>
        <w:ind w:left="0" w:right="-285" w:firstLine="1418"/>
        <w:jc w:val="both"/>
      </w:pPr>
      <w:r>
        <w:rPr>
          <w:rFonts w:ascii="Roboto" w:hAnsi="Roboto" w:eastAsia="Roboto" w:cs="Roboto"/>
          <w:noProof w:val="0"/>
          <w:color w:val="000000" w:themeColor="text1" w:themeTint="FF" w:themeShade="FF"/>
          <w:sz w:val="23"/>
          <w:szCs w:val="23"/>
          <w:lang w:val="pt-BR"/>
        </w:rPr>
        <w:t>Inicialmente, há de se destacar que existem medidas de modernização do processo trabalhista que concedem às partes a possibilidade de optar pela virtualização dos procedimentos judiciais.</w:t>
      </w:r>
    </w:p>
    <w:p w14:paraId="53D70030" w14:textId="77777777">
      <w:pPr>
        <w:spacing w:line="276" w:lineRule="auto"/>
        <w:ind w:right="-285"/>
        <w:jc w:val="both"/>
        <w:rPr>
          <w:rFonts w:ascii="Roboto" w:hAnsi="Roboto" w:eastAsia="Arial" w:cs="Arial"/>
          <w:color w:val="000000" w:themeColor="text1"/>
          <w:sz w:val="23"/>
          <w:szCs w:val="23"/>
        </w:rPr>
      </w:pPr>
    </w:p>
    <w:p w14:paraId="7A2F019C"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Em vistas disso, há de se considerar as vantagens da manutenção do procedimento pelo meio 100% virtual, que possibilitam que os atos processuais sejam praticados com maior agilidade e sem a necessidade de deslocamento físico de qualquer uma das partes e seus patronos. Ademais, a matéria objeto da presente Reclamação pode ser devidamente analisada e julgada através da mera análise documental e da lei, dispensando, portanto, a produção de provas presencial.</w:t>
      </w:r>
    </w:p>
    <w:p w14:paraId="785DA525" w14:textId="77777777">
      <w:pPr>
        <w:spacing w:line="276" w:lineRule="auto"/>
        <w:ind w:right="-285"/>
        <w:jc w:val="both"/>
        <w:rPr>
          <w:rFonts w:ascii="Roboto" w:hAnsi="Roboto" w:eastAsia="Arial" w:cs="Arial"/>
          <w:color w:val="000000" w:themeColor="text1"/>
          <w:sz w:val="23"/>
          <w:szCs w:val="23"/>
        </w:rPr>
      </w:pPr>
    </w:p>
    <w:p w14:paraId="3B9576CD"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Conclui-se, assim, que a adoção da modalidade virtual da presente lide é medida de maior adequação, tendo em vista as vantagens na celeridade e economia processuais, sem a ocorrência de quaisquer prejuízos ao julgamento do processo.</w:t>
      </w:r>
    </w:p>
    <w:p w14:paraId="6FFB61C6" w14:textId="77777777">
      <w:pPr>
        <w:spacing w:line="276" w:lineRule="auto"/>
        <w:ind w:right="-285"/>
        <w:jc w:val="both"/>
        <w:rPr>
          <w:rFonts w:ascii="Roboto" w:hAnsi="Roboto" w:eastAsia="Arial" w:cs="Arial"/>
          <w:color w:val="000000" w:themeColor="text1"/>
          <w:sz w:val="23"/>
          <w:szCs w:val="23"/>
        </w:rPr>
      </w:pPr>
    </w:p>
    <w:p w14:paraId="19E2D7D4" w14:textId="7CCB7500">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themeTint="FF" w:themeShade="FF"/>
          <w:sz w:val="23"/>
          <w:szCs w:val="23"/>
        </w:rPr>
        <w:t>Ante o exposto, vem o Reclamante manifestar-se, de início, favorável ao juízo 100% digital</w:t>
      </w:r>
      <w:r>
        <w:rPr>
          <w:rFonts w:ascii="Roboto" w:hAnsi="Roboto" w:eastAsia="Arial" w:cs="Arial"/>
          <w:color w:val="000000" w:themeColor="text1" w:themeTint="FF" w:themeShade="FF"/>
          <w:sz w:val="23"/>
          <w:szCs w:val="23"/>
        </w:rPr>
        <w:t xml:space="preserve">, </w:t>
      </w:r>
      <w:r>
        <w:rPr>
          <w:rFonts w:ascii="Roboto" w:hAnsi="Roboto" w:eastAsia="Arial" w:cs="Arial"/>
          <w:color w:val="000000" w:themeColor="text1" w:themeTint="FF" w:themeShade="FF"/>
          <w:sz w:val="23"/>
          <w:szCs w:val="23"/>
        </w:rPr>
        <w:t>para que futuras intimações, audiências, condenações e demais atos judiciais venham a ser efetuados eletronicamente, através dos endereços de e-mail e telefone já indicados:</w:t>
      </w:r>
    </w:p>
    <w:p w14:paraId="2E7E8CE6" w14:textId="77777777">
      <w:pPr>
        <w:spacing w:line="276" w:lineRule="auto"/>
        <w:ind w:right="-285"/>
        <w:jc w:val="both"/>
        <w:rPr>
          <w:rFonts w:ascii="Roboto" w:hAnsi="Roboto" w:eastAsia="Arial" w:cs="Arial"/>
          <w:sz w:val="23"/>
          <w:szCs w:val="23"/>
        </w:rPr>
      </w:pPr>
    </w:p>
    <w:p w14:paraId="47F025D3" w14:textId="77777777">
      <w:pPr>
        <w:spacing w:line="276" w:lineRule="auto"/>
        <w:ind w:right="-285"/>
        <w:jc w:val="both"/>
        <w:rPr>
          <w:rFonts w:ascii="Roboto" w:hAnsi="Roboto" w:eastAsia="Arial" w:cs="Arial"/>
          <w:color w:val="000000" w:themeColor="text1"/>
          <w:sz w:val="23"/>
          <w:szCs w:val="23"/>
        </w:rPr>
      </w:pPr>
      <w:r>
        <w:rPr>
          <w:rFonts w:ascii="Roboto" w:hAnsi="Roboto" w:eastAsiaTheme="minorEastAsia"/>
          <w:color w:val="000000" w:themeColor="text1"/>
          <w:sz w:val="23"/>
          <w:szCs w:val="23"/>
        </w:rPr>
        <w:t>E-MAIL: (71) 99194-7722</w:t>
      </w:r>
    </w:p>
    <w:p w14:paraId="62E7FA6C" w14:textId="77777777">
      <w:pPr>
        <w:spacing w:line="276" w:lineRule="auto"/>
        <w:ind w:right="-285"/>
        <w:jc w:val="both"/>
        <w:rPr>
          <w:rFonts w:ascii="Roboto" w:hAnsi="Roboto" w:eastAsia="Arial" w:cs="Arial"/>
          <w:color w:val="000000" w:themeColor="text1"/>
          <w:sz w:val="23"/>
          <w:szCs w:val="23"/>
        </w:rPr>
      </w:pPr>
    </w:p>
    <w:p w14:paraId="787EFB37" w14:textId="77777777">
      <w:pPr>
        <w:spacing w:line="276" w:lineRule="auto"/>
        <w:ind w:right="-285"/>
        <w:jc w:val="both"/>
        <w:rPr>
          <w:rFonts w:ascii="Roboto" w:hAnsi="Roboto" w:eastAsia="Arial" w:cs="Arial"/>
          <w:color w:val="000000" w:themeColor="text1"/>
          <w:sz w:val="23"/>
          <w:szCs w:val="23"/>
        </w:rPr>
      </w:pPr>
      <w:r>
        <w:rPr>
          <w:rFonts w:ascii="Roboto" w:hAnsi="Roboto" w:eastAsiaTheme="minorEastAsia"/>
          <w:color w:val="000000" w:themeColor="text1"/>
          <w:sz w:val="23"/>
          <w:szCs w:val="23"/>
        </w:rPr>
        <w:t>TELEFONE: denilton_3@hotmail.com</w:t>
      </w:r>
    </w:p>
    <w:p w14:paraId="3A786218" w14:textId="77777777">
      <w:pPr>
        <w:spacing w:line="276" w:lineRule="auto"/>
        <w:ind w:right="-285"/>
        <w:jc w:val="both"/>
        <w:rPr>
          <w:rFonts w:ascii="Roboto" w:hAnsi="Roboto" w:eastAsia="Arial" w:cs="Arial"/>
          <w:color w:val="000000" w:themeColor="text1"/>
          <w:sz w:val="23"/>
          <w:szCs w:val="23"/>
        </w:rPr>
      </w:pPr>
    </w:p>
    <w:p w14:paraId="375808F6" w14:textId="77777777">
      <w:pPr>
        <w:spacing w:line="276" w:lineRule="auto"/>
        <w:ind w:right="-285"/>
        <w:jc w:val="both"/>
        <w:rPr>
          <w:rFonts w:ascii="Roboto" w:hAnsi="Roboto" w:eastAsia="Arial" w:cs="Arial"/>
          <w:sz w:val="23"/>
          <w:szCs w:val="23"/>
        </w:rPr>
      </w:pPr>
      <w:r>
        <w:rPr>
          <w:rFonts w:ascii="Roboto" w:hAnsi="Roboto" w:eastAsia="Arial" w:cs="Arial"/>
          <w:color w:val="000000" w:themeColor="text1"/>
          <w:sz w:val="23"/>
          <w:szCs w:val="23"/>
        </w:rPr>
        <w:t xml:space="preserve">Ademais, tendo em vista que o Reclamante </w:t>
      </w:r>
      <w:r>
        <w:rPr>
          <w:rFonts w:ascii="Roboto" w:hAnsi="Roboto" w:eastAsia="Arial" w:cs="Arial"/>
          <w:sz w:val="23"/>
          <w:szCs w:val="23"/>
        </w:rPr>
        <w:t>busca principalmente os reflexos em horas extras, matéria a ser provada exclusivamente por via documental, atendendo ao quanto disposto no artigo 319, inciso VII do Código de Processo Civil, considerando que a matéria tratada nesta ação é exclusivamente de direito, pugna o ora peticionante pela não inclusão do feito em pauta, em respeito à celeridade processual, determinando de imediato a citação da Reclamada para querendo, reconhecer o pedido do Reclamante ou oferecer contestação no prazo de 15 (quinze) dias (art. 335 do CPC), sob pena de revelia, na forma do art. 344 do CPC.</w:t>
      </w:r>
    </w:p>
    <w:p w14:paraId="475CA1D4" w14:textId="77777777">
      <w:pPr>
        <w:spacing w:line="276" w:lineRule="auto"/>
        <w:ind w:right="-285" w:firstLine="0"/>
        <w:jc w:val="both"/>
        <w:rPr>
          <w:rFonts w:ascii="Roboto" w:hAnsi="Roboto" w:eastAsia="Arial" w:cs="Arial"/>
          <w:b/>
          <w:bCs/>
          <w:sz w:val="23"/>
          <w:szCs w:val="23"/>
        </w:rPr>
      </w:pPr>
    </w:p>
    <w:p w14:paraId="47B92166" w14:textId="77777777">
      <w:pPr>
        <w:pStyle w:val="PargrafodaLista"/>
        <w:numPr>
          <w:ilvl w:val="0"/>
          <w:numId w:val="15"/>
        </w:numPr>
        <w:spacing w:line="276" w:lineRule="auto"/>
        <w:ind w:right="-285"/>
        <w:jc w:val="both"/>
        <w:rPr>
          <w:rFonts w:ascii="Roboto" w:hAnsi="Roboto" w:eastAsia="Arial" w:cs="Arial"/>
          <w:b/>
          <w:bCs/>
          <w:sz w:val="23"/>
          <w:szCs w:val="23"/>
        </w:rPr>
      </w:pPr>
      <w:r>
        <w:rPr>
          <w:rFonts w:ascii="Roboto" w:hAnsi="Roboto" w:eastAsia="Arial" w:cs="Arial"/>
          <w:b/>
          <w:bCs/>
          <w:sz w:val="23"/>
          <w:szCs w:val="23"/>
        </w:rPr>
        <w:lastRenderedPageBreak/>
        <w:t>DA JUSTIÇA GRATUITA</w:t>
      </w:r>
    </w:p>
    <w:p w14:paraId="244328AA" w14:textId="77777777">
      <w:pPr>
        <w:spacing w:line="276" w:lineRule="auto"/>
        <w:ind w:right="-285"/>
        <w:jc w:val="both"/>
        <w:rPr>
          <w:rFonts w:ascii="Roboto" w:hAnsi="Roboto" w:eastAsia="Arial" w:cs="Arial"/>
          <w:sz w:val="23"/>
          <w:szCs w:val="23"/>
        </w:rPr>
      </w:pPr>
    </w:p>
    <w:p w14:paraId="3F7BB6BC"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O Reclamante requer a concessão do benefício da Justiça Gratuita, pois declara não ter condições de dispor de meios econômicos para custear o processo sem prejuízo do sustento familiar (DOC. 01).</w:t>
      </w:r>
    </w:p>
    <w:p w14:paraId="081E0DE3" w14:textId="77777777">
      <w:pPr>
        <w:spacing w:line="276" w:lineRule="auto"/>
        <w:ind w:right="-285"/>
        <w:jc w:val="both"/>
        <w:rPr>
          <w:rFonts w:ascii="Roboto" w:hAnsi="Roboto" w:eastAsia="Arial" w:cs="Arial"/>
          <w:color w:val="000000" w:themeColor="text1"/>
          <w:sz w:val="23"/>
          <w:szCs w:val="23"/>
        </w:rPr>
      </w:pPr>
    </w:p>
    <w:p w14:paraId="04076ACD"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Frise-se que não pode ser ignorada a presunção de veracidade da declaração de sua hipossuficiência econômica, conforme Orientação Jurisprudencial nº 304 da SBDI-I, e inciso I da Súmula nº 463 do TST.</w:t>
      </w:r>
    </w:p>
    <w:p w14:paraId="2B98E9D4" w14:textId="77777777">
      <w:pPr>
        <w:spacing w:line="276" w:lineRule="auto"/>
        <w:ind w:right="-285"/>
        <w:jc w:val="both"/>
        <w:rPr>
          <w:rFonts w:ascii="Roboto" w:hAnsi="Roboto" w:eastAsia="Arial" w:cs="Arial"/>
          <w:color w:val="000000" w:themeColor="text1"/>
          <w:sz w:val="23"/>
          <w:szCs w:val="23"/>
        </w:rPr>
      </w:pPr>
    </w:p>
    <w:p w14:paraId="244F3C10" w14:textId="77777777">
      <w:pPr>
        <w:spacing w:line="276" w:lineRule="auto"/>
        <w:ind w:left="2268" w:right="-285" w:firstLine="0"/>
        <w:jc w:val="both"/>
        <w:rPr>
          <w:rFonts w:ascii="Roboto" w:hAnsi="Roboto" w:eastAsia="Arial" w:cs="Arial"/>
          <w:color w:val="000000" w:themeColor="text1"/>
          <w:sz w:val="23"/>
          <w:szCs w:val="23"/>
        </w:rPr>
      </w:pPr>
      <w:r>
        <w:rPr>
          <w:rFonts w:ascii="Roboto" w:hAnsi="Roboto" w:eastAsia="Arial" w:cs="Arial"/>
          <w:i/>
          <w:iCs/>
          <w:color w:val="000000" w:themeColor="text1"/>
          <w:sz w:val="23"/>
          <w:szCs w:val="23"/>
        </w:rPr>
        <w:t>Súmula nº 463 do TST</w:t>
      </w:r>
    </w:p>
    <w:p w14:paraId="0EC007AF" w14:textId="77777777">
      <w:pPr>
        <w:spacing w:line="276" w:lineRule="auto"/>
        <w:ind w:left="2268" w:right="-285" w:firstLine="0"/>
        <w:jc w:val="both"/>
        <w:rPr>
          <w:rFonts w:ascii="Roboto" w:hAnsi="Roboto" w:eastAsia="Arial" w:cs="Arial"/>
          <w:color w:val="000000" w:themeColor="text1"/>
          <w:sz w:val="23"/>
          <w:szCs w:val="23"/>
        </w:rPr>
      </w:pPr>
      <w:r>
        <w:rPr>
          <w:rFonts w:ascii="Roboto" w:hAnsi="Roboto" w:eastAsia="Arial" w:cs="Arial"/>
          <w:i/>
          <w:iCs/>
          <w:color w:val="000000" w:themeColor="text1"/>
          <w:sz w:val="23"/>
          <w:szCs w:val="23"/>
        </w:rPr>
        <w:t>ASSISTÊNCIA JUDICIÁRIA GRATUITA. COMPROVAÇÃO (conversão da Orientação Jurisprudencial nº 304 da SBDI-1, com alterações decorrentes do CPC de 2015) - Res. 219/2017, DEJT divulgado em 28, 29 e 30.06.2017 – republicada - DEJT divulgado em 12, 13 e 14.07.2017</w:t>
      </w:r>
    </w:p>
    <w:p w14:paraId="77F37E31" w14:textId="77777777">
      <w:pPr>
        <w:spacing w:line="276" w:lineRule="auto"/>
        <w:ind w:left="2268" w:right="-285" w:firstLine="0"/>
        <w:jc w:val="both"/>
        <w:rPr>
          <w:rFonts w:ascii="Roboto" w:hAnsi="Roboto" w:eastAsia="Arial" w:cs="Arial"/>
          <w:color w:val="000000" w:themeColor="text1"/>
          <w:sz w:val="23"/>
          <w:szCs w:val="23"/>
        </w:rPr>
      </w:pPr>
      <w:r>
        <w:rPr>
          <w:rFonts w:ascii="Roboto" w:hAnsi="Roboto" w:eastAsia="Arial" w:cs="Arial"/>
          <w:i/>
          <w:iCs/>
          <w:color w:val="000000" w:themeColor="text1"/>
          <w:sz w:val="23"/>
          <w:szCs w:val="23"/>
        </w:rPr>
        <w:t>I – A partir de 26.06.2017, para a concessão da assistência judiciária gratuita à pessoa natural, basta a declaração de hipossuficiência econômica firmada pela parte ou por seu advogado, desde que munido de procuração com poderes específicos para esse fim (art. 105 do CPC de 2015);</w:t>
      </w:r>
    </w:p>
    <w:p w14:paraId="533D11CA" w14:textId="77777777">
      <w:pPr>
        <w:spacing w:line="276" w:lineRule="auto"/>
        <w:ind w:right="-285"/>
        <w:jc w:val="both"/>
        <w:rPr>
          <w:rFonts w:ascii="Roboto" w:hAnsi="Roboto" w:eastAsia="Arial" w:cs="Arial"/>
          <w:color w:val="000000" w:themeColor="text1"/>
          <w:sz w:val="23"/>
          <w:szCs w:val="23"/>
        </w:rPr>
      </w:pPr>
    </w:p>
    <w:p w14:paraId="68E0531D"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 xml:space="preserve">Na procuração ora anexada, o Procurador do Obreiro possui poderes específicos para declarar a hipossuficiência econômica do Reclamante, razão pela qual, </w:t>
      </w:r>
      <w:r>
        <w:rPr>
          <w:rFonts w:ascii="Roboto" w:hAnsi="Roboto" w:eastAsia="Arial" w:cs="Arial"/>
          <w:color w:val="000000" w:themeColor="text1"/>
          <w:sz w:val="23"/>
          <w:szCs w:val="23"/>
          <w:u w:val="single"/>
        </w:rPr>
        <w:t>diante do pleito de justiça gratuita constante nesta exordial, se faz imperiosa a concessão da justiça gratuita ao Reclamante</w:t>
      </w:r>
      <w:r>
        <w:rPr>
          <w:rFonts w:ascii="Roboto" w:hAnsi="Roboto" w:eastAsia="Arial" w:cs="Arial"/>
          <w:color w:val="000000" w:themeColor="text1"/>
          <w:sz w:val="23"/>
          <w:szCs w:val="23"/>
        </w:rPr>
        <w:t>.</w:t>
      </w:r>
    </w:p>
    <w:p w14:paraId="00E16C7C" w14:textId="77777777">
      <w:pPr>
        <w:spacing w:line="276" w:lineRule="auto"/>
        <w:ind w:right="-285"/>
        <w:jc w:val="both"/>
        <w:rPr>
          <w:rFonts w:ascii="Roboto" w:hAnsi="Roboto" w:eastAsia="Arial" w:cs="Arial"/>
          <w:color w:val="000000" w:themeColor="text1"/>
          <w:sz w:val="23"/>
          <w:szCs w:val="23"/>
        </w:rPr>
      </w:pPr>
    </w:p>
    <w:p w14:paraId="630B8891"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É notório que o Obreiro se encaixa nos requisitos para concessão da justiça gratuita, tendo em vista que não possui condições de arcar com o pagamento das custas processuais, diante da sua declaração na vestibular.</w:t>
      </w:r>
    </w:p>
    <w:p w14:paraId="4C83135E" w14:textId="77777777">
      <w:pPr>
        <w:spacing w:line="276" w:lineRule="auto"/>
        <w:ind w:right="-285"/>
        <w:jc w:val="both"/>
        <w:rPr>
          <w:rFonts w:ascii="Roboto" w:hAnsi="Roboto" w:eastAsia="Arial" w:cs="Arial"/>
          <w:color w:val="000000" w:themeColor="text1"/>
          <w:sz w:val="23"/>
          <w:szCs w:val="23"/>
        </w:rPr>
      </w:pPr>
    </w:p>
    <w:p w14:paraId="5B8AE9A5"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Mister salientar, ainda, que o artigo 5º da CRFB/1988 consagra o entendimento de que o Estado prestará assistência jurídica integral e gratuita aos que comprovarem insuficiência de recursos, razão pela qual o Obreiro deverá ser isento do pagamento de custas, despesas do processo e honorários advocatícios, não podendo a legislação infraconstitucional afastar tal direito.</w:t>
      </w:r>
    </w:p>
    <w:p w14:paraId="7B323960" w14:textId="77777777">
      <w:pPr>
        <w:spacing w:line="276" w:lineRule="auto"/>
        <w:ind w:right="-285"/>
        <w:jc w:val="both"/>
        <w:rPr>
          <w:rFonts w:ascii="Roboto" w:hAnsi="Roboto" w:eastAsia="Arial" w:cs="Arial"/>
          <w:color w:val="000000" w:themeColor="text1"/>
          <w:sz w:val="23"/>
          <w:szCs w:val="23"/>
        </w:rPr>
      </w:pPr>
    </w:p>
    <w:p w14:paraId="50D0214B" w14:textId="77777777">
      <w:pPr>
        <w:spacing w:line="276" w:lineRule="auto"/>
        <w:ind w:right="-285"/>
        <w:jc w:val="both"/>
        <w:rPr>
          <w:rFonts w:ascii="Roboto" w:hAnsi="Roboto" w:eastAsia="Arial" w:cs="Arial"/>
          <w:color w:val="000000" w:themeColor="text1"/>
          <w:sz w:val="23"/>
          <w:szCs w:val="23"/>
        </w:rPr>
      </w:pPr>
      <w:r>
        <w:rPr>
          <w:rFonts w:ascii="Roboto" w:hAnsi="Roboto" w:eastAsia="Arial" w:cs="Arial"/>
          <w:color w:val="000000" w:themeColor="text1"/>
          <w:sz w:val="23"/>
          <w:szCs w:val="23"/>
        </w:rPr>
        <w:t xml:space="preserve">Assim, requer, desde já, a concessão dos benefícios da Justiça gratuita, para todos os efeitos legais. Respalda seu pedido no Art. 789, § 9º da CLT, fazendo valer o princípio da </w:t>
      </w:r>
      <w:r>
        <w:rPr>
          <w:rFonts w:ascii="Roboto" w:hAnsi="Roboto" w:eastAsia="Arial" w:cs="Arial"/>
          <w:color w:val="000000" w:themeColor="text1"/>
          <w:sz w:val="23"/>
          <w:szCs w:val="23"/>
        </w:rPr>
        <w:lastRenderedPageBreak/>
        <w:t>gratuidade de justiça que norteia o judiciário trabalhista, bem como o artigo 5º, inciso LXXIV da CF/88 juntamente com a Lei nº 1.060/50, art.5º, §4º.</w:t>
      </w:r>
    </w:p>
    <w:p w14:paraId="5B9A192E" w14:textId="77777777">
      <w:pPr>
        <w:spacing w:line="276" w:lineRule="auto"/>
        <w:ind w:right="-285"/>
        <w:jc w:val="both"/>
        <w:rPr>
          <w:rFonts w:ascii="Roboto" w:hAnsi="Roboto" w:eastAsia="Arial" w:cs="Arial"/>
          <w:sz w:val="23"/>
          <w:szCs w:val="23"/>
        </w:rPr>
      </w:pPr>
    </w:p>
    <w:p w14:paraId="41C4D8DF" w14:textId="77777777">
      <w:pPr>
        <w:pStyle w:val="PargrafodaLista"/>
        <w:numPr>
          <w:ilvl w:val="0"/>
          <w:numId w:val="15"/>
        </w:numPr>
        <w:spacing w:line="276" w:lineRule="auto"/>
        <w:ind w:right="-285"/>
        <w:jc w:val="both"/>
        <w:rPr>
          <w:rFonts w:ascii="Roboto" w:hAnsi="Roboto" w:eastAsia="Arial" w:cs="Arial"/>
          <w:b/>
          <w:bCs/>
          <w:sz w:val="23"/>
          <w:szCs w:val="23"/>
        </w:rPr>
      </w:pPr>
      <w:r>
        <w:rPr>
          <w:rFonts w:ascii="Roboto" w:hAnsi="Roboto" w:eastAsia="Arial" w:cs="Arial"/>
          <w:b/>
          <w:bCs/>
          <w:sz w:val="23"/>
          <w:szCs w:val="23"/>
        </w:rPr>
        <w:t>ADI 5766 DO STF. CRÉDITOS SUCUMBENCIAIS - INCONSTITUCIONALIDADE DO ART. 791-A E DO CAPUT E §4º DO ART. 790-B DA CLT</w:t>
      </w:r>
    </w:p>
    <w:p w14:paraId="37C0B0B7" w14:textId="77777777">
      <w:pPr>
        <w:spacing w:line="276" w:lineRule="auto"/>
        <w:ind w:right="-285"/>
        <w:jc w:val="both"/>
        <w:rPr>
          <w:rFonts w:ascii="Roboto" w:hAnsi="Roboto" w:eastAsia="Arial" w:cs="Arial"/>
          <w:sz w:val="23"/>
          <w:szCs w:val="23"/>
        </w:rPr>
      </w:pPr>
    </w:p>
    <w:p w14:paraId="76481DD1"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Sendo deferida a justiça gratuita, e havendo sucumbência total ou parcial da parte Reclamante na ação ou em eventual perícia, requer seja observada e cumprida a ADI 5766 do Supremo Tribunal Federal, que, em controle concentrado de constitucionalidade, declarou a inconstitucionalidade do §4º do art. 791-A e do </w:t>
      </w:r>
      <w:r>
        <w:rPr>
          <w:rFonts w:ascii="Roboto" w:hAnsi="Roboto" w:eastAsia="Arial" w:cs="Arial"/>
          <w:i/>
          <w:iCs/>
          <w:sz w:val="23"/>
          <w:szCs w:val="23"/>
        </w:rPr>
        <w:t xml:space="preserve">caput </w:t>
      </w:r>
      <w:r>
        <w:rPr>
          <w:rFonts w:ascii="Roboto" w:hAnsi="Roboto" w:eastAsia="Arial" w:cs="Arial"/>
          <w:sz w:val="23"/>
          <w:szCs w:val="23"/>
        </w:rPr>
        <w:t>e do §4º do art. 790-B da CLT, que foram inseridos pela Lei 13.467/2017. Segue abaixo transcrita a ementa do julgado:</w:t>
      </w:r>
    </w:p>
    <w:p w14:paraId="47ACC3C0" w14:textId="77777777">
      <w:pPr>
        <w:spacing w:line="276" w:lineRule="auto"/>
        <w:ind w:right="-285"/>
        <w:jc w:val="both"/>
        <w:rPr>
          <w:rFonts w:ascii="Roboto" w:hAnsi="Roboto" w:eastAsia="Arial" w:cs="Arial"/>
          <w:sz w:val="23"/>
          <w:szCs w:val="23"/>
        </w:rPr>
      </w:pPr>
    </w:p>
    <w:p w14:paraId="49DE7B16" w14:textId="77777777">
      <w:pPr>
        <w:spacing w:line="276" w:lineRule="auto"/>
        <w:ind w:left="2268" w:right="-285" w:firstLine="0"/>
        <w:jc w:val="both"/>
        <w:rPr>
          <w:rFonts w:ascii="Roboto" w:hAnsi="Roboto" w:eastAsia="Arial" w:cs="Arial"/>
          <w:i/>
          <w:iCs/>
          <w:color w:val="333333"/>
          <w:sz w:val="23"/>
          <w:szCs w:val="23"/>
          <w:shd w:val="clear" w:color="auto" w:fill="FFFFFF"/>
        </w:rPr>
      </w:pPr>
      <w:r>
        <w:rPr>
          <w:rStyle w:val="Forte"/>
          <w:rFonts w:ascii="Roboto" w:hAnsi="Roboto" w:eastAsia="Arial" w:cs="Arial"/>
          <w:i/>
          <w:iCs/>
          <w:color w:val="333333"/>
          <w:sz w:val="23"/>
          <w:szCs w:val="23"/>
          <w:shd w:val="clear" w:color="auto" w:fill="FFFFFF"/>
        </w:rPr>
        <w:t>Ementa: </w:t>
      </w:r>
      <w:r>
        <w:rPr>
          <w:rFonts w:ascii="Roboto" w:hAnsi="Roboto" w:eastAsia="Arial" w:cs="Arial"/>
          <w:i/>
          <w:iCs/>
          <w:color w:val="333333"/>
          <w:sz w:val="23"/>
          <w:szCs w:val="23"/>
          <w:shd w:val="clear" w:color="auto" w:fill="FFFFFF"/>
        </w:rPr>
        <w:t>CONSTITUCIONAL. AÇÃO DIRETA DE INCONSTITUCIONALIDADE. LEI 13.467/2017. REFORMA TRABALHISTA. REGRAS SOBRE GRATUIDADE DE JUSTIÇA. RESPONSABILIDADE PELO PAGAMENTO DE ÔNUS SUCUMBENCIAIS EM HIPÓTESES ESPECÍFICAS. ALEGAÇÕES DE VIOLAÇÃO AOS PRINCÍPIOS DA ISONOMIA, INAFASTABILIDADE DA JURISDIÇÃO, ACESSO À JUSTIÇA, SOLIDARIEDADE SOCIAL E DIREITO SOCIAL À ASSISTÊNCIA JURÍDICA GRATUITA. MARGEM DE CONFORMAÇÃO DO LEGISLADOR. CRITÉRIOS DE RACIONALIZAÇÃO DA PRESTAÇÃO JURISDICIONAL. AÇÃO DIRETA JULGADA PARCIALMENTE PROCEDENTE. 1. 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2. A ausência injustificada à audiência de julgamento frustra o exercício da jurisdição e acarreta prejuízos materiais para o órgão judiciário e para a parte reclamada, o que não se coaduna com deveres mínimos de boa-fé, cooperação e lealdade processual, mostrando-se proporcional a restrição do benefício de gratuidade de justiça nessa hipótese. 3. Ação Direta julgada parcialmente procedente.</w:t>
      </w:r>
      <w:r>
        <w:rPr>
          <w:rFonts w:ascii="Roboto" w:hAnsi="Roboto" w:cs="Arial"/>
          <w:i/>
          <w:iCs/>
          <w:color w:val="333333"/>
          <w:sz w:val="23"/>
          <w:szCs w:val="23"/>
        </w:rPr>
        <w:br/>
      </w:r>
      <w:r>
        <w:rPr>
          <w:rFonts w:ascii="Roboto" w:hAnsi="Roboto" w:eastAsia="Arial" w:cs="Arial"/>
          <w:i/>
          <w:iCs/>
          <w:color w:val="333333"/>
          <w:sz w:val="23"/>
          <w:szCs w:val="23"/>
          <w:shd w:val="clear" w:color="auto" w:fill="FFFFFF"/>
        </w:rPr>
        <w:t xml:space="preserve">(ADI 5766, Relator(a): ROBERTO BARROSO, Relator(a) p/ Acórdão: ALEXANDRE DE MORAES, Tribunal Pleno, julgado em 20/10/2021, </w:t>
      </w:r>
      <w:r>
        <w:rPr>
          <w:rFonts w:ascii="Roboto" w:hAnsi="Roboto" w:eastAsia="Arial" w:cs="Arial"/>
          <w:i/>
          <w:iCs/>
          <w:color w:val="333333"/>
          <w:sz w:val="23"/>
          <w:szCs w:val="23"/>
          <w:shd w:val="clear" w:color="auto" w:fill="FFFFFF"/>
        </w:rPr>
        <w:lastRenderedPageBreak/>
        <w:t>PROCESSO ELETRÔNICO DJe-084 DIVULG 02-05-2022 PUBLIC 03-05-2022)</w:t>
      </w:r>
    </w:p>
    <w:p w14:paraId="7724C8C4" w14:textId="77777777">
      <w:pPr>
        <w:spacing w:line="276" w:lineRule="auto"/>
        <w:ind w:right="-285"/>
        <w:jc w:val="both"/>
        <w:rPr>
          <w:rFonts w:ascii="Roboto" w:hAnsi="Roboto" w:eastAsia="Arial" w:cs="Arial"/>
          <w:sz w:val="23"/>
          <w:szCs w:val="23"/>
        </w:rPr>
      </w:pPr>
    </w:p>
    <w:p w14:paraId="5936F5DF" w14:textId="77777777">
      <w:pPr>
        <w:spacing w:line="276" w:lineRule="auto"/>
        <w:ind w:right="-285"/>
        <w:jc w:val="both"/>
        <w:rPr>
          <w:rFonts w:ascii="Roboto" w:hAnsi="Roboto" w:eastAsia="Arial" w:cs="Arial"/>
          <w:sz w:val="23"/>
          <w:szCs w:val="23"/>
        </w:rPr>
      </w:pPr>
      <w:r>
        <w:rPr>
          <w:rFonts w:ascii="Roboto" w:hAnsi="Roboto" w:eastAsia="Arial" w:cs="Arial"/>
          <w:sz w:val="23"/>
          <w:szCs w:val="23"/>
        </w:rPr>
        <w:t>Pelo exposto, requer que, numa eventual sucumbência total ou parcial do Reclamante nesta demanda, não seja executada a exigibilidade dos créditos sucumbenciais, mesmo que haja recebimento nesta ou em outra demanda, a menos que haja prova cabal de que houve alteração da sua condição de insuficiência de recurso para seu sustento e da sua própria família (reversão dos benefícios da Justiça Gratuita), o que deve ser feito mediante contraditório amplo e decisão fundamentada.</w:t>
      </w:r>
    </w:p>
    <w:p w14:paraId="2C8350CB" w14:textId="77777777">
      <w:pPr>
        <w:spacing w:line="276" w:lineRule="auto"/>
        <w:ind w:right="-285"/>
        <w:jc w:val="both"/>
        <w:rPr>
          <w:rFonts w:ascii="Roboto" w:hAnsi="Roboto" w:eastAsia="Arial" w:cs="Arial"/>
          <w:b/>
          <w:bCs/>
          <w:sz w:val="23"/>
          <w:szCs w:val="23"/>
        </w:rPr>
      </w:pPr>
    </w:p>
    <w:p w14:paraId="44BF3AFC" w14:textId="77777777">
      <w:pPr>
        <w:pStyle w:val="PargrafodaLista"/>
        <w:numPr>
          <w:ilvl w:val="0"/>
          <w:numId w:val="15"/>
        </w:numPr>
        <w:spacing w:line="276" w:lineRule="auto"/>
        <w:ind w:right="-285"/>
        <w:jc w:val="both"/>
        <w:rPr>
          <w:rFonts w:ascii="Roboto" w:hAnsi="Roboto" w:eastAsia="Arial" w:cs="Arial"/>
          <w:b/>
          <w:bCs/>
          <w:sz w:val="23"/>
          <w:szCs w:val="23"/>
        </w:rPr>
      </w:pPr>
      <w:r>
        <w:rPr>
          <w:rFonts w:ascii="Roboto" w:hAnsi="Roboto" w:eastAsia="Arial" w:cs="Arial"/>
          <w:b/>
          <w:bCs/>
          <w:sz w:val="23"/>
          <w:szCs w:val="23"/>
        </w:rPr>
        <w:t xml:space="preserve"> DA APURAÇÃO DOS VALORES DOS PEDIDOS DE FORMA ESTIMATIVA E NÃO VINCULATIVA, DE ACORDO COM OS §§ 1º E 2º DO ART. 840 DA CLT E A INSTRUÇÃO NORMATIVA N. 41/2018, DO PLENO DO TST</w:t>
      </w:r>
    </w:p>
    <w:p w14:paraId="7746BB12" w14:textId="77777777">
      <w:pPr>
        <w:spacing w:line="276" w:lineRule="auto"/>
        <w:ind w:right="-285"/>
        <w:jc w:val="both"/>
        <w:rPr>
          <w:rFonts w:ascii="Roboto" w:hAnsi="Roboto" w:eastAsia="Arial" w:cs="Arial"/>
          <w:sz w:val="23"/>
          <w:szCs w:val="23"/>
        </w:rPr>
      </w:pPr>
    </w:p>
    <w:p w14:paraId="6F83A676" w14:textId="77777777">
      <w:pPr>
        <w:spacing w:line="276" w:lineRule="auto"/>
        <w:ind w:right="-285"/>
        <w:jc w:val="both"/>
        <w:rPr>
          <w:rFonts w:ascii="Roboto" w:hAnsi="Roboto" w:eastAsia="Arial" w:cs="Arial"/>
          <w:sz w:val="23"/>
          <w:szCs w:val="23"/>
        </w:rPr>
      </w:pPr>
      <w:r>
        <w:rPr>
          <w:rFonts w:ascii="Roboto" w:hAnsi="Roboto" w:eastAsia="Arial" w:cs="Arial"/>
          <w:sz w:val="23"/>
          <w:szCs w:val="23"/>
        </w:rPr>
        <w:t>O Reclamante informa que os valores indicados a título de pedidos e valor na causa são meramente estimativos, com o intuito de estabelecer os parâmetros para o procedimento e as tratativas conciliatórias, conforme entendimento do Tribunal Superior do Trabalho, vide art. 12, § 2º, da Instrução Normativa nº 41/2018 do TST, editada pela Resolução nº 221, de 21 de junho de 2018.</w:t>
      </w:r>
    </w:p>
    <w:p w14:paraId="2895DFB3" w14:textId="77777777">
      <w:pPr>
        <w:spacing w:line="276" w:lineRule="auto"/>
        <w:ind w:right="-285"/>
        <w:jc w:val="both"/>
        <w:rPr>
          <w:rFonts w:ascii="Roboto" w:hAnsi="Roboto" w:eastAsia="Arial" w:cs="Arial"/>
          <w:sz w:val="23"/>
          <w:szCs w:val="23"/>
        </w:rPr>
      </w:pPr>
    </w:p>
    <w:p w14:paraId="18B39FFC" w14:textId="77777777">
      <w:pPr>
        <w:spacing w:line="276" w:lineRule="auto"/>
        <w:ind w:right="-285"/>
        <w:jc w:val="both"/>
        <w:rPr>
          <w:rFonts w:ascii="Roboto" w:hAnsi="Roboto" w:eastAsia="Arial" w:cs="Arial"/>
          <w:i/>
          <w:iCs/>
          <w:sz w:val="23"/>
          <w:szCs w:val="23"/>
        </w:rPr>
      </w:pPr>
      <w:r>
        <w:rPr>
          <w:rFonts w:ascii="Roboto" w:hAnsi="Roboto" w:eastAsia="Arial" w:cs="Arial"/>
          <w:sz w:val="23"/>
          <w:szCs w:val="23"/>
        </w:rPr>
        <w:t>Primeiro porque, o teor do 3º do art. 12 da Instrução Normativa nº 41/2018 esclarece que "</w:t>
      </w:r>
      <w:r>
        <w:rPr>
          <w:rFonts w:ascii="Roboto" w:hAnsi="Roboto" w:eastAsia="Arial" w:cs="Arial"/>
          <w:i/>
          <w:iCs/>
          <w:sz w:val="23"/>
          <w:szCs w:val="23"/>
        </w:rPr>
        <w:t>para fim do que dispõe o artigo 840, §§1º e 2º, da CLT, o valor da causa será estimado".</w:t>
      </w:r>
    </w:p>
    <w:p w14:paraId="3E0D44BD" w14:textId="77777777">
      <w:pPr>
        <w:spacing w:line="276" w:lineRule="auto"/>
        <w:ind w:right="-285"/>
        <w:jc w:val="both"/>
        <w:rPr>
          <w:rFonts w:ascii="Roboto" w:hAnsi="Roboto" w:eastAsia="Arial" w:cs="Arial"/>
          <w:i/>
          <w:iCs/>
          <w:sz w:val="23"/>
          <w:szCs w:val="23"/>
        </w:rPr>
      </w:pPr>
    </w:p>
    <w:p w14:paraId="1E12D75C"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Além disso, a SBDI-1 do TST, no julgamento do E-ARR-10472-61.2015.5.18.0211, ocorrido no dia 21 de maio (acórdão publicado no DEJT de 29.5.2020), asseverou que </w:t>
      </w:r>
      <w:r>
        <w:rPr>
          <w:rFonts w:ascii="Roboto" w:hAnsi="Roboto" w:eastAsia="Arial" w:cs="Arial"/>
          <w:i/>
          <w:iCs/>
          <w:sz w:val="23"/>
          <w:szCs w:val="23"/>
        </w:rPr>
        <w:t>"a parte autora, ao formular pedidos com valores líquidos na petição inicial, sem registrar qualquer ressalva, limita a condenação a tais parâmetros"</w:t>
      </w:r>
      <w:r>
        <w:rPr>
          <w:rFonts w:ascii="Roboto" w:hAnsi="Roboto" w:eastAsia="Arial" w:cs="Arial"/>
          <w:sz w:val="23"/>
          <w:szCs w:val="23"/>
        </w:rPr>
        <w:t>.</w:t>
      </w:r>
    </w:p>
    <w:p w14:paraId="53DCAFF3" w14:textId="77777777">
      <w:pPr>
        <w:spacing w:line="276" w:lineRule="auto"/>
        <w:ind w:right="-285"/>
        <w:jc w:val="both"/>
        <w:rPr>
          <w:rFonts w:ascii="Roboto" w:hAnsi="Roboto" w:eastAsia="Arial" w:cs="Arial"/>
          <w:sz w:val="23"/>
          <w:szCs w:val="23"/>
        </w:rPr>
      </w:pPr>
    </w:p>
    <w:p w14:paraId="5456DAB6" w14:textId="77777777">
      <w:pPr>
        <w:spacing w:line="276" w:lineRule="auto"/>
        <w:ind w:right="-285"/>
        <w:jc w:val="both"/>
        <w:rPr>
          <w:rFonts w:ascii="Roboto" w:hAnsi="Roboto" w:eastAsia="Arial" w:cs="Arial"/>
          <w:sz w:val="23"/>
          <w:szCs w:val="23"/>
        </w:rPr>
      </w:pPr>
      <w:r>
        <w:rPr>
          <w:rFonts w:ascii="Roboto" w:hAnsi="Roboto" w:eastAsia="Arial" w:cs="Arial"/>
          <w:sz w:val="23"/>
          <w:szCs w:val="23"/>
        </w:rPr>
        <w:t>Do cotejo entre a IN 41/18 e o recente julgamento do TST, extrai-se que, quando houver uma indicação de que os valores indicados são ESTIMADOS, não há que se falar em obrigatoriedade de apresentação de memória discriminativa de cálculo. Abaixo, transcreve-se jurisprudência com esclarecimento nesse sentido:</w:t>
      </w:r>
    </w:p>
    <w:p w14:paraId="2311655D" w14:textId="77777777">
      <w:pPr>
        <w:spacing w:line="276" w:lineRule="auto"/>
        <w:ind w:right="-285"/>
        <w:jc w:val="both"/>
        <w:rPr>
          <w:rFonts w:ascii="Roboto" w:hAnsi="Roboto" w:eastAsia="Arial" w:cs="Arial"/>
          <w:sz w:val="23"/>
          <w:szCs w:val="23"/>
        </w:rPr>
      </w:pPr>
    </w:p>
    <w:p w14:paraId="6D6A742E" w14:textId="77777777">
      <w:pPr>
        <w:spacing w:line="276" w:lineRule="auto"/>
        <w:ind w:left="2268" w:right="-285" w:firstLine="0"/>
        <w:jc w:val="both"/>
        <w:rPr>
          <w:rFonts w:ascii="Roboto" w:hAnsi="Roboto" w:eastAsia="Arial" w:cs="Arial"/>
          <w:i/>
          <w:iCs/>
          <w:sz w:val="23"/>
          <w:szCs w:val="23"/>
        </w:rPr>
      </w:pPr>
      <w:r>
        <w:rPr>
          <w:rFonts w:ascii="Roboto" w:hAnsi="Roboto" w:eastAsia="Arial" w:cs="Arial"/>
          <w:i/>
          <w:iCs/>
          <w:sz w:val="23"/>
          <w:szCs w:val="23"/>
        </w:rPr>
        <w:t xml:space="preserve">LIQUIDAÇÃO DE SENTENÇA. VALORES DESCRITOS NA INICIAL. A TESE JURÍDICA PREVALECENTE (TJP) 16 DESTE REGIONAL, DISPÕE "RITO SUMARÍSSIMO. VALOR CORRESPONDENTE AOS PEDIDOS, INDICADO NA PETIÇÃO INICIAL (ART. 852-B, DA CLT). </w:t>
      </w:r>
      <w:r>
        <w:rPr>
          <w:rFonts w:ascii="Roboto" w:hAnsi="Roboto" w:eastAsia="Arial" w:cs="Arial"/>
          <w:i/>
          <w:iCs/>
          <w:sz w:val="23"/>
          <w:szCs w:val="23"/>
        </w:rPr>
        <w:lastRenderedPageBreak/>
        <w:t>INEXISTÊNCIA DE LIMITAÇÃO, NA LIQUIDAÇÃO, A ESTE VALOR. No procedimento sumaríssimo, os valores indicados na petição inicial, conforme exigência do art. 852-B, I, da CLT, configuram estimativa para fins de definição do rito processual a ser seguido e não um limite para apuração das importâncias das parcelas objeto de condenação, em liquidação de sentença". Portanto, as importâncias declaradas na inicial constituem estimativas para definição do rito processual, não podendo servir de limite à condenação, quando da liquidação de sentença. (TRT 3ª R.; ROT 0010622-53.2018.5.03.0179; Sétima Turma; Rel. Des. Paulo Roberto de Castro; Julg. 28/09/2020; DEJTMG 30/09/2020; Pág. 769).</w:t>
      </w:r>
    </w:p>
    <w:p w14:paraId="27F7E8EC" w14:textId="77777777">
      <w:pPr>
        <w:spacing w:line="276" w:lineRule="auto"/>
        <w:ind w:right="-285"/>
        <w:jc w:val="both"/>
        <w:rPr>
          <w:rFonts w:ascii="Roboto" w:hAnsi="Roboto" w:eastAsia="Arial" w:cs="Arial"/>
          <w:sz w:val="23"/>
          <w:szCs w:val="23"/>
        </w:rPr>
      </w:pPr>
    </w:p>
    <w:p w14:paraId="6CAF61E6" w14:textId="77777777">
      <w:pPr>
        <w:spacing w:line="276" w:lineRule="auto"/>
        <w:ind w:right="-285"/>
        <w:jc w:val="both"/>
        <w:rPr>
          <w:rFonts w:ascii="Roboto" w:hAnsi="Roboto" w:eastAsia="Arial" w:cs="Arial"/>
          <w:sz w:val="23"/>
          <w:szCs w:val="23"/>
        </w:rPr>
      </w:pPr>
      <w:r>
        <w:rPr>
          <w:rFonts w:ascii="Roboto" w:hAnsi="Roboto" w:eastAsia="Arial" w:cs="Arial"/>
          <w:sz w:val="23"/>
          <w:szCs w:val="23"/>
        </w:rPr>
        <w:t>Assim, tendo o Reclamante indicado nesta Exordial que as quantias indicadas para cada pedido são estimativas, cumpriu-se os requisitos previstos nos §§ 1º e 2º do art. 840 da CLT de pedido determinado; o que, todavia, não significa que o pedido deva ser líquido, bem como que o valor arbitrado na inicial vincule ou sirva de limite à condenação.</w:t>
      </w:r>
    </w:p>
    <w:p w14:paraId="1F4BAF4A" w14:textId="77777777">
      <w:pPr>
        <w:spacing w:line="276" w:lineRule="auto"/>
        <w:ind w:right="-285"/>
        <w:jc w:val="both"/>
        <w:rPr>
          <w:rFonts w:ascii="Roboto" w:hAnsi="Roboto" w:eastAsia="Arial" w:cs="Arial"/>
          <w:sz w:val="23"/>
          <w:szCs w:val="23"/>
        </w:rPr>
      </w:pPr>
    </w:p>
    <w:p w14:paraId="359071BD" w14:textId="77777777">
      <w:pPr>
        <w:spacing w:line="276" w:lineRule="auto"/>
        <w:ind w:right="-285"/>
        <w:jc w:val="both"/>
        <w:rPr>
          <w:rFonts w:ascii="Roboto" w:hAnsi="Roboto" w:eastAsia="Arial" w:cs="Arial"/>
          <w:sz w:val="23"/>
          <w:szCs w:val="23"/>
        </w:rPr>
      </w:pPr>
      <w:r>
        <w:rPr>
          <w:rFonts w:ascii="Roboto" w:hAnsi="Roboto" w:eastAsia="Arial" w:cs="Arial"/>
          <w:sz w:val="23"/>
          <w:szCs w:val="23"/>
        </w:rPr>
        <w:t>Com efeito, a indicação dos valores por estimativa, apresenta respaldo no art. 324, §1º, III</w:t>
      </w:r>
      <w:r>
        <w:rPr>
          <w:rStyle w:val="Refdenotaderodap"/>
          <w:rFonts w:ascii="Roboto" w:hAnsi="Roboto" w:eastAsia="Arial" w:cs="Arial"/>
          <w:sz w:val="23"/>
          <w:szCs w:val="23"/>
        </w:rPr>
        <w:footnoteReference w:id="2"/>
      </w:r>
      <w:r>
        <w:rPr>
          <w:rFonts w:ascii="Roboto" w:hAnsi="Roboto" w:eastAsia="Arial" w:cs="Arial"/>
          <w:sz w:val="23"/>
          <w:szCs w:val="23"/>
        </w:rPr>
        <w:t xml:space="preserve"> do CPC, aplicado subsidiariamente à Norma Celetista por força do seu art. 769, de modo que será efetuada a real liquidação com os documentos a serem acostados pela Reclamada, sendo, portanto, o valor apresentado a título de estimativa, válido com finalidade de propor a presente demanda.</w:t>
      </w:r>
    </w:p>
    <w:p w14:paraId="6ED8258C" w14:textId="77777777">
      <w:pPr>
        <w:spacing w:line="276" w:lineRule="auto"/>
        <w:ind w:right="-285"/>
        <w:jc w:val="both"/>
        <w:rPr>
          <w:rFonts w:ascii="Roboto" w:hAnsi="Roboto" w:eastAsia="Arial" w:cs="Arial"/>
          <w:sz w:val="23"/>
          <w:szCs w:val="23"/>
        </w:rPr>
      </w:pPr>
    </w:p>
    <w:p w14:paraId="75256AAC" w14:textId="77777777">
      <w:pPr>
        <w:spacing w:line="276" w:lineRule="auto"/>
        <w:ind w:right="-285"/>
        <w:jc w:val="both"/>
        <w:rPr>
          <w:rFonts w:ascii="Roboto" w:hAnsi="Roboto" w:eastAsia="Arial" w:cs="Arial"/>
          <w:sz w:val="23"/>
          <w:szCs w:val="23"/>
          <w:u w:val="single"/>
        </w:rPr>
      </w:pPr>
      <w:r>
        <w:rPr>
          <w:rFonts w:ascii="Roboto" w:hAnsi="Roboto" w:eastAsia="Arial" w:cs="Arial"/>
          <w:sz w:val="23"/>
          <w:szCs w:val="23"/>
        </w:rPr>
        <w:t xml:space="preserve">Assim, a presente reclamatória atende todos os requisitos necessários, inclusive a indicação do valor, ainda que por amostragem em virtude de não conter subsídios necessários para liquidação diretamente relacionada com a real escala de trabalho exercida, </w:t>
      </w:r>
      <w:r>
        <w:rPr>
          <w:rFonts w:ascii="Roboto" w:hAnsi="Roboto" w:eastAsia="Arial" w:cs="Arial"/>
          <w:sz w:val="23"/>
          <w:szCs w:val="23"/>
          <w:u w:val="single"/>
        </w:rPr>
        <w:t xml:space="preserve">pugnando, desde já para que seja determinada à Reclamada que proceda a juntada das folhas de ponto e escalas do Reclamante, sob pena de confissão. </w:t>
      </w:r>
    </w:p>
    <w:p w14:paraId="377A45FD" w14:textId="77777777">
      <w:pPr>
        <w:spacing w:line="276" w:lineRule="auto"/>
        <w:ind w:right="-285"/>
        <w:jc w:val="both"/>
        <w:rPr>
          <w:rFonts w:ascii="Roboto" w:hAnsi="Roboto" w:eastAsia="Arial" w:cs="Arial"/>
          <w:b/>
          <w:bCs/>
          <w:sz w:val="23"/>
          <w:szCs w:val="23"/>
          <w:u w:val="single"/>
        </w:rPr>
      </w:pPr>
    </w:p>
    <w:p w14:paraId="68DBDE56" w14:textId="77777777">
      <w:pPr>
        <w:spacing w:line="276" w:lineRule="auto"/>
        <w:ind w:right="-285"/>
        <w:jc w:val="both"/>
        <w:rPr>
          <w:rFonts w:ascii="Roboto" w:hAnsi="Roboto" w:eastAsia="Arial" w:cs="Arial"/>
          <w:b/>
          <w:bCs/>
          <w:sz w:val="23"/>
          <w:szCs w:val="23"/>
          <w:u w:val="single"/>
        </w:rPr>
      </w:pPr>
      <w:r>
        <w:rPr>
          <w:rFonts w:ascii="Roboto" w:hAnsi="Roboto" w:eastAsia="Arial" w:cs="Arial"/>
          <w:b/>
          <w:bCs/>
          <w:sz w:val="23"/>
          <w:szCs w:val="23"/>
          <w:u w:val="single"/>
        </w:rPr>
        <w:t>II - DOS FATOS</w:t>
      </w:r>
    </w:p>
    <w:p w14:paraId="55ED8ADE" w14:textId="77777777">
      <w:pPr>
        <w:spacing w:line="276" w:lineRule="auto"/>
        <w:ind w:right="-285"/>
        <w:jc w:val="both"/>
        <w:rPr>
          <w:rFonts w:ascii="Roboto" w:hAnsi="Roboto" w:eastAsia="Arial" w:cs="Arial"/>
          <w:b/>
          <w:sz w:val="23"/>
          <w:szCs w:val="23"/>
        </w:rPr>
      </w:pPr>
    </w:p>
    <w:p w14:paraId="1AF20001"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Cumpre esclarecer, de início, que a presente demanda não impugna a validade do regime de banco de horas instituído pelos Acordos Coletivos de Trabalho firmados entre a Reclamada e o sindicato da categoria, nem busca qualquer modificação na sistemática de </w:t>
      </w:r>
      <w:r>
        <w:rPr>
          <w:rFonts w:ascii="Roboto" w:hAnsi="Roboto" w:eastAsia="Arial" w:cs="Arial"/>
          <w:sz w:val="23"/>
          <w:szCs w:val="23"/>
        </w:rPr>
        <w:lastRenderedPageBreak/>
        <w:t>compensação ou de quitação das horas não compensadas por esse instrumento. O que se postula, exclusivamente, são os reflexos que as horas extras pagas mediante banco de horas produzem sobre as demais verbas trabalhistas do Reclamante, por força de disposição legal cogente que não se submete à disponibilidade negocial. A condenação ora pleiteada, portanto, em nada altera a estrutura do banco de horas convencionado, limitando-se a assegurar ao trabalhador o percebimento das parcelas que a lei expressamente vincula ao pagamento de horas extraordinárias, independentemente da forma ou do momento em que estas sejam quitadas.</w:t>
      </w:r>
    </w:p>
    <w:p w14:paraId="1AF20002" w14:textId="77777777">
      <w:pPr>
        <w:spacing w:line="276" w:lineRule="auto"/>
        <w:ind w:right="-285"/>
        <w:jc w:val="both"/>
        <w:rPr>
          <w:rFonts w:ascii="Roboto" w:hAnsi="Roboto" w:eastAsia="Arial" w:cs="Arial"/>
          <w:sz w:val="23"/>
          <w:szCs w:val="23"/>
        </w:rPr>
      </w:pPr>
    </w:p>
    <w:p w14:paraId="14F549A2" w14:textId="77777777">
      <w:pPr>
        <w:spacing w:line="276" w:lineRule="auto"/>
        <w:ind w:right="-285"/>
        <w:jc w:val="both"/>
        <w:rPr>
          <w:rFonts w:ascii="Roboto" w:hAnsi="Roboto" w:eastAsia="Arial" w:cs="Arial"/>
          <w:sz w:val="23"/>
          <w:szCs w:val="23"/>
        </w:rPr>
      </w:pPr>
      <w:r>
        <w:rPr>
          <w:rFonts w:ascii="Roboto" w:hAnsi="Roboto" w:eastAsia="Arial" w:cs="Arial"/>
          <w:sz w:val="23"/>
          <w:szCs w:val="23"/>
        </w:rPr>
        <w:t>O Reclamante é empregado da Reclamada.</w:t>
      </w:r>
    </w:p>
    <w:p w14:paraId="21167D4E" w14:textId="77777777">
      <w:pPr>
        <w:spacing w:line="276" w:lineRule="auto"/>
        <w:ind w:right="-285"/>
        <w:jc w:val="both"/>
        <w:rPr>
          <w:rFonts w:ascii="Roboto" w:hAnsi="Roboto" w:eastAsia="Arial" w:cs="Arial"/>
          <w:sz w:val="23"/>
          <w:szCs w:val="23"/>
        </w:rPr>
      </w:pPr>
    </w:p>
    <w:p w14:paraId="76D1EEAD" w14:textId="77777777">
      <w:pPr>
        <w:spacing w:line="276" w:lineRule="auto"/>
        <w:ind w:right="-285"/>
        <w:jc w:val="both"/>
        <w:rPr>
          <w:rFonts w:ascii="Roboto" w:hAnsi="Roboto" w:eastAsia="Arial" w:cs="Arial"/>
          <w:sz w:val="23"/>
          <w:szCs w:val="23"/>
        </w:rPr>
      </w:pPr>
      <w:r>
        <w:rPr>
          <w:rFonts w:ascii="Roboto" w:hAnsi="Roboto" w:eastAsia="Arial" w:cs="Arial"/>
          <w:sz w:val="23"/>
          <w:szCs w:val="23"/>
        </w:rPr>
        <w:t>Em 01/01/2020, passou a vigorar o Acordo Coletivo 2019/2020 (DOC. 05), firmado pela Empregadora, cuja Cláusula 11 prevê a implementação de Banco de Horas, sendo que esta se manteve e foi aprofundada nos acordos subsequentes, incluindo o ACT 2025-2027 (DOC. 09).</w:t>
      </w:r>
    </w:p>
    <w:p w14:paraId="6EBE5EC7" w14:textId="77777777">
      <w:pPr>
        <w:spacing w:line="276" w:lineRule="auto"/>
        <w:ind w:right="-285"/>
        <w:jc w:val="both"/>
        <w:rPr>
          <w:rFonts w:ascii="Roboto" w:hAnsi="Roboto" w:eastAsia="Arial" w:cs="Arial"/>
          <w:sz w:val="23"/>
          <w:szCs w:val="23"/>
        </w:rPr>
      </w:pPr>
    </w:p>
    <w:p w14:paraId="1846E2EB" w14:textId="77777777">
      <w:pPr>
        <w:spacing w:line="276" w:lineRule="auto"/>
        <w:ind w:right="-285"/>
        <w:jc w:val="both"/>
        <w:rPr>
          <w:rFonts w:ascii="Roboto" w:hAnsi="Roboto" w:eastAsia="Arial" w:cs="Arial"/>
          <w:sz w:val="23"/>
          <w:szCs w:val="23"/>
        </w:rPr>
      </w:pPr>
      <w:r>
        <w:rPr>
          <w:rFonts w:ascii="Roboto" w:hAnsi="Roboto" w:eastAsia="Arial" w:cs="Arial"/>
          <w:sz w:val="23"/>
          <w:szCs w:val="23"/>
        </w:rPr>
        <w:t>Referida disposição perdurou na ACT 2020/2022 (DOC. 06) e na ACT 2022/2023 (DOC. 07). Em todas elas, restou estabelecido no item II do §3º que as horas extras prestadas pelos empregados, quando não compensadas pelos saldos negativos de frequência, seriam pagas no mês de janeiro do ano seguinte.</w:t>
      </w:r>
    </w:p>
    <w:p w14:paraId="727C1720" w14:textId="77777777">
      <w:pPr>
        <w:spacing w:line="276" w:lineRule="auto"/>
        <w:ind w:right="-285"/>
        <w:jc w:val="both"/>
        <w:rPr>
          <w:rFonts w:ascii="Roboto" w:hAnsi="Roboto" w:eastAsia="Arial" w:cs="Arial"/>
          <w:sz w:val="23"/>
          <w:szCs w:val="23"/>
        </w:rPr>
      </w:pPr>
    </w:p>
    <w:p w14:paraId="1D902AF3"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Vigente a ACT 2019/2020, a Reclamada procedeu ao pagamento dos saldos remanescentes do banco de horas do Autor em janeiro de 2021, janeiro de 2022 e, já sob a vigência da ACT 2021/2022, em janeiro de 2023, conforme se comprova pelos contracheques anexos. </w:t>
      </w:r>
    </w:p>
    <w:p w14:paraId="3ECC7DBA" w14:textId="77777777">
      <w:pPr>
        <w:spacing w:line="276" w:lineRule="auto"/>
        <w:ind w:right="-285"/>
        <w:jc w:val="both"/>
        <w:rPr>
          <w:rFonts w:ascii="Roboto" w:hAnsi="Roboto" w:eastAsia="Arial" w:cs="Arial"/>
          <w:sz w:val="23"/>
          <w:szCs w:val="23"/>
        </w:rPr>
      </w:pPr>
    </w:p>
    <w:p w14:paraId="46000D0E" w14:textId="77777777">
      <w:pPr>
        <w:spacing w:line="276" w:lineRule="auto"/>
        <w:ind w:right="-285"/>
        <w:jc w:val="both"/>
        <w:rPr>
          <w:rFonts w:ascii="Roboto" w:hAnsi="Roboto" w:eastAsia="Arial" w:cs="Arial"/>
          <w:sz w:val="23"/>
          <w:szCs w:val="23"/>
        </w:rPr>
      </w:pPr>
      <w:r>
        <w:rPr>
          <w:rFonts w:ascii="Roboto" w:hAnsi="Roboto" w:eastAsia="Arial" w:cs="Arial"/>
          <w:sz w:val="23"/>
          <w:szCs w:val="23"/>
        </w:rPr>
        <w:t>Com o advento do ACT 2023-2025 e, agora, do ACT 2025-2027, a sistemática foi alterada: a partir de 01/01/2026, passaram a coexistir pagamentos mensais e pagamentos semestrais, nos meses de maio e novembro, além da quitação rescisória, todos sujeitos aos reflexos ora reclamados.</w:t>
      </w:r>
    </w:p>
    <w:p w14:paraId="0B01ACAE" w14:textId="77777777">
      <w:pPr>
        <w:spacing w:line="276" w:lineRule="auto"/>
        <w:ind w:right="-285"/>
        <w:jc w:val="both"/>
        <w:rPr>
          <w:rFonts w:ascii="Roboto" w:hAnsi="Roboto" w:eastAsia="Arial" w:cs="Arial"/>
          <w:sz w:val="23"/>
          <w:szCs w:val="23"/>
        </w:rPr>
      </w:pPr>
    </w:p>
    <w:p w14:paraId="5A4A337A" w14:textId="77777777">
      <w:pPr>
        <w:spacing w:line="276" w:lineRule="auto"/>
        <w:ind w:right="-285"/>
        <w:jc w:val="both"/>
        <w:rPr>
          <w:rFonts w:ascii="Roboto" w:hAnsi="Roboto" w:eastAsia="Arial" w:cs="Arial"/>
          <w:sz w:val="23"/>
          <w:szCs w:val="23"/>
        </w:rPr>
      </w:pPr>
      <w:r>
        <w:rPr>
          <w:rFonts w:ascii="Roboto" w:hAnsi="Roboto" w:eastAsia="Arial" w:cs="Arial"/>
          <w:sz w:val="23"/>
          <w:szCs w:val="23"/>
        </w:rPr>
        <w:t>Ocorre que os valores pagos ao Reclamante a título de Banco de Horas não observam os reflexos devidos sobre as horas extraordinárias, quais sejam: Repouso Semanal Remunerado, férias com abono de 1/3 e gratificação de 2/3, 13º salário, FGTS e contribuições à PETROS (Fundação Petrobras de Seguridade Social).</w:t>
      </w:r>
    </w:p>
    <w:p w14:paraId="6BA5A5DC" w14:textId="77777777">
      <w:pPr>
        <w:spacing w:line="276" w:lineRule="auto"/>
        <w:ind w:right="-285"/>
        <w:jc w:val="both"/>
        <w:rPr>
          <w:rFonts w:ascii="Roboto" w:hAnsi="Roboto" w:eastAsia="Arial" w:cs="Arial"/>
          <w:sz w:val="23"/>
          <w:szCs w:val="23"/>
        </w:rPr>
      </w:pPr>
    </w:p>
    <w:p w14:paraId="4CD8E142"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Quando instada a retificar os valores, a Reclamada justifica que, ao adotar o banco de horas, as verbas dele oriundas perderiam o caráter de hora extraordinária e, portanto, não gerariam reflexos. Referida justificativa, contudo, não se sustenta: a omissão dos reflexos não decorre de qualquer previsão normativa expressa que os afaste, mas de uma interpretação unilateral </w:t>
      </w:r>
      <w:r>
        <w:rPr>
          <w:rFonts w:ascii="Roboto" w:hAnsi="Roboto" w:eastAsia="Arial" w:cs="Arial"/>
          <w:sz w:val="23"/>
          <w:szCs w:val="23"/>
        </w:rPr>
        <w:lastRenderedPageBreak/>
        <w:t>e conveniente adotada pela própria Empregadora — o que, por si só, já evidencia a ilicitude da conduta, independentemente do conteúdo dos acordos coletivos firmados.</w:t>
      </w:r>
    </w:p>
    <w:p w14:paraId="37467007" w14:textId="77777777">
      <w:pPr>
        <w:spacing w:line="276" w:lineRule="auto"/>
        <w:ind w:right="-285"/>
        <w:jc w:val="both"/>
        <w:rPr>
          <w:rFonts w:ascii="Roboto" w:hAnsi="Roboto" w:eastAsia="Arial" w:cs="Arial"/>
          <w:sz w:val="23"/>
          <w:szCs w:val="23"/>
        </w:rPr>
      </w:pPr>
    </w:p>
    <w:p w14:paraId="24448839" w14:textId="36E48159">
      <w:pPr>
        <w:spacing w:line="276" w:lineRule="auto"/>
        <w:ind w:right="-285"/>
        <w:jc w:val="both"/>
        <w:rPr>
          <w:rFonts w:ascii="Roboto" w:hAnsi="Roboto" w:eastAsia="Arial" w:cs="Arial"/>
          <w:sz w:val="23"/>
          <w:szCs w:val="23"/>
        </w:rPr>
      </w:pPr>
      <w:r>
        <w:rPr>
          <w:rFonts w:ascii="Roboto" w:hAnsi="Roboto" w:eastAsia="Arial" w:cs="Arial"/>
          <w:sz w:val="23"/>
          <w:szCs w:val="23"/>
        </w:rPr>
        <w:t>A Reclamada, de resto, revela consciência de sua obrigação ao incluir, na ACT 2023-2025 (DOC. 08), em sua Cláusula 12, disposição expressa para pagamento de reflexos do banco de horas</w:t>
      </w:r>
      <w:r>
        <w:rPr>
          <w:rFonts w:ascii="Roboto" w:hAnsi="Roboto" w:eastAsia="Arial" w:cs="Arial"/>
          <w:sz w:val="23"/>
          <w:szCs w:val="23"/>
        </w:rPr>
        <w:t xml:space="preserve">, </w:t>
      </w:r>
      <w:r>
        <w:rPr>
          <w:rFonts w:ascii="Roboto" w:hAnsi="Roboto" w:eastAsia="Arial" w:cs="Arial"/>
          <w:sz w:val="23"/>
          <w:szCs w:val="23"/>
        </w:rPr>
        <w:t xml:space="preserve">porém limitada, exclusivamente, ao Repouso Semanal Remunerado, deixando de contemplar as demais verbas pertinentes. </w:t>
      </w:r>
    </w:p>
    <w:p w14:paraId="742AB7B7" w14:textId="77777777">
      <w:pPr>
        <w:spacing w:line="276" w:lineRule="auto"/>
        <w:ind w:right="-285"/>
        <w:jc w:val="both"/>
        <w:rPr>
          <w:rFonts w:ascii="Roboto" w:hAnsi="Roboto" w:eastAsia="Arial" w:cs="Arial"/>
          <w:sz w:val="23"/>
          <w:szCs w:val="23"/>
        </w:rPr>
      </w:pPr>
    </w:p>
    <w:p w14:paraId="25D6CC7C" w14:textId="13BF49EE">
      <w:pPr>
        <w:spacing w:line="276" w:lineRule="auto"/>
        <w:ind w:right="-285"/>
        <w:jc w:val="both"/>
        <w:rPr>
          <w:rFonts w:ascii="Roboto" w:hAnsi="Roboto" w:eastAsia="Arial" w:cs="Arial"/>
          <w:sz w:val="23"/>
          <w:szCs w:val="23"/>
        </w:rPr>
      </w:pPr>
      <w:r>
        <w:rPr>
          <w:rFonts w:ascii="Roboto" w:hAnsi="Roboto" w:eastAsia="Arial" w:cs="Arial"/>
          <w:sz w:val="23"/>
          <w:szCs w:val="23"/>
        </w:rPr>
        <w:t>A motivação é inequívoca: ao positivar o RSR como único reflexo devido, a Reclamada buscou conferir aparência de legalidade a uma prática já consolidada de pagamento incompleto, valendo-se do instrumento coletivo não para ampliar direitos, mas para cristalizar uma supressão que jamais poderia ser objeto de negociação</w:t>
      </w:r>
      <w:r>
        <w:rPr>
          <w:rFonts w:ascii="Roboto" w:hAnsi="Roboto" w:eastAsia="Arial" w:cs="Arial"/>
          <w:sz w:val="23"/>
          <w:szCs w:val="23"/>
        </w:rPr>
        <w:t xml:space="preserve">, </w:t>
      </w:r>
      <w:r>
        <w:rPr>
          <w:rFonts w:ascii="Roboto" w:hAnsi="Roboto" w:eastAsia="Arial" w:cs="Arial"/>
          <w:sz w:val="23"/>
          <w:szCs w:val="23"/>
        </w:rPr>
        <w:t>dado o caráter cogente das normas violadas.</w:t>
      </w:r>
    </w:p>
    <w:p w14:paraId="3C6F8531" w14:textId="77777777">
      <w:pPr>
        <w:spacing w:line="276" w:lineRule="auto"/>
        <w:ind w:right="-285"/>
        <w:jc w:val="both"/>
        <w:rPr>
          <w:rFonts w:ascii="Roboto" w:hAnsi="Roboto" w:eastAsia="Arial" w:cs="Arial"/>
          <w:sz w:val="23"/>
          <w:szCs w:val="23"/>
        </w:rPr>
      </w:pPr>
    </w:p>
    <w:p w14:paraId="1D5581F8" w14:textId="3CC14C2E">
      <w:pPr>
        <w:spacing w:line="276" w:lineRule="auto"/>
        <w:ind w:right="-285"/>
        <w:jc w:val="both"/>
        <w:rPr>
          <w:rFonts w:ascii="Roboto" w:hAnsi="Roboto" w:eastAsia="Arial" w:cs="Arial"/>
          <w:sz w:val="23"/>
          <w:szCs w:val="23"/>
        </w:rPr>
      </w:pPr>
      <w:r>
        <w:rPr>
          <w:rFonts w:ascii="Roboto" w:hAnsi="Roboto" w:eastAsia="Arial" w:cs="Arial"/>
          <w:sz w:val="23"/>
          <w:szCs w:val="23"/>
        </w:rPr>
        <w:t>O ACT 2025-2027 (Cláusula 11, §7º) reproduz a mesma omissão, limitando expressamente o RSR às quitações do banco de horas</w:t>
      </w:r>
      <w:r>
        <w:rPr>
          <w:rFonts w:ascii="Roboto" w:hAnsi="Roboto" w:eastAsia="Arial" w:cs="Arial"/>
          <w:sz w:val="23"/>
          <w:szCs w:val="23"/>
        </w:rPr>
        <w:t xml:space="preserve"> no que tange ao </w:t>
      </w:r>
      <w:r>
        <w:rPr>
          <w:rFonts w:ascii="Roboto" w:hAnsi="Roboto" w:eastAsia="Arial" w:cs="Arial"/>
          <w:sz w:val="23"/>
          <w:szCs w:val="23"/>
        </w:rPr>
        <w:t>excedente mensal, apuração semestral e rescisão contratual</w:t>
      </w:r>
      <w:r>
        <w:rPr>
          <w:rFonts w:ascii="Roboto" w:hAnsi="Roboto" w:eastAsia="Arial" w:cs="Arial"/>
          <w:sz w:val="23"/>
          <w:szCs w:val="23"/>
        </w:rPr>
        <w:t xml:space="preserve">, </w:t>
      </w:r>
      <w:r>
        <w:rPr>
          <w:rFonts w:ascii="Roboto" w:hAnsi="Roboto" w:eastAsia="Arial" w:cs="Arial"/>
          <w:sz w:val="23"/>
          <w:szCs w:val="23"/>
        </w:rPr>
        <w:t>sem qualquer menção a férias, 13º salário, FGTS e PETROS.</w:t>
      </w:r>
    </w:p>
    <w:p w14:paraId="7467C069" w14:textId="77777777">
      <w:pPr>
        <w:spacing w:line="276" w:lineRule="auto"/>
        <w:ind w:right="-285"/>
        <w:jc w:val="both"/>
        <w:rPr>
          <w:rFonts w:ascii="Roboto" w:hAnsi="Roboto" w:eastAsia="Arial" w:cs="Arial"/>
          <w:sz w:val="23"/>
          <w:szCs w:val="23"/>
        </w:rPr>
      </w:pPr>
    </w:p>
    <w:p w14:paraId="4B4D7AA0" w14:textId="77777777">
      <w:pPr>
        <w:spacing w:line="276" w:lineRule="auto"/>
        <w:ind w:right="-285"/>
        <w:jc w:val="both"/>
        <w:rPr>
          <w:rFonts w:ascii="Roboto" w:hAnsi="Roboto" w:eastAsia="Arial" w:cs="Arial"/>
          <w:sz w:val="23"/>
          <w:szCs w:val="23"/>
        </w:rPr>
      </w:pPr>
      <w:r>
        <w:rPr>
          <w:rFonts w:ascii="Roboto" w:hAnsi="Roboto" w:eastAsia="Arial" w:cs="Arial"/>
          <w:sz w:val="23"/>
          <w:szCs w:val="23"/>
        </w:rPr>
        <w:t>O referido acordo reestruturou profundamente o funcionamento do Banco de Horas, introduzindo, a partir de 01/01/2026, um sistema de quitação em três camadas distintas, todas expressamente denominadas pelo próprio instrumento normativo como "</w:t>
      </w:r>
      <w:r>
        <w:rPr>
          <w:rFonts w:ascii="Roboto" w:hAnsi="Roboto" w:eastAsia="Arial" w:cs="Arial"/>
          <w:i/>
          <w:sz w:val="23"/>
          <w:szCs w:val="23"/>
        </w:rPr>
        <w:t>horas extras com acréscimo de 100%</w:t>
      </w:r>
      <w:r>
        <w:rPr>
          <w:rFonts w:ascii="Roboto" w:hAnsi="Roboto" w:eastAsia="Arial" w:cs="Arial"/>
          <w:sz w:val="23"/>
          <w:szCs w:val="23"/>
        </w:rPr>
        <w:t>".</w:t>
      </w:r>
    </w:p>
    <w:p w14:paraId="766616FA" w14:textId="77777777">
      <w:pPr>
        <w:spacing w:line="276" w:lineRule="auto"/>
        <w:ind w:right="-285"/>
        <w:jc w:val="both"/>
        <w:rPr>
          <w:rFonts w:ascii="Roboto" w:hAnsi="Roboto" w:eastAsia="Arial" w:cs="Arial"/>
          <w:sz w:val="23"/>
          <w:szCs w:val="23"/>
        </w:rPr>
      </w:pPr>
    </w:p>
    <w:p w14:paraId="458C6044"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A primeira é o pagamento mensal (§4º da Cláusula 11): mensalmente, apura-se a variação do saldo do banco de horas e, quando o resultado for positivo, metade do incremento é pago como hora extra com acréscimo de 100%. </w:t>
      </w:r>
    </w:p>
    <w:p w14:paraId="3555FCD3" w14:textId="77777777">
      <w:pPr>
        <w:spacing w:line="276" w:lineRule="auto"/>
        <w:ind w:right="-285"/>
        <w:jc w:val="both"/>
        <w:rPr>
          <w:rFonts w:ascii="Roboto" w:hAnsi="Roboto" w:eastAsia="Arial" w:cs="Arial"/>
          <w:sz w:val="23"/>
          <w:szCs w:val="23"/>
        </w:rPr>
      </w:pPr>
    </w:p>
    <w:p w14:paraId="3ED1089D" w14:textId="41A3CB55">
      <w:pPr>
        <w:spacing w:line="276" w:lineRule="auto"/>
        <w:ind w:right="-285"/>
        <w:jc w:val="both"/>
        <w:rPr>
          <w:rFonts w:ascii="Roboto" w:hAnsi="Roboto" w:eastAsia="Arial" w:cs="Arial"/>
          <w:sz w:val="23"/>
          <w:szCs w:val="23"/>
        </w:rPr>
      </w:pPr>
      <w:r>
        <w:rPr>
          <w:rFonts w:ascii="Roboto" w:hAnsi="Roboto" w:eastAsia="Arial" w:cs="Arial"/>
          <w:sz w:val="23"/>
          <w:szCs w:val="23"/>
        </w:rPr>
        <w:t>A segunda é a apuração semestral (§5º, inciso II): nos meses de maio e novembro, apura-se o saldo remanescente se positivo, o valor é pago como hora extra com acréscimo de 100% nos respectivos contracheques; se negativo, o desconto é realizado no contracheque de novembro. A terceira é a quitação rescisória: na extinção do contrato de trabalho, o saldo positivo remanescente é integralmente quitado como hora extra.</w:t>
      </w:r>
    </w:p>
    <w:p w14:paraId="74444054" w14:textId="77777777">
      <w:pPr>
        <w:spacing w:line="276" w:lineRule="auto"/>
        <w:ind w:right="-285"/>
        <w:jc w:val="both"/>
        <w:rPr>
          <w:rFonts w:ascii="Roboto" w:hAnsi="Roboto" w:eastAsia="Arial" w:cs="Arial"/>
          <w:sz w:val="23"/>
          <w:szCs w:val="23"/>
        </w:rPr>
      </w:pPr>
    </w:p>
    <w:p w14:paraId="7964D9C9" w14:textId="24C5EBF9">
      <w:pPr>
        <w:spacing w:line="276" w:lineRule="auto"/>
        <w:ind w:right="-285"/>
        <w:jc w:val="both"/>
        <w:rPr>
          <w:rFonts w:ascii="Roboto" w:hAnsi="Roboto" w:eastAsia="Arial" w:cs="Arial"/>
          <w:sz w:val="23"/>
          <w:szCs w:val="23"/>
        </w:rPr>
      </w:pPr>
      <w:r>
        <w:rPr>
          <w:rFonts w:ascii="Roboto" w:hAnsi="Roboto" w:eastAsia="Arial" w:cs="Arial"/>
          <w:sz w:val="23"/>
          <w:szCs w:val="23"/>
        </w:rPr>
        <w:t>No tocante aos reflexos, o §7º da Cláusula 11 estabelece que a Companhia realizará a quitação do Repouso Semanal Remunerado na forma de 1/6 sobre as quitações do Banco de Horas</w:t>
      </w:r>
      <w:r>
        <w:rPr>
          <w:rFonts w:ascii="Roboto" w:hAnsi="Roboto" w:eastAsia="Arial" w:cs="Arial"/>
          <w:sz w:val="23"/>
          <w:szCs w:val="23"/>
        </w:rPr>
        <w:t xml:space="preserve">, </w:t>
      </w:r>
      <w:r>
        <w:rPr>
          <w:rFonts w:ascii="Roboto" w:hAnsi="Roboto" w:eastAsia="Arial" w:cs="Arial"/>
          <w:sz w:val="23"/>
          <w:szCs w:val="23"/>
        </w:rPr>
        <w:t xml:space="preserve">excedente mensal, apuração semestral e rescisão contratual. </w:t>
      </w:r>
    </w:p>
    <w:p w14:paraId="2D03FD37" w14:textId="77777777">
      <w:pPr>
        <w:spacing w:line="276" w:lineRule="auto"/>
        <w:ind w:right="-285"/>
        <w:jc w:val="both"/>
        <w:rPr>
          <w:rFonts w:ascii="Roboto" w:hAnsi="Roboto" w:eastAsia="Arial" w:cs="Arial"/>
          <w:sz w:val="23"/>
          <w:szCs w:val="23"/>
        </w:rPr>
      </w:pPr>
    </w:p>
    <w:p w14:paraId="0D15F0F0"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Trata-se de disposição que, ao mesmo tempo em que reconhece expressamente que as quitações do banco de horas geram reflexo sobre o RSR, silencia deliberadamente sobre os </w:t>
      </w:r>
      <w:r>
        <w:rPr>
          <w:rFonts w:ascii="Roboto" w:hAnsi="Roboto" w:eastAsia="Arial" w:cs="Arial"/>
          <w:sz w:val="23"/>
          <w:szCs w:val="23"/>
        </w:rPr>
        <w:lastRenderedPageBreak/>
        <w:t>demais reflexos legalmente devidos: férias acrescidas do abono de 1/3 constitucional e da gratificação de 2/3, 13º salário, FGTS e contribuições à PETROS.</w:t>
      </w:r>
    </w:p>
    <w:p w14:paraId="1DC8E561" w14:textId="77777777">
      <w:pPr>
        <w:spacing w:line="276" w:lineRule="auto"/>
        <w:ind w:right="-285"/>
        <w:jc w:val="both"/>
        <w:rPr>
          <w:rFonts w:ascii="Roboto" w:hAnsi="Roboto" w:eastAsia="Arial" w:cs="Arial"/>
          <w:sz w:val="23"/>
          <w:szCs w:val="23"/>
        </w:rPr>
      </w:pPr>
    </w:p>
    <w:p w14:paraId="3F148AF0"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Importa destacar que esse silêncio não equivale a uma autorização normativa para a supressão dos reflexos omitidos. </w:t>
      </w:r>
    </w:p>
    <w:p w14:paraId="1222E4B8" w14:textId="77777777">
      <w:pPr>
        <w:spacing w:line="276" w:lineRule="auto"/>
        <w:ind w:right="-285"/>
        <w:jc w:val="both"/>
        <w:rPr>
          <w:rFonts w:ascii="Roboto" w:hAnsi="Roboto" w:eastAsia="Arial" w:cs="Arial"/>
          <w:sz w:val="23"/>
          <w:szCs w:val="23"/>
        </w:rPr>
      </w:pPr>
    </w:p>
    <w:p w14:paraId="5FAD1DEA"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A negociação coletiva pode inovar, ampliar e até restringir direitos disponíveis, mas não tem aptidão para suprimir obrigações que decorrem diretamente da lei. </w:t>
      </w:r>
    </w:p>
    <w:p w14:paraId="0F618742" w14:textId="77777777">
      <w:pPr>
        <w:spacing w:line="276" w:lineRule="auto"/>
        <w:ind w:right="-285"/>
        <w:jc w:val="both"/>
        <w:rPr>
          <w:rFonts w:ascii="Roboto" w:hAnsi="Roboto" w:eastAsia="Arial" w:cs="Arial"/>
          <w:sz w:val="23"/>
          <w:szCs w:val="23"/>
        </w:rPr>
      </w:pPr>
    </w:p>
    <w:p w14:paraId="2B8E9C03" w14:textId="77777777">
      <w:pPr>
        <w:spacing w:line="276" w:lineRule="auto"/>
        <w:ind w:right="-285"/>
        <w:jc w:val="both"/>
        <w:rPr>
          <w:rFonts w:ascii="Roboto" w:hAnsi="Roboto" w:eastAsia="Arial" w:cs="Arial"/>
          <w:sz w:val="23"/>
          <w:szCs w:val="23"/>
        </w:rPr>
      </w:pPr>
      <w:r>
        <w:rPr>
          <w:rFonts w:ascii="Roboto" w:hAnsi="Roboto" w:eastAsia="Arial" w:cs="Arial"/>
          <w:sz w:val="23"/>
          <w:szCs w:val="23"/>
        </w:rPr>
        <w:t>A ausência de previsão expressa no ACT, longe de afastar o direito do trabalhador, apenas evidencia a incompletude do instrumento normativo, cujas lacunas devem ser integradas pela legislação aplicável — sendo inadmissível, sob qualquer perspectiva, que a Reclamada se valha da mesma natureza jurídica de hora extra para fins de fixação do adicional e, simultaneamente, a negue para fins de incidência dos reflexos.</w:t>
      </w:r>
    </w:p>
    <w:p w14:paraId="1903D8F0" w14:textId="77777777">
      <w:pPr>
        <w:spacing w:line="276" w:lineRule="auto"/>
        <w:ind w:right="-285"/>
        <w:jc w:val="both"/>
        <w:rPr>
          <w:rFonts w:ascii="Roboto" w:hAnsi="Roboto" w:eastAsia="Arial" w:cs="Arial"/>
          <w:sz w:val="23"/>
          <w:szCs w:val="23"/>
        </w:rPr>
      </w:pPr>
    </w:p>
    <w:p w14:paraId="43A62B5B" w14:textId="77777777">
      <w:pPr>
        <w:spacing w:line="276" w:lineRule="auto"/>
        <w:ind w:right="-285"/>
        <w:jc w:val="both"/>
        <w:rPr>
          <w:rFonts w:ascii="Roboto" w:hAnsi="Roboto" w:eastAsia="Arial" w:cs="Arial"/>
          <w:sz w:val="23"/>
          <w:szCs w:val="23"/>
        </w:rPr>
      </w:pPr>
      <w:r>
        <w:rPr>
          <w:rFonts w:ascii="Roboto" w:hAnsi="Roboto" w:eastAsia="Arial" w:cs="Arial"/>
          <w:sz w:val="23"/>
          <w:szCs w:val="23"/>
        </w:rPr>
        <w:t>Com efeito, a natureza de hora extra decorre do próprio fato gerador e não se submete à disponibilidade negocial. Seus reflexos sobre férias (art. 142, §5º, CLT), 13º salário (art. 7º da Lei nº 4.090/62) e FGTS (art. 15 da Lei nº 8.036/90), assim como as contribuições previdenciárias à PETROS, emanam diretamente de norma cogente, insuscetível de supressão por acordo coletivo, nos termos dos arts. 9º e 611-B da CLT.</w:t>
      </w:r>
    </w:p>
    <w:p w14:paraId="58DA166D" w14:textId="77777777">
      <w:pPr>
        <w:spacing w:line="276" w:lineRule="auto"/>
        <w:ind w:right="-285"/>
        <w:jc w:val="both"/>
        <w:rPr>
          <w:rFonts w:ascii="Roboto" w:hAnsi="Roboto" w:eastAsia="Arial" w:cs="Arial"/>
          <w:sz w:val="23"/>
          <w:szCs w:val="23"/>
        </w:rPr>
      </w:pPr>
    </w:p>
    <w:p w14:paraId="419B41AB" w14:textId="77777777">
      <w:pPr>
        <w:spacing w:line="276" w:lineRule="auto"/>
        <w:ind w:right="-285"/>
        <w:jc w:val="both"/>
        <w:rPr>
          <w:rFonts w:ascii="Roboto" w:hAnsi="Roboto" w:eastAsia="Arial" w:cs="Arial"/>
          <w:sz w:val="23"/>
          <w:szCs w:val="23"/>
        </w:rPr>
      </w:pPr>
      <w:r>
        <w:rPr>
          <w:rFonts w:ascii="Roboto" w:hAnsi="Roboto" w:eastAsia="Arial" w:cs="Arial"/>
          <w:sz w:val="23"/>
          <w:szCs w:val="23"/>
        </w:rPr>
        <w:t>Dessa forma, a conduta da Reclamada configura pagamento incompleto e reiterado: incompleto porque, ao quitar o banco de horas — seja mensalmente, semestralmente ou na rescisão —, recolhe apenas o RSR, ignorando os demais reflexos legalmente devidos; e reiterado porque, com a nova sistemática vigente a partir de 01/01/2026, essa omissão deixou de ser um evento anual para se tornar um fato gerador mensal e semestral, de natureza continuada e de impacto crescente ao longo de toda a vigência do acordo.</w:t>
      </w:r>
    </w:p>
    <w:p w14:paraId="7C331070" w14:textId="77777777">
      <w:pPr>
        <w:spacing w:line="276" w:lineRule="auto"/>
        <w:ind w:right="-285"/>
        <w:jc w:val="both"/>
        <w:rPr>
          <w:rFonts w:ascii="Roboto" w:hAnsi="Roboto" w:eastAsia="Arial" w:cs="Arial"/>
          <w:sz w:val="23"/>
          <w:szCs w:val="23"/>
        </w:rPr>
      </w:pPr>
    </w:p>
    <w:p w14:paraId="4E0A984A" w14:textId="77777777">
      <w:pPr>
        <w:spacing w:line="276" w:lineRule="auto"/>
        <w:ind w:right="-285"/>
        <w:jc w:val="both"/>
        <w:rPr>
          <w:rFonts w:ascii="Roboto" w:hAnsi="Roboto" w:eastAsia="Arial" w:cs="Arial"/>
          <w:b/>
          <w:bCs/>
          <w:sz w:val="23"/>
          <w:szCs w:val="23"/>
          <w:u w:val="single"/>
        </w:rPr>
      </w:pPr>
      <w:r>
        <w:rPr>
          <w:rFonts w:ascii="Roboto" w:hAnsi="Roboto" w:eastAsia="Arial" w:cs="Arial"/>
          <w:b/>
          <w:bCs/>
          <w:sz w:val="23"/>
          <w:szCs w:val="23"/>
          <w:u w:val="single"/>
        </w:rPr>
        <w:t xml:space="preserve">III - DO DIREITO </w:t>
      </w:r>
    </w:p>
    <w:p w14:paraId="0781359D" w14:textId="77777777">
      <w:pPr>
        <w:spacing w:line="276" w:lineRule="auto"/>
        <w:ind w:right="-285"/>
        <w:jc w:val="both"/>
        <w:rPr>
          <w:rFonts w:ascii="Roboto" w:hAnsi="Roboto" w:eastAsia="Arial" w:cs="Arial"/>
          <w:b/>
          <w:bCs/>
          <w:sz w:val="23"/>
          <w:szCs w:val="23"/>
          <w:u w:val="single"/>
        </w:rPr>
      </w:pPr>
    </w:p>
    <w:p w14:paraId="02F27CA4" w14:textId="77777777">
      <w:pPr>
        <w:spacing w:line="276" w:lineRule="auto"/>
        <w:ind w:right="-285"/>
        <w:jc w:val="both"/>
        <w:rPr>
          <w:rFonts w:ascii="Roboto" w:hAnsi="Roboto" w:eastAsia="Arial" w:cs="Arial"/>
          <w:b/>
          <w:bCs/>
          <w:sz w:val="23"/>
          <w:szCs w:val="23"/>
          <w:u w:val="single"/>
        </w:rPr>
      </w:pPr>
      <w:r>
        <w:rPr>
          <w:rFonts w:ascii="Roboto" w:hAnsi="Roboto" w:eastAsia="Arial" w:cs="Arial"/>
          <w:b/>
          <w:bCs/>
          <w:sz w:val="23"/>
          <w:szCs w:val="23"/>
          <w:u w:val="single"/>
        </w:rPr>
        <w:t>1. DOS REFLEXOS DEVIDOS</w:t>
      </w:r>
    </w:p>
    <w:p w14:paraId="2BA44053" w14:textId="77777777">
      <w:pPr>
        <w:spacing w:line="276" w:lineRule="auto"/>
        <w:ind w:right="-285"/>
        <w:jc w:val="both"/>
        <w:rPr>
          <w:rFonts w:ascii="Roboto" w:hAnsi="Roboto" w:eastAsia="Arial" w:cs="Arial"/>
          <w:sz w:val="23"/>
          <w:szCs w:val="23"/>
        </w:rPr>
      </w:pPr>
    </w:p>
    <w:p w14:paraId="57447217"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Conforme narrado acima, a Reclamada, ao proceder com o pagamento de horas extras provenientes de Banco de Horas devidamente previsto em Acordo Coletivo, </w:t>
      </w:r>
      <w:r>
        <w:rPr>
          <w:rFonts w:ascii="Roboto" w:hAnsi="Roboto" w:eastAsia="Arial" w:cs="Arial"/>
          <w:sz w:val="23"/>
          <w:szCs w:val="23"/>
          <w:u w:val="single"/>
        </w:rPr>
        <w:t>suprimiu os reflexos</w:t>
      </w:r>
      <w:r>
        <w:rPr>
          <w:rFonts w:ascii="Roboto" w:hAnsi="Roboto" w:eastAsia="Arial" w:cs="Arial"/>
          <w:sz w:val="23"/>
          <w:szCs w:val="23"/>
        </w:rPr>
        <w:t xml:space="preserve"> que estas verbas teriam sobre as demais verbas trabalhistas do Reclamante, quais sejam, Repouso Semanal Remunerado, férias com abono de 1/3 e gratificação de 2/3, 13º salários, FGTS e contribuições da PETROS.</w:t>
      </w:r>
    </w:p>
    <w:p w14:paraId="77D9C733" w14:textId="77777777">
      <w:pPr>
        <w:spacing w:line="276" w:lineRule="auto"/>
        <w:ind w:right="-285"/>
        <w:jc w:val="both"/>
        <w:rPr>
          <w:rFonts w:ascii="Roboto" w:hAnsi="Roboto" w:eastAsia="Arial" w:cs="Arial"/>
          <w:sz w:val="23"/>
          <w:szCs w:val="23"/>
        </w:rPr>
      </w:pPr>
    </w:p>
    <w:p w14:paraId="78BBF07A" w14:textId="77777777">
      <w:pPr>
        <w:spacing w:line="276" w:lineRule="auto"/>
        <w:ind w:right="-285"/>
        <w:jc w:val="both"/>
        <w:rPr>
          <w:rFonts w:ascii="Roboto" w:hAnsi="Roboto" w:eastAsia="Arial" w:cs="Arial"/>
          <w:sz w:val="23"/>
          <w:szCs w:val="23"/>
        </w:rPr>
      </w:pPr>
      <w:r>
        <w:rPr>
          <w:rFonts w:ascii="Roboto" w:hAnsi="Roboto" w:eastAsia="Arial" w:cs="Arial"/>
          <w:sz w:val="23"/>
          <w:szCs w:val="23"/>
        </w:rPr>
        <w:lastRenderedPageBreak/>
        <w:t xml:space="preserve">A Empregadora informa que dita supressão se deve em razão da descaracterização das verbas como horas extraordinárias, uma vez que foram pagas mediante Banco de Horas. </w:t>
      </w:r>
    </w:p>
    <w:p w14:paraId="5D056963" w14:textId="77777777">
      <w:pPr>
        <w:spacing w:line="276" w:lineRule="auto"/>
        <w:ind w:right="-285"/>
        <w:jc w:val="both"/>
        <w:rPr>
          <w:rFonts w:ascii="Roboto" w:hAnsi="Roboto" w:eastAsia="Arial" w:cs="Arial"/>
          <w:sz w:val="23"/>
          <w:szCs w:val="23"/>
        </w:rPr>
      </w:pPr>
    </w:p>
    <w:p w14:paraId="33A8D88D"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Contudo, não há no ordenamento jurídico qualquer disposição que fundamente a exclusão dos reflexos das horas não compensadas sobre as demais verbas trabalhistas devidas. </w:t>
      </w:r>
    </w:p>
    <w:p w14:paraId="6F886E0A" w14:textId="77777777">
      <w:pPr>
        <w:spacing w:line="276" w:lineRule="auto"/>
        <w:ind w:right="-285"/>
        <w:jc w:val="both"/>
        <w:rPr>
          <w:rFonts w:ascii="Roboto" w:hAnsi="Roboto" w:eastAsia="Arial" w:cs="Arial"/>
          <w:sz w:val="23"/>
          <w:szCs w:val="23"/>
        </w:rPr>
      </w:pPr>
    </w:p>
    <w:p w14:paraId="5FF26726"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Em verdade, a legislação pátria e Súmulas do TST são hialinas ao prever que </w:t>
      </w:r>
      <w:r>
        <w:rPr>
          <w:rFonts w:ascii="Roboto" w:hAnsi="Roboto" w:eastAsia="Arial" w:cs="Arial"/>
          <w:bCs/>
          <w:sz w:val="23"/>
          <w:szCs w:val="23"/>
        </w:rPr>
        <w:t>os valores pagos a título de horas extras para o empregado devem refletir sobre as verbas cuja revisão se pleiteia</w:t>
      </w:r>
      <w:r>
        <w:rPr>
          <w:rFonts w:ascii="Roboto" w:hAnsi="Roboto" w:eastAsia="Arial" w:cs="Arial"/>
          <w:sz w:val="23"/>
          <w:szCs w:val="23"/>
        </w:rPr>
        <w:t>, nos moldes dos art. 7º, b, art. 142 e §5º da CLT, Súmula 151, Súmula 45 e 593 do TST.</w:t>
      </w:r>
    </w:p>
    <w:p w14:paraId="716BFDD6" w14:textId="77777777">
      <w:pPr>
        <w:spacing w:line="276" w:lineRule="auto"/>
        <w:ind w:right="-285"/>
        <w:jc w:val="both"/>
        <w:rPr>
          <w:rFonts w:ascii="Roboto" w:hAnsi="Roboto" w:eastAsia="Arial" w:cs="Arial"/>
          <w:sz w:val="23"/>
          <w:szCs w:val="23"/>
          <w:highlight w:val="yellow"/>
        </w:rPr>
      </w:pPr>
    </w:p>
    <w:p w14:paraId="56F5DD32" w14:textId="77777777">
      <w:pPr>
        <w:spacing w:line="276" w:lineRule="auto"/>
        <w:ind w:right="-285"/>
        <w:jc w:val="both"/>
        <w:rPr>
          <w:rFonts w:ascii="Roboto" w:hAnsi="Roboto" w:eastAsia="Arial" w:cs="Arial"/>
          <w:sz w:val="23"/>
          <w:szCs w:val="23"/>
        </w:rPr>
      </w:pPr>
      <w:r>
        <w:rPr>
          <w:rFonts w:ascii="Roboto" w:hAnsi="Roboto" w:eastAsia="Arial" w:cs="Arial"/>
          <w:sz w:val="23"/>
          <w:szCs w:val="23"/>
        </w:rPr>
        <w:t>Observa-se, assim, que a supressão do pagamento de reflexos das horas extras decorrentes de banco de horas por parte da Reclamada é uma violação a diversos dispositivos legais e uma afronta ao entendimento dos Colendos Tribunais Superiores, ferindo direito certo do trabalhador.</w:t>
      </w:r>
    </w:p>
    <w:p w14:paraId="3133BB14" w14:textId="77777777">
      <w:pPr>
        <w:spacing w:line="276" w:lineRule="auto"/>
        <w:ind w:right="-285"/>
        <w:jc w:val="both"/>
        <w:rPr>
          <w:rFonts w:ascii="Roboto" w:hAnsi="Roboto" w:eastAsia="Arial" w:cs="Arial"/>
          <w:sz w:val="23"/>
          <w:szCs w:val="23"/>
        </w:rPr>
      </w:pPr>
    </w:p>
    <w:p w14:paraId="289CC808"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Há de se ressaltar que o pagamento de horas extraordinárias é uma contraprestação aos serviços prestados pelo empregado, tendo assim natureza remuneratória, o que não se altera pelo pagamento mediante banco de horas. </w:t>
      </w:r>
    </w:p>
    <w:p w14:paraId="21B2A59D" w14:textId="77777777">
      <w:pPr>
        <w:spacing w:line="276" w:lineRule="auto"/>
        <w:ind w:right="-285"/>
        <w:jc w:val="both"/>
        <w:rPr>
          <w:rFonts w:ascii="Roboto" w:hAnsi="Roboto" w:eastAsia="Arial" w:cs="Arial"/>
          <w:sz w:val="23"/>
          <w:szCs w:val="23"/>
        </w:rPr>
      </w:pPr>
    </w:p>
    <w:p w14:paraId="5D882F2E" w14:textId="77777777">
      <w:pPr>
        <w:spacing w:line="276" w:lineRule="auto"/>
        <w:ind w:right="-285"/>
        <w:jc w:val="both"/>
        <w:rPr>
          <w:rFonts w:ascii="Roboto" w:hAnsi="Roboto" w:eastAsia="Arial" w:cs="Arial"/>
          <w:sz w:val="23"/>
          <w:szCs w:val="23"/>
        </w:rPr>
      </w:pPr>
      <w:r>
        <w:rPr>
          <w:rFonts w:ascii="Roboto" w:hAnsi="Roboto" w:eastAsia="Arial" w:cs="Arial"/>
          <w:sz w:val="23"/>
          <w:szCs w:val="23"/>
        </w:rPr>
        <w:t>Tivessem as horas extras sido pagas ao tempo em que foram prestadas, seriam devidos os reflexos sobre as verbas cuja revisão se pleiteia. Contudo, no caso em tela, não somente o Empregado não foi remunerado ao tempo da prestação das horas extraordinárias, como também sofreu uma baixa nos valores que deveria receber, tendo em vista a supressão dos ditos reflexos. Logo, o Trabalhador seria duplamente prejudicado pela adoção do banco de horas: primeiro pela mora na percepção do pagamento de horas extras não compensadas, e segundo pelo não pagamento dos reflexos dessas horas.</w:t>
      </w:r>
    </w:p>
    <w:p w14:paraId="4C86EBED" w14:textId="77777777">
      <w:pPr>
        <w:spacing w:line="276" w:lineRule="auto"/>
        <w:ind w:right="-285"/>
        <w:jc w:val="both"/>
        <w:rPr>
          <w:rFonts w:ascii="Roboto" w:hAnsi="Roboto" w:eastAsia="Arial" w:cs="Arial"/>
          <w:sz w:val="23"/>
          <w:szCs w:val="23"/>
        </w:rPr>
      </w:pPr>
    </w:p>
    <w:p w14:paraId="6F15B25F" w14:textId="77777777">
      <w:pPr>
        <w:spacing w:line="276" w:lineRule="auto"/>
        <w:ind w:right="-285"/>
        <w:jc w:val="both"/>
        <w:rPr>
          <w:rFonts w:ascii="Roboto" w:hAnsi="Roboto" w:eastAsia="Arial" w:cs="Arial"/>
          <w:sz w:val="23"/>
          <w:szCs w:val="23"/>
        </w:rPr>
      </w:pPr>
      <w:r>
        <w:rPr>
          <w:rFonts w:ascii="Roboto" w:hAnsi="Roboto" w:eastAsia="Arial" w:cs="Arial"/>
          <w:sz w:val="23"/>
          <w:szCs w:val="23"/>
        </w:rPr>
        <w:t>Tendo em vista a patente injustiça do pagamento a menor realizado pela Reclamada, bem como a expressa previsão do ordenamento jurídico pátrio, que entende serem devidos os reflexos das horas extras sobre Repouso Semanal Remunerado, férias com abono de 1/3 e gratificação de 2/3, 13º salários, FGTS e contribuições da PETROS, requer o Reclamante a procedência do feito e consequente condenação da Reclamada ao pagamento dos reflexos suprimidos relativos às horas extras já pagas, bem como aos pagamentos vincendos do banco de horas nas novas modalidades trazidas pelo ACT 2025-2027: excedente mensal (a partir de 01/01/2026), apuração semestral de maio e novembro, e quitação rescisória.</w:t>
      </w:r>
    </w:p>
    <w:p w14:paraId="2E68C718" w14:textId="77777777">
      <w:pPr>
        <w:spacing w:line="276" w:lineRule="auto"/>
        <w:ind w:right="-285"/>
        <w:jc w:val="both"/>
        <w:rPr>
          <w:rFonts w:ascii="Roboto" w:hAnsi="Roboto" w:eastAsia="Arial" w:cs="Arial"/>
          <w:sz w:val="23"/>
          <w:szCs w:val="23"/>
          <w:u w:val="single"/>
        </w:rPr>
      </w:pPr>
    </w:p>
    <w:p w14:paraId="04AAC2CF" w14:textId="77777777">
      <w:pPr>
        <w:spacing w:line="276" w:lineRule="auto"/>
        <w:ind w:right="-285"/>
        <w:jc w:val="both"/>
        <w:rPr>
          <w:rFonts w:ascii="Roboto" w:hAnsi="Roboto" w:eastAsia="Arial" w:cs="Arial"/>
          <w:b/>
          <w:bCs/>
          <w:sz w:val="23"/>
          <w:szCs w:val="23"/>
          <w:u w:val="single"/>
        </w:rPr>
      </w:pPr>
      <w:r>
        <w:rPr>
          <w:rFonts w:ascii="Roboto" w:hAnsi="Roboto" w:eastAsia="Arial" w:cs="Arial"/>
          <w:b/>
          <w:bCs/>
          <w:sz w:val="23"/>
          <w:szCs w:val="23"/>
          <w:u w:val="single"/>
        </w:rPr>
        <w:t>2. DO PRECEDENTE DO TRIBUNAL REGIONAL DO TRABALHO DA PRIMEIRA REGIÃO</w:t>
      </w:r>
    </w:p>
    <w:p w14:paraId="26001F92" w14:textId="77777777">
      <w:pPr>
        <w:spacing w:line="276" w:lineRule="auto"/>
        <w:ind w:right="-285"/>
        <w:jc w:val="both"/>
        <w:rPr>
          <w:rFonts w:ascii="Roboto" w:hAnsi="Roboto" w:eastAsia="Arial" w:cs="Arial"/>
          <w:sz w:val="23"/>
          <w:szCs w:val="23"/>
        </w:rPr>
      </w:pPr>
    </w:p>
    <w:p w14:paraId="6DC7E97F" w14:textId="77777777">
      <w:pPr>
        <w:spacing w:line="276" w:lineRule="auto"/>
        <w:ind w:right="-285"/>
        <w:jc w:val="both"/>
        <w:rPr>
          <w:rFonts w:ascii="Roboto" w:hAnsi="Roboto" w:eastAsia="Arial" w:cs="Arial"/>
          <w:sz w:val="23"/>
          <w:szCs w:val="23"/>
        </w:rPr>
      </w:pPr>
      <w:r>
        <w:rPr>
          <w:rFonts w:ascii="Roboto" w:hAnsi="Roboto" w:eastAsia="Arial" w:cs="Arial"/>
          <w:sz w:val="23"/>
          <w:szCs w:val="23"/>
        </w:rPr>
        <w:t>A supressão dos reflexos das horas extras decorrentes de banco de horas sobre demais verbas trabalhistas não incidiu apenas sobre os contracheques do Reclamante, como de toda a classe trabalhadora abrangida pelos Acordos Coletivos referidos alhures.</w:t>
      </w:r>
    </w:p>
    <w:p w14:paraId="29559597" w14:textId="77777777">
      <w:pPr>
        <w:spacing w:line="276" w:lineRule="auto"/>
        <w:ind w:right="-285"/>
        <w:jc w:val="both"/>
        <w:rPr>
          <w:rFonts w:ascii="Roboto" w:hAnsi="Roboto" w:eastAsia="Arial" w:cs="Arial"/>
          <w:sz w:val="23"/>
          <w:szCs w:val="23"/>
        </w:rPr>
      </w:pPr>
    </w:p>
    <w:p w14:paraId="53587D6C"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Diante disto, os sindicatos dos petroleiros do (i) Estado do Rio de Janeiro, (ii) Estados de Alagoas e Sergipe, (iii) Estados da Amazônia, (iv) São José dos Campos e (v) Litoral Paulista propuseram, conjuntamente, Ação Civil Pública de número 0100291-09.2021.5.01.0005, perante este Egrégio Tribunal Regional do Trabalho, pleiteando que se reconheça que </w:t>
      </w:r>
      <w:r>
        <w:rPr>
          <w:rFonts w:ascii="Roboto" w:hAnsi="Roboto" w:eastAsia="Arial" w:cs="Arial"/>
          <w:sz w:val="23"/>
          <w:szCs w:val="23"/>
          <w:u w:val="single"/>
        </w:rPr>
        <w:t>as horas extras não compensadas em banco de horas que tenham sido efetivamente pagas, ou que constem em banco de horas para pagamento — seja em janeiro (critério dos ACTs anteriores), seja nas novas quitações mensais e semestrais do ACT 2025-2027 — devem refletir sobre Repouso Semanal Remunerado, férias com abono de 1/3 e gratificação de 2/3, 13º salários, FGTS + 40% e contribuições da PETROS</w:t>
      </w:r>
      <w:r>
        <w:rPr>
          <w:rFonts w:ascii="Roboto" w:hAnsi="Roboto" w:eastAsia="Arial" w:cs="Arial"/>
          <w:sz w:val="23"/>
          <w:szCs w:val="23"/>
        </w:rPr>
        <w:t>.</w:t>
      </w:r>
    </w:p>
    <w:p w14:paraId="04D08196" w14:textId="77777777">
      <w:pPr>
        <w:spacing w:line="276" w:lineRule="auto"/>
        <w:ind w:right="-285"/>
        <w:jc w:val="both"/>
        <w:rPr>
          <w:rFonts w:ascii="Roboto" w:hAnsi="Roboto" w:eastAsia="Arial" w:cs="Arial"/>
          <w:sz w:val="23"/>
          <w:szCs w:val="23"/>
        </w:rPr>
      </w:pPr>
    </w:p>
    <w:p w14:paraId="4E0819CE" w14:textId="5CBC831C">
      <w:pPr>
        <w:spacing w:line="276" w:lineRule="auto"/>
        <w:ind w:right="-285"/>
        <w:jc w:val="both"/>
        <w:rPr>
          <w:rFonts w:ascii="Roboto" w:hAnsi="Roboto" w:eastAsia="Arial" w:cs="Arial"/>
          <w:sz w:val="23"/>
          <w:szCs w:val="23"/>
        </w:rPr>
      </w:pPr>
      <w:r>
        <w:rPr>
          <w:rFonts w:ascii="Roboto" w:hAnsi="Roboto" w:eastAsia="Arial" w:cs="Arial"/>
          <w:sz w:val="23"/>
          <w:szCs w:val="23"/>
        </w:rPr>
        <w:t>A sentença proferida pelo 5a. Vara do Tribunal Regional do Trabalho da 1ª Região foi acertada ao determinar o deferimento dos pedidos formulados na Ação Civil Pública, entendendo que:</w:t>
      </w:r>
    </w:p>
    <w:p w14:paraId="27D2C429" w14:textId="77777777">
      <w:pPr>
        <w:spacing w:line="276" w:lineRule="auto"/>
        <w:ind w:right="-285"/>
        <w:jc w:val="both"/>
        <w:rPr>
          <w:rFonts w:ascii="Roboto" w:hAnsi="Roboto" w:eastAsia="Arial" w:cs="Arial"/>
          <w:sz w:val="23"/>
          <w:szCs w:val="23"/>
        </w:rPr>
      </w:pPr>
    </w:p>
    <w:p w14:paraId="5BBC27F1" w14:textId="77777777">
      <w:pPr>
        <w:spacing w:line="276" w:lineRule="auto"/>
        <w:ind w:left="2268" w:right="-285" w:firstLine="0"/>
        <w:jc w:val="both"/>
        <w:rPr>
          <w:rFonts w:ascii="Roboto" w:hAnsi="Roboto" w:eastAsia="Arial" w:cs="Arial"/>
          <w:sz w:val="23"/>
          <w:szCs w:val="23"/>
        </w:rPr>
      </w:pPr>
      <w:r>
        <w:rPr>
          <w:rFonts w:ascii="Roboto" w:hAnsi="Roboto" w:eastAsia="Arial" w:cs="Arial"/>
          <w:i/>
          <w:iCs/>
          <w:sz w:val="23"/>
          <w:szCs w:val="23"/>
        </w:rPr>
        <w:t>“Os reflexos das horas extras prestadas com habitualidade nos repousos semanais remunerados encontram previsão legal no art. 7º, “a”, da Lei nº. 605/49 e na Súmula nº. 172, do C. TST, tratando-se de direito assegurado aos empregados, ainda que estas sejam pagas em virtude de saldo positivo remanescente de banco de horas [...] Ademais, certo é que a referida norma coletiva não excluiu o direito ao pagamento dos reflexos das horas extraordinárias não compensadas nos repousos semanais remunerados e nas demais verbas contratuais e resilitórias, razão pela qual devem ser aplicadas, in casu, as disposições contidas no art. 7º, “a”, da Lei nº. 605/49 e na Súmula nº. 172, do C. TST.”</w:t>
      </w:r>
      <w:r>
        <w:rPr>
          <w:rStyle w:val="Refdenotaderodap"/>
          <w:rFonts w:ascii="Roboto" w:hAnsi="Roboto" w:eastAsia="Arial" w:cs="Arial"/>
          <w:i/>
          <w:iCs/>
          <w:sz w:val="23"/>
          <w:szCs w:val="23"/>
        </w:rPr>
        <w:footnoteReference w:id="3"/>
      </w:r>
      <w:r>
        <w:rPr>
          <w:rFonts w:ascii="Roboto" w:hAnsi="Roboto" w:eastAsia="Arial" w:cs="Arial"/>
          <w:sz w:val="23"/>
          <w:szCs w:val="23"/>
        </w:rPr>
        <w:t>(grifos nossos)</w:t>
      </w:r>
    </w:p>
    <w:p w14:paraId="4CB59E3A" w14:textId="77777777">
      <w:pPr>
        <w:spacing w:line="276" w:lineRule="auto"/>
        <w:ind w:left="2268" w:right="-285" w:firstLine="0"/>
        <w:jc w:val="both"/>
        <w:rPr>
          <w:rFonts w:ascii="Roboto" w:hAnsi="Roboto" w:eastAsia="Arial" w:cs="Arial"/>
          <w:sz w:val="23"/>
          <w:szCs w:val="23"/>
        </w:rPr>
      </w:pPr>
    </w:p>
    <w:p w14:paraId="6E83FC12" w14:textId="77777777">
      <w:pPr>
        <w:spacing w:line="276" w:lineRule="auto"/>
        <w:ind w:right="-285"/>
        <w:jc w:val="both"/>
        <w:rPr>
          <w:rFonts w:ascii="Roboto" w:hAnsi="Roboto" w:eastAsia="Arial" w:cs="Arial"/>
          <w:sz w:val="23"/>
          <w:szCs w:val="23"/>
        </w:rPr>
      </w:pPr>
      <w:r>
        <w:rPr>
          <w:rFonts w:ascii="Roboto" w:hAnsi="Roboto" w:eastAsia="Arial" w:cs="Arial"/>
          <w:sz w:val="23"/>
          <w:szCs w:val="23"/>
        </w:rPr>
        <w:t>Assim, o entendimento é no sentido de que as horas extras, ainda que pagas mediante banco de horas, devem incidir sobre as verbas trabalhistas cuja revisão se pleiteia, conforme evidente disposição de lei.</w:t>
      </w:r>
    </w:p>
    <w:p w14:paraId="586A390C" w14:textId="77777777">
      <w:pPr>
        <w:spacing w:line="276" w:lineRule="auto"/>
        <w:ind w:right="-285"/>
        <w:jc w:val="both"/>
        <w:rPr>
          <w:rFonts w:ascii="Roboto" w:hAnsi="Roboto" w:eastAsia="Arial" w:cs="Arial"/>
          <w:sz w:val="23"/>
          <w:szCs w:val="23"/>
        </w:rPr>
      </w:pPr>
    </w:p>
    <w:p w14:paraId="7E1B5A98" w14:textId="2D6B0083">
      <w:pPr>
        <w:spacing w:line="276" w:lineRule="auto"/>
        <w:ind w:right="-285"/>
        <w:jc w:val="both"/>
        <w:rPr>
          <w:rFonts w:ascii="Roboto" w:hAnsi="Roboto" w:eastAsia="Arial" w:cs="Arial"/>
          <w:sz w:val="23"/>
          <w:szCs w:val="23"/>
        </w:rPr>
      </w:pPr>
      <w:r>
        <w:rPr>
          <w:rFonts w:ascii="Roboto" w:hAnsi="Roboto" w:eastAsia="Arial" w:cs="Arial"/>
          <w:sz w:val="23"/>
          <w:szCs w:val="23"/>
        </w:rPr>
        <w:t xml:space="preserve">Por tudo quanto exposto, requer o Reclamante que este Douto Juízo reconheça a procedência dos pedidos ora formulados, para que seja a Reclamada condenada ao pagamento dos </w:t>
      </w:r>
      <w:r>
        <w:rPr>
          <w:rFonts w:ascii="Roboto" w:hAnsi="Roboto" w:eastAsia="Arial" w:cs="Arial"/>
          <w:sz w:val="23"/>
          <w:szCs w:val="23"/>
        </w:rPr>
        <w:lastRenderedPageBreak/>
        <w:t>reflexos das horas extraordinárias provenientes de banco de horas sobre o Repouso Semanal Remunerado, férias com abono de 1/3 e gratificação de 2/3, 13º salários, FGTS e contribuições da PETROS, seguindo o julgamento já proferido por este Tribunal.</w:t>
      </w:r>
    </w:p>
    <w:p w14:paraId="0EEF3C21" w14:textId="2BE2A9D4">
      <w:pPr>
        <w:spacing w:line="276" w:lineRule="auto"/>
        <w:ind w:right="-285"/>
        <w:jc w:val="both"/>
        <w:rPr>
          <w:rFonts w:ascii="Roboto" w:hAnsi="Roboto" w:eastAsia="Arial" w:cs="Arial"/>
          <w:sz w:val="23"/>
          <w:szCs w:val="23"/>
          <w:u w:val="single"/>
        </w:rPr>
      </w:pPr>
    </w:p>
    <w:p w14:paraId="237D7FF2" w14:textId="047BB243">
      <w:pPr>
        <w:spacing w:line="276" w:lineRule="auto"/>
        <w:ind w:right="-285"/>
        <w:jc w:val="both"/>
        <w:rPr>
          <w:rFonts w:ascii="Roboto" w:hAnsi="Roboto" w:eastAsia="Roboto" w:cs="Roboto"/>
          <w:color w:val="000000" w:themeColor="text1"/>
          <w:sz w:val="23"/>
          <w:szCs w:val="23"/>
          <w:u w:val="single"/>
        </w:rPr>
      </w:pPr>
      <w:r>
        <w:rPr>
          <w:rFonts w:ascii="Roboto" w:hAnsi="Roboto" w:eastAsia="Roboto" w:cs="Roboto"/>
          <w:b/>
          <w:bCs/>
          <w:color w:val="000000" w:themeColor="text1"/>
          <w:sz w:val="23"/>
          <w:szCs w:val="23"/>
          <w:u w:val="single"/>
        </w:rPr>
        <w:t>3. DA INOCORRÊNCIA DE QUITAÇÃO DO FEITO. ÔNUS DA PROVA DA RECLAMADA. DA EXISTÊNCIA DE VALORES PENDENTES DE PAGAMENTO.</w:t>
      </w:r>
    </w:p>
    <w:p w14:paraId="20A219CB" w14:textId="169DB5FE">
      <w:pPr>
        <w:tabs>
          <w:tab w:val="left" w:pos="3210"/>
        </w:tabs>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b/>
      </w:r>
    </w:p>
    <w:p w14:paraId="05C4410A"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 antemão, o Reclamante aponta que NÃO HOUVE QUITAÇÃO DOS VALORES DEVIDOS A TÍTULO DE REFLEXOS DE HORAS EXTRAORDINÁRIAS PAGAS MEDIANTE BANCO DE HORAS.</w:t>
      </w:r>
    </w:p>
    <w:p w14:paraId="54FFCA43" w14:textId="77777777">
      <w:pPr>
        <w:spacing w:line="276" w:lineRule="auto"/>
        <w:ind w:right="-285"/>
        <w:jc w:val="both"/>
        <w:rPr>
          <w:rFonts w:ascii="Roboto" w:hAnsi="Roboto" w:eastAsia="Roboto" w:cs="Roboto"/>
          <w:color w:val="000000" w:themeColor="text1"/>
          <w:sz w:val="23"/>
          <w:szCs w:val="23"/>
        </w:rPr>
      </w:pPr>
    </w:p>
    <w:p w14:paraId="73FF5DEE"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Desde a implementação do regime de compensação por banco de horas, a Empresa Reclamada nunca se prestou a quitar a totalidade dos valores sob esta rubrica devidos, já que não houve o pagamento dos reflexos das horas extras no banco de horas. </w:t>
      </w:r>
    </w:p>
    <w:p w14:paraId="26C35B63" w14:textId="77777777">
      <w:pPr>
        <w:spacing w:line="276" w:lineRule="auto"/>
        <w:ind w:right="-285"/>
        <w:jc w:val="both"/>
        <w:rPr>
          <w:rFonts w:ascii="Roboto" w:hAnsi="Roboto" w:eastAsia="Roboto" w:cs="Roboto"/>
          <w:color w:val="000000" w:themeColor="text1"/>
          <w:sz w:val="23"/>
          <w:szCs w:val="23"/>
        </w:rPr>
      </w:pPr>
    </w:p>
    <w:p w14:paraId="2F95BC68"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O único pagamento efetivamente feito pela parte contrária a este título se deu em </w:t>
      </w:r>
      <w:r>
        <w:rPr>
          <w:rFonts w:ascii="Roboto" w:hAnsi="Roboto" w:eastAsia="Roboto" w:cs="Roboto"/>
          <w:b/>
          <w:bCs/>
          <w:color w:val="000000" w:themeColor="text1"/>
          <w:sz w:val="23"/>
          <w:szCs w:val="23"/>
        </w:rPr>
        <w:t>dezembro de 2023</w:t>
      </w:r>
      <w:r>
        <w:rPr>
          <w:rFonts w:ascii="Roboto" w:hAnsi="Roboto" w:eastAsia="Roboto" w:cs="Roboto"/>
          <w:color w:val="000000" w:themeColor="text1"/>
          <w:sz w:val="23"/>
          <w:szCs w:val="23"/>
        </w:rPr>
        <w:t>, sob a rubrica "</w:t>
      </w:r>
      <w:r>
        <w:rPr>
          <w:rFonts w:ascii="Roboto" w:hAnsi="Roboto" w:eastAsia="Roboto" w:cs="Roboto"/>
          <w:i/>
          <w:iCs/>
          <w:color w:val="000000" w:themeColor="text1"/>
          <w:sz w:val="23"/>
          <w:szCs w:val="23"/>
        </w:rPr>
        <w:t>Dif RSR Banco de Horas</w:t>
      </w:r>
      <w:r>
        <w:rPr>
          <w:rFonts w:ascii="Roboto" w:hAnsi="Roboto" w:eastAsia="Roboto" w:cs="Roboto"/>
          <w:color w:val="000000" w:themeColor="text1"/>
          <w:sz w:val="23"/>
          <w:szCs w:val="23"/>
        </w:rPr>
        <w:t>", o qual não possui o condão de quitar o crédito do Autor e muito menor tornar a execução do presente feito vazia, ou o objeto do presente processo obsoleto.</w:t>
      </w:r>
    </w:p>
    <w:p w14:paraId="1E69BAA6" w14:textId="77777777">
      <w:pPr>
        <w:spacing w:line="276" w:lineRule="auto"/>
        <w:ind w:right="-285"/>
        <w:jc w:val="both"/>
        <w:rPr>
          <w:rFonts w:ascii="Roboto" w:hAnsi="Roboto" w:eastAsia="Roboto" w:cs="Roboto"/>
          <w:color w:val="000000" w:themeColor="text1"/>
          <w:sz w:val="23"/>
          <w:szCs w:val="23"/>
        </w:rPr>
      </w:pPr>
    </w:p>
    <w:p w14:paraId="592A361D"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Primeiro porque referido pagamento abarca tão somente os reflexos sobre Repouso Semanal Remunerado, não quitando portando os reflexos devidos sobre todas as outras verbas trabalhistas ora pleiteadas, já exaustivamente listadas. Além disso, não é cabível assumir que o pagamento realizado pela Ré em dezembro de 2023 tenha abarcado o valor devido pela Empresa em um lapso de 5 (cinco) anos, ou seja, de 2021 até 2025.  Em verdade, sequer há demonstração de que o pagamento feito pela Ré quita a totalidade do valor devido até dezembro de 2023, sendo ônus desta demonstrar a extensão do seu adimplemento.</w:t>
      </w:r>
    </w:p>
    <w:p w14:paraId="436ADF23" w14:textId="77777777">
      <w:pPr>
        <w:spacing w:line="276" w:lineRule="auto"/>
        <w:ind w:right="-285"/>
        <w:jc w:val="both"/>
        <w:rPr>
          <w:rFonts w:ascii="Roboto" w:hAnsi="Roboto" w:eastAsia="Roboto" w:cs="Roboto"/>
          <w:color w:val="000000" w:themeColor="text1"/>
          <w:sz w:val="23"/>
          <w:szCs w:val="23"/>
        </w:rPr>
      </w:pPr>
    </w:p>
    <w:p w14:paraId="75FF0B11"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Ou seja, não se pode concluir que o pagamento realizado pela Ré em dezembro de 2023 tenha quitado os valores devidos ao Obreiro ou mesmo afastado o seu direito à percepção de reflexos de banco de horas.   </w:t>
      </w:r>
    </w:p>
    <w:p w14:paraId="545884B5" w14:textId="77777777">
      <w:pPr>
        <w:spacing w:line="276" w:lineRule="auto"/>
        <w:ind w:right="-285"/>
        <w:jc w:val="both"/>
        <w:rPr>
          <w:rFonts w:ascii="Roboto" w:hAnsi="Roboto" w:eastAsia="Roboto" w:cs="Roboto"/>
          <w:color w:val="000000" w:themeColor="text1"/>
          <w:sz w:val="23"/>
          <w:szCs w:val="23"/>
        </w:rPr>
      </w:pPr>
    </w:p>
    <w:p w14:paraId="62E80591"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 logo se esclarece, também, que é incabível concluir que o pagamento de reflexos estaria abarcado nos contracheques mais recentes. Excelência, qualquer pagamento de reflexos do banco de horas será pago sob a rubrica “Dif Banco de Horas”, o que ocorreu apenas uma vez, em relação ao pagamento de RSR em 2023. Quaisquer adimplementos sobre as rubricas “Banco de Horas” referem ao pagamento efetivo das horas extras, e não ao reflexo delas sobre outras verbas trabalhistas. </w:t>
      </w:r>
      <w:r>
        <w:rPr>
          <w:rFonts w:ascii="Roboto" w:hAnsi="Roboto" w:eastAsia="Roboto" w:cs="Roboto"/>
          <w:b/>
          <w:bCs/>
          <w:color w:val="000000" w:themeColor="text1"/>
          <w:sz w:val="23"/>
          <w:szCs w:val="23"/>
          <w:u w:val="single"/>
        </w:rPr>
        <w:t xml:space="preserve">Por sua vez, pagamentos sob a rubrica “Férias”, “13º”, “FGTS” e </w:t>
      </w:r>
      <w:r>
        <w:rPr>
          <w:rFonts w:ascii="Roboto" w:hAnsi="Roboto" w:eastAsia="Roboto" w:cs="Roboto"/>
          <w:b/>
          <w:bCs/>
          <w:color w:val="000000" w:themeColor="text1"/>
          <w:sz w:val="23"/>
          <w:szCs w:val="23"/>
          <w:u w:val="single"/>
        </w:rPr>
        <w:lastRenderedPageBreak/>
        <w:t>afins correspondem ao pagamento do direito em si, e não dos reflexos provenientes das horas extras.   </w:t>
      </w:r>
    </w:p>
    <w:p w14:paraId="7A2A8881" w14:textId="77777777">
      <w:pPr>
        <w:spacing w:line="276" w:lineRule="auto"/>
        <w:ind w:right="-285"/>
        <w:jc w:val="both"/>
        <w:rPr>
          <w:rFonts w:ascii="Roboto" w:hAnsi="Roboto" w:eastAsia="Roboto" w:cs="Roboto"/>
          <w:color w:val="000000" w:themeColor="text1"/>
          <w:sz w:val="23"/>
          <w:szCs w:val="23"/>
        </w:rPr>
      </w:pPr>
    </w:p>
    <w:p w14:paraId="4CC3AE3B"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À luz destas considerações, não é possível concluir que a Reclamada tenha adimplido com o direito do Obreiro de recebimento de reflexos de horas extras. Ademais, é inadequada a imposição sobre o trabalhador do ônus da prova de fato negativo, qual seja, o não recebimento dos reflexos devidos.   </w:t>
      </w:r>
    </w:p>
    <w:p w14:paraId="09FFE088" w14:textId="77777777">
      <w:pPr>
        <w:spacing w:line="276" w:lineRule="auto"/>
        <w:ind w:right="-285"/>
        <w:jc w:val="both"/>
        <w:rPr>
          <w:rFonts w:ascii="Roboto" w:hAnsi="Roboto" w:eastAsia="Roboto" w:cs="Roboto"/>
          <w:color w:val="000000" w:themeColor="text1"/>
          <w:sz w:val="23"/>
          <w:szCs w:val="23"/>
        </w:rPr>
      </w:pPr>
    </w:p>
    <w:p w14:paraId="385585BE" w14:textId="0E8716BF">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Pela presente inicial e documentos anexos, o Reclamante demonstra ter direito ao recebimento de reflexos de horas extraordinárias pagas mediante banco de horas, ônus que lhe competia e do qual se desincumbiu a contento. Face a isto, cabe à Reclamada demonstrar ampla e especificamente que cumpriu não apenas com o pagamento das horas extras via banco de horas e não apenas com o pagamento dos direitos trabalhistas do Obreiro, mas também com o pagamento dos reflexos que aquelas verbas incidem sobre estas últimas. Neste ponto, há de se ressaltar que não basta à Empresa Reclamada demonstrar que pagou determinadas quantias sob determinadas rubricas, sem maiores esclarecimentos, e dar-se por satisfeito o seu ônus probatório. </w:t>
      </w:r>
    </w:p>
    <w:p w14:paraId="43F896AD" w14:textId="77777777">
      <w:pPr>
        <w:spacing w:line="276" w:lineRule="auto"/>
        <w:ind w:right="-285"/>
        <w:jc w:val="both"/>
        <w:rPr>
          <w:rFonts w:ascii="Roboto" w:hAnsi="Roboto" w:eastAsia="Roboto" w:cs="Roboto"/>
          <w:color w:val="000000" w:themeColor="text1"/>
          <w:sz w:val="23"/>
          <w:szCs w:val="23"/>
        </w:rPr>
      </w:pPr>
    </w:p>
    <w:p w14:paraId="32B93DB8" w14:textId="77777777">
      <w:pPr>
        <w:spacing w:line="276" w:lineRule="auto"/>
        <w:ind w:right="-285"/>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Deste modo, vem o Reclamante, de logo, apontar a inocorrência de quitação do feito, a existência de valores pendentes de pagamento, e a necessária imposição de ônus probatório à Reclamada sobre fato extintivo ou impeditivo do direito pleiteado, o qual não poderá ser satisfeito pela mera indicação de pagamento sem os devidos cálculos que justifiquem o valor eventualmente pago</w:t>
      </w:r>
    </w:p>
    <w:p w14:paraId="1C72C74B" w14:textId="5151EF40">
      <w:pPr>
        <w:spacing w:line="276" w:lineRule="auto"/>
        <w:ind w:right="-285" w:firstLine="0"/>
        <w:jc w:val="both"/>
        <w:rPr>
          <w:rFonts w:ascii="Roboto" w:hAnsi="Roboto" w:eastAsia="Roboto" w:cs="Roboto"/>
          <w:b/>
          <w:bCs/>
          <w:color w:val="000000" w:themeColor="text1"/>
          <w:sz w:val="23"/>
          <w:szCs w:val="23"/>
          <w:u w:val="single"/>
        </w:rPr>
      </w:pPr>
    </w:p>
    <w:p w14:paraId="3BCBF02E" w14:textId="7B26CADB">
      <w:pPr>
        <w:spacing w:line="276" w:lineRule="auto"/>
        <w:ind w:right="-285"/>
        <w:jc w:val="both"/>
        <w:rPr>
          <w:rFonts w:ascii="Roboto" w:hAnsi="Roboto" w:eastAsia="Arial" w:cs="Arial"/>
          <w:b/>
          <w:bCs/>
          <w:sz w:val="23"/>
          <w:szCs w:val="23"/>
        </w:rPr>
      </w:pPr>
      <w:r>
        <w:rPr>
          <w:rFonts w:ascii="Roboto" w:hAnsi="Roboto" w:eastAsia="Arial" w:cs="Arial"/>
          <w:b/>
          <w:bCs/>
          <w:sz w:val="23"/>
          <w:szCs w:val="23"/>
        </w:rPr>
        <w:t>4</w:t>
      </w:r>
      <w:r>
        <w:rPr>
          <w:rFonts w:ascii="Roboto" w:hAnsi="Roboto" w:eastAsia="Arial" w:cs="Arial"/>
          <w:b/>
          <w:bCs/>
          <w:sz w:val="23"/>
          <w:szCs w:val="23"/>
        </w:rPr>
        <w:t>. DAS DEMAIS OBRIGAÇÕES</w:t>
      </w:r>
      <w:r>
        <w:rPr>
          <w:rFonts w:ascii="Roboto" w:hAnsi="Roboto" w:eastAsia="Arial" w:cs="Arial"/>
          <w:sz w:val="23"/>
          <w:szCs w:val="23"/>
        </w:rPr>
        <w:t>.</w:t>
      </w:r>
    </w:p>
    <w:p w14:paraId="19C9F512" w14:textId="77777777">
      <w:pPr>
        <w:spacing w:line="276" w:lineRule="auto"/>
        <w:ind w:right="-285"/>
        <w:jc w:val="both"/>
        <w:rPr>
          <w:rFonts w:ascii="Roboto" w:hAnsi="Roboto" w:eastAsia="Arial" w:cs="Arial"/>
          <w:sz w:val="23"/>
          <w:szCs w:val="23"/>
        </w:rPr>
      </w:pPr>
    </w:p>
    <w:p w14:paraId="73CB7DA4" w14:textId="77777777">
      <w:pPr>
        <w:spacing w:line="276" w:lineRule="auto"/>
        <w:ind w:right="-285"/>
        <w:jc w:val="both"/>
        <w:rPr>
          <w:rFonts w:ascii="Roboto" w:hAnsi="Roboto" w:eastAsia="Arial" w:cs="Arial"/>
          <w:sz w:val="23"/>
          <w:szCs w:val="23"/>
        </w:rPr>
      </w:pPr>
      <w:r>
        <w:rPr>
          <w:rFonts w:ascii="Roboto" w:hAnsi="Roboto" w:eastAsia="Arial" w:cs="Arial"/>
          <w:sz w:val="23"/>
          <w:szCs w:val="23"/>
        </w:rPr>
        <w:t>Em atenção as verbas trabalhistas postuladas na presente demanda, a respeito dos valores que vier a Reclamada a ser condenada, deverá ainda proceder o recolhimento da sua contribuição em favor da PETROS, bem como reter a cota parte referente a contribuição do Reclamante, em atenção aos arts. 8º, 16 a 18 e 22 a 24, do Regulamento da PETROS, que acompanha a presente demanda.</w:t>
      </w:r>
    </w:p>
    <w:p w14:paraId="609FEF11" w14:textId="77777777">
      <w:pPr>
        <w:spacing w:line="276" w:lineRule="auto"/>
        <w:ind w:right="-285"/>
        <w:jc w:val="both"/>
        <w:rPr>
          <w:rFonts w:ascii="Roboto" w:hAnsi="Roboto" w:eastAsia="Arial" w:cs="Arial"/>
          <w:sz w:val="23"/>
          <w:szCs w:val="23"/>
        </w:rPr>
      </w:pPr>
    </w:p>
    <w:p w14:paraId="72A34DFE" w14:textId="77777777">
      <w:pPr>
        <w:spacing w:line="276" w:lineRule="auto"/>
        <w:ind w:right="-285"/>
        <w:jc w:val="both"/>
        <w:rPr>
          <w:rFonts w:ascii="Roboto" w:hAnsi="Roboto" w:eastAsia="Arial" w:cs="Arial"/>
          <w:sz w:val="23"/>
          <w:szCs w:val="23"/>
        </w:rPr>
      </w:pPr>
      <w:r>
        <w:rPr>
          <w:rFonts w:ascii="Roboto" w:hAnsi="Roboto" w:eastAsia="Arial" w:cs="Arial"/>
          <w:sz w:val="23"/>
          <w:szCs w:val="23"/>
        </w:rPr>
        <w:t>Pontua-se que as verbas pleiteadas são revestidas de caráter salarial, de forma que são consequência da relação contratual trabalhista existente entre as partes, sendo devido, portanto, o recolhimento em favor da PETROS em relação aos valores auferidos da presente reclamação trabalhista.</w:t>
      </w:r>
    </w:p>
    <w:p w14:paraId="7DF3FBE9" w14:textId="77777777">
      <w:pPr>
        <w:spacing w:line="276" w:lineRule="auto"/>
        <w:ind w:right="-285"/>
        <w:jc w:val="both"/>
        <w:rPr>
          <w:rFonts w:ascii="Roboto" w:hAnsi="Roboto" w:eastAsia="Arial" w:cs="Arial"/>
          <w:sz w:val="23"/>
          <w:szCs w:val="23"/>
        </w:rPr>
      </w:pPr>
    </w:p>
    <w:p w14:paraId="1414168E" w14:textId="77777777">
      <w:pPr>
        <w:spacing w:line="276" w:lineRule="auto"/>
        <w:ind w:right="-285"/>
        <w:jc w:val="both"/>
        <w:rPr>
          <w:rFonts w:ascii="Roboto" w:hAnsi="Roboto" w:eastAsia="Arial" w:cs="Arial"/>
          <w:sz w:val="23"/>
          <w:szCs w:val="23"/>
        </w:rPr>
      </w:pPr>
      <w:r>
        <w:rPr>
          <w:rFonts w:ascii="Roboto" w:hAnsi="Roboto" w:eastAsia="Arial" w:cs="Arial"/>
          <w:sz w:val="23"/>
          <w:szCs w:val="23"/>
        </w:rPr>
        <w:t>Assim, requer que seja determinado à Reclamada que proceda o recolhimento dos valores devidos à PETROS, com base na fundamentação supra.</w:t>
      </w:r>
    </w:p>
    <w:p w14:paraId="61B1F144" w14:textId="77777777">
      <w:pPr>
        <w:spacing w:line="276" w:lineRule="auto"/>
        <w:ind w:right="-285"/>
        <w:jc w:val="both"/>
        <w:rPr>
          <w:rFonts w:ascii="Roboto" w:hAnsi="Roboto" w:eastAsia="Arial" w:cs="Arial"/>
          <w:sz w:val="23"/>
          <w:szCs w:val="23"/>
        </w:rPr>
      </w:pPr>
    </w:p>
    <w:p w14:paraId="0281B9F0" w14:textId="1576FB54">
      <w:pPr>
        <w:spacing w:line="276" w:lineRule="auto"/>
        <w:ind w:right="-285"/>
        <w:jc w:val="both"/>
        <w:rPr>
          <w:rFonts w:ascii="Roboto" w:hAnsi="Roboto" w:eastAsia="Arial" w:cs="Arial"/>
          <w:b/>
          <w:bCs/>
          <w:sz w:val="23"/>
          <w:szCs w:val="23"/>
          <w:u w:val="single"/>
        </w:rPr>
      </w:pPr>
      <w:r>
        <w:rPr>
          <w:rFonts w:ascii="Roboto" w:hAnsi="Roboto" w:eastAsia="Arial" w:cs="Arial"/>
          <w:sz w:val="23"/>
          <w:szCs w:val="23"/>
        </w:rPr>
        <w:t>5</w:t>
      </w:r>
      <w:r>
        <w:rPr>
          <w:rFonts w:ascii="Roboto" w:hAnsi="Roboto" w:eastAsia="Arial" w:cs="Arial"/>
          <w:sz w:val="23"/>
          <w:szCs w:val="23"/>
        </w:rPr>
        <w:t xml:space="preserve">. </w:t>
      </w:r>
      <w:r>
        <w:rPr>
          <w:rFonts w:ascii="Roboto" w:hAnsi="Roboto" w:eastAsia="Arial" w:cs="Arial"/>
          <w:b/>
          <w:bCs/>
          <w:sz w:val="23"/>
          <w:szCs w:val="23"/>
          <w:u w:val="single"/>
        </w:rPr>
        <w:t>DOS HONORÁRIOS ADVOCATÍCIOS DE SUCUMBÊNCIA</w:t>
      </w:r>
    </w:p>
    <w:p w14:paraId="45C6E5CF" w14:textId="77777777">
      <w:pPr>
        <w:spacing w:line="276" w:lineRule="auto"/>
        <w:ind w:right="-285"/>
        <w:jc w:val="both"/>
        <w:rPr>
          <w:rFonts w:ascii="Roboto" w:hAnsi="Roboto" w:eastAsia="Arial" w:cs="Arial"/>
          <w:sz w:val="23"/>
          <w:szCs w:val="23"/>
        </w:rPr>
      </w:pPr>
    </w:p>
    <w:p w14:paraId="7A6B03D3" w14:textId="77777777">
      <w:pPr>
        <w:spacing w:line="276" w:lineRule="auto"/>
        <w:ind w:right="-285"/>
        <w:jc w:val="both"/>
        <w:rPr>
          <w:rFonts w:ascii="Roboto" w:hAnsi="Roboto" w:eastAsia="Arial" w:cs="Arial"/>
          <w:sz w:val="23"/>
          <w:szCs w:val="23"/>
        </w:rPr>
      </w:pPr>
      <w:r>
        <w:rPr>
          <w:rFonts w:ascii="Roboto" w:hAnsi="Roboto" w:eastAsia="Arial" w:cs="Arial"/>
          <w:sz w:val="23"/>
          <w:szCs w:val="23"/>
        </w:rPr>
        <w:t>Por fim, requer o Reclamante que seja a Reclamada condenada ao pagamento dos honorários advocatícios em favor de seus procuradores, na proporção de 15% sobre o valor da condenação, forma do art. 791-A, caput, da CLT:</w:t>
      </w:r>
    </w:p>
    <w:p w14:paraId="767EAD63" w14:textId="77777777">
      <w:pPr>
        <w:spacing w:line="276" w:lineRule="auto"/>
        <w:ind w:right="-285"/>
        <w:jc w:val="both"/>
        <w:rPr>
          <w:rFonts w:ascii="Roboto" w:hAnsi="Roboto" w:eastAsia="Arial" w:cs="Arial"/>
          <w:sz w:val="23"/>
          <w:szCs w:val="23"/>
        </w:rPr>
      </w:pPr>
    </w:p>
    <w:p w14:paraId="74CE92FE" w14:textId="77777777">
      <w:pPr>
        <w:spacing w:line="276" w:lineRule="auto"/>
        <w:ind w:left="2268" w:right="-285" w:firstLine="0"/>
        <w:jc w:val="both"/>
        <w:rPr>
          <w:rFonts w:ascii="Roboto" w:hAnsi="Roboto" w:eastAsia="Arial" w:cs="Arial"/>
          <w:i/>
          <w:iCs/>
          <w:sz w:val="23"/>
          <w:szCs w:val="23"/>
        </w:rPr>
      </w:pPr>
      <w:r>
        <w:rPr>
          <w:rFonts w:ascii="Roboto" w:hAnsi="Roboto" w:eastAsia="Arial" w:cs="Arial"/>
          <w:i/>
          <w:iCs/>
          <w:sz w:val="23"/>
          <w:szCs w:val="23"/>
        </w:rPr>
        <w:t>CLT, Art. 791-A. 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w:t>
      </w:r>
    </w:p>
    <w:p w14:paraId="33EA06FF" w14:textId="77777777">
      <w:pPr>
        <w:spacing w:line="276" w:lineRule="auto"/>
        <w:ind w:right="-285"/>
        <w:jc w:val="both"/>
        <w:rPr>
          <w:rFonts w:ascii="Roboto" w:hAnsi="Roboto" w:eastAsia="Arial" w:cs="Arial"/>
          <w:sz w:val="23"/>
          <w:szCs w:val="23"/>
        </w:rPr>
      </w:pPr>
    </w:p>
    <w:p w14:paraId="341B2DB1" w14:textId="77777777">
      <w:pPr>
        <w:spacing w:line="276" w:lineRule="auto"/>
        <w:ind w:right="-285"/>
        <w:jc w:val="both"/>
        <w:rPr>
          <w:rFonts w:ascii="Roboto" w:hAnsi="Roboto" w:eastAsia="Arial" w:cs="Arial"/>
          <w:b/>
          <w:bCs/>
          <w:sz w:val="23"/>
          <w:szCs w:val="23"/>
          <w:u w:val="single"/>
        </w:rPr>
      </w:pPr>
      <w:r>
        <w:rPr>
          <w:rFonts w:ascii="Roboto" w:hAnsi="Roboto" w:eastAsia="Arial" w:cs="Arial"/>
          <w:b/>
          <w:bCs/>
          <w:sz w:val="23"/>
          <w:szCs w:val="23"/>
          <w:u w:val="single"/>
        </w:rPr>
        <w:t>IV - DOS PEDIDOS</w:t>
      </w:r>
    </w:p>
    <w:p w14:paraId="11B4BCF7" w14:textId="77777777">
      <w:pPr>
        <w:spacing w:line="276" w:lineRule="auto"/>
        <w:ind w:right="-285"/>
        <w:jc w:val="both"/>
        <w:rPr>
          <w:rFonts w:ascii="Roboto" w:hAnsi="Roboto" w:eastAsia="Arial" w:cs="Arial"/>
          <w:sz w:val="23"/>
          <w:szCs w:val="23"/>
        </w:rPr>
      </w:pPr>
    </w:p>
    <w:p w14:paraId="5DC20527" w14:textId="77777777">
      <w:pPr>
        <w:spacing w:line="276" w:lineRule="auto"/>
        <w:ind w:right="-285"/>
        <w:jc w:val="both"/>
        <w:rPr>
          <w:rFonts w:ascii="Roboto" w:hAnsi="Roboto" w:eastAsia="Arial" w:cs="Arial"/>
          <w:sz w:val="23"/>
          <w:szCs w:val="23"/>
        </w:rPr>
      </w:pPr>
      <w:r>
        <w:rPr>
          <w:rFonts w:ascii="Roboto" w:hAnsi="Roboto" w:eastAsia="Arial" w:cs="Arial"/>
          <w:sz w:val="23"/>
          <w:szCs w:val="23"/>
        </w:rPr>
        <w:t>Ante o exposto, requer o Reclamante que se digne V. Excelência a julgar a presente reclamação totalmente procedente, deferindo os pleitos a seguir:</w:t>
      </w:r>
    </w:p>
    <w:p w14:paraId="774C968F" w14:textId="77777777">
      <w:pPr>
        <w:spacing w:line="276" w:lineRule="auto"/>
        <w:ind w:right="-285"/>
        <w:jc w:val="both"/>
        <w:rPr>
          <w:rFonts w:ascii="Roboto" w:hAnsi="Roboto" w:eastAsia="Arial" w:cs="Arial"/>
          <w:sz w:val="23"/>
          <w:szCs w:val="23"/>
        </w:rPr>
      </w:pPr>
    </w:p>
    <w:p w14:paraId="5038F3A5" w14:textId="77777777">
      <w:pPr>
        <w:pStyle w:val="PargrafodaLista"/>
        <w:numPr>
          <w:ilvl w:val="0"/>
          <w:numId w:val="14"/>
        </w:numPr>
        <w:spacing w:after="0" w:line="276" w:lineRule="auto"/>
        <w:ind w:right="-285"/>
        <w:jc w:val="both"/>
        <w:rPr>
          <w:rFonts w:ascii="Roboto" w:hAnsi="Roboto" w:eastAsia="Arial" w:cs="Arial"/>
          <w:sz w:val="23"/>
          <w:szCs w:val="23"/>
        </w:rPr>
      </w:pPr>
      <w:r>
        <w:rPr>
          <w:rFonts w:ascii="Roboto" w:hAnsi="Roboto" w:eastAsia="Arial" w:cs="Arial"/>
          <w:sz w:val="23"/>
          <w:szCs w:val="23"/>
        </w:rPr>
        <w:t>Determinação do Juízo 100% digital. Nos termos do art. 2º do Ato SGP.PR n. 007/2022 do TRT20;</w:t>
      </w:r>
    </w:p>
    <w:p w14:paraId="33E7D8FC" w14:textId="77777777">
      <w:pPr>
        <w:spacing w:line="276" w:lineRule="auto"/>
        <w:ind w:left="1058" w:right="-285"/>
        <w:jc w:val="both"/>
        <w:rPr>
          <w:rFonts w:ascii="Roboto" w:hAnsi="Roboto" w:eastAsia="Calibri"/>
          <w:sz w:val="23"/>
          <w:szCs w:val="23"/>
        </w:rPr>
      </w:pPr>
    </w:p>
    <w:p w14:paraId="607BFF6E" w14:textId="77777777">
      <w:pPr>
        <w:pStyle w:val="PargrafodaLista"/>
        <w:numPr>
          <w:ilvl w:val="0"/>
          <w:numId w:val="14"/>
        </w:numPr>
        <w:spacing w:after="0" w:line="276" w:lineRule="auto"/>
        <w:ind w:right="-285"/>
        <w:jc w:val="both"/>
        <w:rPr>
          <w:rFonts w:ascii="Roboto" w:hAnsi="Roboto" w:eastAsia="Arial" w:cs="Arial"/>
          <w:sz w:val="23"/>
          <w:szCs w:val="23"/>
        </w:rPr>
      </w:pPr>
      <w:r>
        <w:rPr>
          <w:rFonts w:ascii="Roboto" w:hAnsi="Roboto" w:eastAsia="Arial" w:cs="Arial"/>
          <w:sz w:val="23"/>
          <w:szCs w:val="23"/>
        </w:rPr>
        <w:t>Concessão da gratuidade da justiça com fulcro no art. 5º, LXXIV da CF e art. 98 do CPC subsidiário;</w:t>
      </w:r>
    </w:p>
    <w:p w14:paraId="10030E88" w14:textId="77777777">
      <w:pPr>
        <w:pStyle w:val="PargrafodaLista"/>
        <w:spacing w:line="276" w:lineRule="auto"/>
        <w:rPr>
          <w:rFonts w:ascii="Roboto" w:hAnsi="Roboto" w:eastAsia="Arial" w:cs="Arial"/>
          <w:sz w:val="23"/>
          <w:szCs w:val="23"/>
        </w:rPr>
      </w:pPr>
    </w:p>
    <w:p w14:paraId="60513CA3" w14:textId="77777777">
      <w:pPr>
        <w:pStyle w:val="PargrafodaLista"/>
        <w:numPr>
          <w:ilvl w:val="0"/>
          <w:numId w:val="14"/>
        </w:numPr>
        <w:spacing w:after="0" w:line="276" w:lineRule="auto"/>
        <w:ind w:right="-285"/>
        <w:jc w:val="both"/>
        <w:rPr>
          <w:rFonts w:ascii="Roboto" w:hAnsi="Roboto" w:eastAsia="Arial" w:cs="Arial"/>
          <w:sz w:val="23"/>
          <w:szCs w:val="23"/>
        </w:rPr>
      </w:pPr>
      <w:r>
        <w:rPr>
          <w:rFonts w:ascii="Roboto" w:hAnsi="Roboto" w:eastAsia="Arial" w:cs="Arial"/>
          <w:sz w:val="23"/>
          <w:szCs w:val="23"/>
        </w:rPr>
        <w:t>Informa o Reclamante o desinteresse na designação de assentada, haja vista que se trata de matéria exclusivamente de direito, com fulcro no art. 319, VII, CPC;</w:t>
      </w:r>
    </w:p>
    <w:p w14:paraId="27903320" w14:textId="77777777">
      <w:pPr>
        <w:spacing w:line="276" w:lineRule="auto"/>
        <w:ind w:left="1058" w:right="-285"/>
        <w:jc w:val="both"/>
        <w:rPr>
          <w:rFonts w:ascii="Roboto" w:hAnsi="Roboto" w:eastAsia="Calibri"/>
          <w:sz w:val="23"/>
          <w:szCs w:val="23"/>
        </w:rPr>
      </w:pPr>
    </w:p>
    <w:p w14:paraId="62061A68" w14:textId="77777777">
      <w:pPr>
        <w:pStyle w:val="PargrafodaLista"/>
        <w:numPr>
          <w:ilvl w:val="0"/>
          <w:numId w:val="14"/>
        </w:numPr>
        <w:spacing w:after="0" w:line="276" w:lineRule="auto"/>
        <w:ind w:right="-285"/>
        <w:jc w:val="both"/>
        <w:rPr>
          <w:rFonts w:ascii="Roboto" w:hAnsi="Roboto" w:eastAsia="Arial" w:cs="Arial"/>
          <w:sz w:val="23"/>
          <w:szCs w:val="23"/>
        </w:rPr>
      </w:pPr>
      <w:r>
        <w:rPr>
          <w:rFonts w:ascii="Roboto" w:hAnsi="Roboto" w:eastAsia="Arial" w:cs="Arial"/>
          <w:sz w:val="23"/>
          <w:szCs w:val="23"/>
        </w:rPr>
        <w:t xml:space="preserve">Concedidos os benefícios da justiça gratuita e numa eventual sucumbência total ou parcial na ação, </w:t>
      </w:r>
      <w:r>
        <w:rPr>
          <w:rFonts w:ascii="Roboto" w:hAnsi="Roboto" w:eastAsia="Arial" w:cs="Arial"/>
          <w:b/>
          <w:bCs/>
          <w:sz w:val="23"/>
          <w:szCs w:val="23"/>
        </w:rPr>
        <w:t>não seja executada a exigibilidade dos créditos sucumbenciais</w:t>
      </w:r>
      <w:r>
        <w:rPr>
          <w:rFonts w:ascii="Roboto" w:hAnsi="Roboto" w:eastAsia="Arial" w:cs="Arial"/>
          <w:sz w:val="23"/>
          <w:szCs w:val="23"/>
        </w:rPr>
        <w:t>, mesmo que haja recebimento nesta ou em outra demanda, a menos que haja prova cabal de que houve alteração da sua condição de insuficiência de recurso para seu sustento e da sua própria família (reversão dos benefícios da Justiça Gratuita), o que deve ser feito mediante contraditório amplo e decisão fundamentada (ADI 5766 do STF);</w:t>
      </w:r>
    </w:p>
    <w:p w14:paraId="1F2FE212" w14:textId="77777777">
      <w:pPr>
        <w:spacing w:line="276" w:lineRule="auto"/>
        <w:ind w:left="1058" w:right="-285"/>
        <w:jc w:val="both"/>
        <w:rPr>
          <w:rFonts w:ascii="Roboto" w:hAnsi="Roboto" w:eastAsia="Calibri"/>
          <w:sz w:val="23"/>
          <w:szCs w:val="23"/>
        </w:rPr>
      </w:pPr>
    </w:p>
    <w:p w14:paraId="0B00A1A9" w14:textId="77777777">
      <w:pPr>
        <w:pStyle w:val="PargrafodaLista"/>
        <w:numPr>
          <w:ilvl w:val="0"/>
          <w:numId w:val="14"/>
        </w:numPr>
        <w:spacing w:after="0" w:line="276" w:lineRule="auto"/>
        <w:ind w:right="-285"/>
        <w:jc w:val="both"/>
        <w:rPr>
          <w:rFonts w:ascii="Roboto" w:hAnsi="Roboto" w:eastAsia="Arial" w:cs="Arial"/>
          <w:sz w:val="23"/>
          <w:szCs w:val="23"/>
        </w:rPr>
      </w:pPr>
      <w:r>
        <w:rPr>
          <w:rFonts w:ascii="Roboto" w:hAnsi="Roboto" w:eastAsia="Arial" w:cs="Arial"/>
          <w:sz w:val="23"/>
          <w:szCs w:val="23"/>
        </w:rPr>
        <w:t xml:space="preserve">Condenação da Reclamada ao pagamento dos reflexos das horas extras pagas através de banco de horas em janeiro de 2021, 2022, 2023, 2024, 2025 e 2026 sobre as verbas de Repouso Semanal Remunerado, férias com abono de 1/3 e </w:t>
      </w:r>
      <w:r>
        <w:rPr>
          <w:rFonts w:ascii="Roboto" w:hAnsi="Roboto" w:eastAsia="Arial" w:cs="Arial"/>
          <w:sz w:val="23"/>
          <w:szCs w:val="23"/>
        </w:rPr>
        <w:lastRenderedPageBreak/>
        <w:t>gratificação de 2/3, 13º salários, FGTS e contribuições da PETROS (Fundação Petrobrás de Seguridade Social), no valor estimado de R$ 27.389,37.</w:t>
      </w:r>
    </w:p>
    <w:p w14:paraId="3246910F" w14:textId="77777777">
      <w:pPr>
        <w:spacing w:line="276" w:lineRule="auto"/>
        <w:ind w:left="1058" w:right="-285"/>
        <w:jc w:val="both"/>
        <w:rPr>
          <w:rFonts w:ascii="Roboto" w:hAnsi="Roboto" w:eastAsia="Calibri"/>
          <w:sz w:val="23"/>
          <w:szCs w:val="23"/>
        </w:rPr>
      </w:pPr>
    </w:p>
    <w:p w14:paraId="5837BCEC" w14:textId="77777777">
      <w:pPr>
        <w:pStyle w:val="PargrafodaLista"/>
        <w:numPr>
          <w:ilvl w:val="0"/>
          <w:numId w:val="14"/>
        </w:numPr>
        <w:spacing w:after="0" w:line="276" w:lineRule="auto"/>
        <w:ind w:right="-285"/>
        <w:jc w:val="both"/>
        <w:rPr>
          <w:rFonts w:ascii="Roboto" w:hAnsi="Roboto" w:eastAsia="Arial" w:cs="Arial"/>
          <w:sz w:val="23"/>
          <w:szCs w:val="23"/>
        </w:rPr>
      </w:pPr>
      <w:r>
        <w:rPr>
          <w:rFonts w:ascii="Roboto" w:hAnsi="Roboto" w:eastAsia="Arial" w:cs="Arial"/>
          <w:sz w:val="23"/>
          <w:szCs w:val="23"/>
        </w:rPr>
        <w:t xml:space="preserve">Condenação da Reclamada no pagamento dos reflexos </w:t>
      </w:r>
      <w:r>
        <w:rPr>
          <w:rFonts w:ascii="Roboto" w:hAnsi="Roboto" w:eastAsia="Arial" w:cs="Arial"/>
          <w:b/>
          <w:bCs/>
          <w:sz w:val="23"/>
          <w:szCs w:val="23"/>
        </w:rPr>
        <w:t>vincendos</w:t>
      </w:r>
      <w:r>
        <w:rPr>
          <w:rFonts w:ascii="Roboto" w:hAnsi="Roboto" w:eastAsia="Arial" w:cs="Arial"/>
          <w:sz w:val="23"/>
          <w:szCs w:val="23"/>
        </w:rPr>
        <w:t xml:space="preserve"> sobre as horas extras não compensadas sobre de Repouso Semanal Remunerado, férias com abono de 1/3 e gratificação de 2/3, 13º salários, FGTS e contribuições da PETROS (Fundação Petrobrás de Seguridade Social) nos pagamentos de banco de horas que ainda venham a ser efetuados após o ajuizamento deste feito (R$ 27.775,63);</w:t>
      </w:r>
    </w:p>
    <w:p w14:paraId="6D5786B8" w14:textId="77777777">
      <w:pPr>
        <w:spacing w:line="276" w:lineRule="auto"/>
        <w:ind w:left="1058" w:right="-285"/>
        <w:jc w:val="both"/>
        <w:rPr>
          <w:rFonts w:ascii="Roboto" w:hAnsi="Roboto" w:eastAsia="Calibri"/>
          <w:sz w:val="23"/>
          <w:szCs w:val="23"/>
        </w:rPr>
      </w:pPr>
    </w:p>
    <w:p w14:paraId="51D82AA4" w14:textId="77777777">
      <w:pPr>
        <w:pStyle w:val="PargrafodaLista"/>
        <w:numPr>
          <w:ilvl w:val="0"/>
          <w:numId w:val="14"/>
        </w:numPr>
        <w:autoSpaceDE w:val="0"/>
        <w:autoSpaceDN w:val="0"/>
        <w:adjustRightInd w:val="0"/>
        <w:spacing w:after="0" w:line="276" w:lineRule="auto"/>
        <w:ind w:right="-285"/>
        <w:jc w:val="both"/>
        <w:rPr>
          <w:rFonts w:ascii="Roboto" w:hAnsi="Roboto" w:eastAsia="Arial" w:cs="Arial"/>
          <w:sz w:val="23"/>
          <w:szCs w:val="23"/>
        </w:rPr>
      </w:pPr>
      <w:r>
        <w:rPr>
          <w:rFonts w:ascii="Roboto" w:hAnsi="Roboto" w:eastAsia="Arial" w:cs="Arial"/>
          <w:sz w:val="23"/>
          <w:szCs w:val="23"/>
        </w:rPr>
        <w:t>Condenação da Reclamada em honorários sucumbenciais no percentual de 15% sobre a condenação no valor estimado de R$ 9.735,00.</w:t>
      </w:r>
    </w:p>
    <w:p w14:paraId="6CE8C1B2" w14:textId="77777777">
      <w:pPr>
        <w:spacing w:line="276" w:lineRule="auto"/>
        <w:ind w:left="1058" w:right="-285"/>
        <w:jc w:val="both"/>
        <w:rPr>
          <w:rFonts w:ascii="Roboto" w:hAnsi="Roboto" w:eastAsia="Calibri"/>
          <w:sz w:val="23"/>
          <w:szCs w:val="23"/>
        </w:rPr>
      </w:pPr>
    </w:p>
    <w:p w14:paraId="385BCDFD" w14:textId="77777777">
      <w:pPr>
        <w:pStyle w:val="PargrafodaLista"/>
        <w:spacing w:after="0" w:line="276" w:lineRule="auto"/>
        <w:rPr>
          <w:rFonts w:ascii="Roboto" w:hAnsi="Roboto" w:eastAsia="Arial" w:cs="Arial"/>
          <w:sz w:val="23"/>
          <w:szCs w:val="23"/>
        </w:rPr>
      </w:pPr>
    </w:p>
    <w:p w14:paraId="34FA345C" w14:textId="77777777">
      <w:pPr>
        <w:spacing w:line="276" w:lineRule="auto"/>
        <w:ind w:right="-285"/>
        <w:jc w:val="both"/>
        <w:rPr>
          <w:rFonts w:ascii="Roboto" w:hAnsi="Roboto" w:eastAsia="Arial" w:cs="Arial"/>
          <w:b/>
          <w:bCs/>
          <w:sz w:val="23"/>
          <w:szCs w:val="23"/>
          <w:u w:val="single"/>
        </w:rPr>
      </w:pPr>
      <w:r>
        <w:rPr>
          <w:rFonts w:ascii="Roboto" w:hAnsi="Roboto" w:eastAsia="Arial" w:cs="Arial"/>
          <w:b/>
          <w:bCs/>
          <w:sz w:val="23"/>
          <w:szCs w:val="23"/>
          <w:u w:val="single"/>
        </w:rPr>
        <w:t xml:space="preserve">V - DEMAIS REQUERIMENTOS </w:t>
      </w:r>
    </w:p>
    <w:p w14:paraId="7DB771E7" w14:textId="77777777">
      <w:pPr>
        <w:spacing w:line="276" w:lineRule="auto"/>
        <w:ind w:right="-285"/>
        <w:jc w:val="both"/>
        <w:rPr>
          <w:rFonts w:ascii="Roboto" w:hAnsi="Roboto" w:eastAsia="Arial" w:cs="Arial"/>
          <w:sz w:val="23"/>
          <w:szCs w:val="23"/>
        </w:rPr>
      </w:pPr>
    </w:p>
    <w:p w14:paraId="0199ABE0" w14:textId="77777777">
      <w:pPr>
        <w:spacing w:line="276" w:lineRule="auto"/>
        <w:ind w:right="-285"/>
        <w:jc w:val="both"/>
        <w:rPr>
          <w:rFonts w:ascii="Roboto" w:hAnsi="Roboto" w:eastAsia="Arial" w:cs="Arial"/>
          <w:sz w:val="23"/>
          <w:szCs w:val="23"/>
        </w:rPr>
      </w:pPr>
      <w:r>
        <w:rPr>
          <w:rFonts w:ascii="Roboto" w:hAnsi="Roboto" w:eastAsia="Arial" w:cs="Arial"/>
          <w:sz w:val="23"/>
          <w:szCs w:val="23"/>
        </w:rPr>
        <w:t>Pugna pela notificação da Reclamada para comparecer à audiência a ser designada, para, querendo, apresentar defesa sob pena de revelia quanto à matéria de direito e confissão sob a matéria de fato.</w:t>
      </w:r>
    </w:p>
    <w:p w14:paraId="7F6354B6" w14:textId="77777777">
      <w:pPr>
        <w:spacing w:line="276" w:lineRule="auto"/>
        <w:ind w:right="-285"/>
        <w:jc w:val="both"/>
        <w:rPr>
          <w:rFonts w:ascii="Roboto" w:hAnsi="Roboto" w:eastAsia="Arial" w:cs="Arial"/>
          <w:sz w:val="23"/>
          <w:szCs w:val="23"/>
        </w:rPr>
      </w:pPr>
    </w:p>
    <w:p w14:paraId="20B5CDFF" w14:textId="77777777">
      <w:pPr>
        <w:spacing w:line="276" w:lineRule="auto"/>
        <w:ind w:right="-285"/>
        <w:jc w:val="both"/>
        <w:rPr>
          <w:rFonts w:ascii="Roboto" w:hAnsi="Roboto" w:eastAsia="Arial" w:cs="Arial"/>
          <w:sz w:val="23"/>
          <w:szCs w:val="23"/>
        </w:rPr>
      </w:pPr>
      <w:r>
        <w:rPr>
          <w:rFonts w:ascii="Roboto" w:hAnsi="Roboto" w:eastAsia="Arial" w:cs="Arial"/>
          <w:sz w:val="23"/>
          <w:szCs w:val="23"/>
        </w:rPr>
        <w:t>Requer ainda a exibição de todos os documentos pertinentes a sua vida funcional em posse da Reclamada, notadamente o contrato individual de trabalho, os controles de jornada, planilhas de compensação de banco de horas, comprovante de pagamento das horas não compensadas de todo o período imprescrito, sob pena de confissão.</w:t>
      </w:r>
    </w:p>
    <w:p w14:paraId="79AC62A9" w14:textId="77777777">
      <w:pPr>
        <w:spacing w:line="276" w:lineRule="auto"/>
        <w:ind w:right="-285"/>
        <w:jc w:val="both"/>
        <w:rPr>
          <w:rFonts w:ascii="Roboto" w:hAnsi="Roboto" w:eastAsia="Arial" w:cs="Arial"/>
          <w:sz w:val="23"/>
          <w:szCs w:val="23"/>
        </w:rPr>
      </w:pPr>
    </w:p>
    <w:p w14:paraId="6551E1FB"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Que o </w:t>
      </w:r>
      <w:r>
        <w:rPr>
          <w:rFonts w:ascii="Roboto" w:hAnsi="Roboto" w:eastAsia="Arial" w:cs="Arial"/>
          <w:i/>
          <w:iCs/>
          <w:sz w:val="23"/>
          <w:szCs w:val="23"/>
        </w:rPr>
        <w:t>quantum debeatur</w:t>
      </w:r>
      <w:r>
        <w:rPr>
          <w:rFonts w:ascii="Roboto" w:hAnsi="Roboto" w:eastAsia="Arial" w:cs="Arial"/>
          <w:sz w:val="23"/>
          <w:szCs w:val="23"/>
        </w:rPr>
        <w:t xml:space="preserve"> seja apurado na fase de liquidação da sentença, com incidência de juros (Lei 8.177/91 e Súmula 200/TST) e correção monetária, observando-se o entendimento das Súmulas 381 e 439, do TST. Isso porque os valores atribuídos a cada um dos pleitos trata-se de meras estimativas, consoante exposto acima.</w:t>
      </w:r>
    </w:p>
    <w:p w14:paraId="11574C4D" w14:textId="77777777">
      <w:pPr>
        <w:spacing w:line="276" w:lineRule="auto"/>
        <w:ind w:right="-285"/>
        <w:jc w:val="both"/>
        <w:rPr>
          <w:rFonts w:ascii="Roboto" w:hAnsi="Roboto" w:eastAsia="Arial" w:cs="Arial"/>
          <w:sz w:val="23"/>
          <w:szCs w:val="23"/>
        </w:rPr>
      </w:pPr>
    </w:p>
    <w:p w14:paraId="5D16F1F3" w14:textId="77777777">
      <w:pPr>
        <w:spacing w:line="276" w:lineRule="auto"/>
        <w:ind w:right="-285"/>
        <w:jc w:val="both"/>
        <w:rPr>
          <w:rFonts w:ascii="Roboto" w:hAnsi="Roboto" w:eastAsia="Arial" w:cs="Arial"/>
          <w:sz w:val="23"/>
          <w:szCs w:val="23"/>
        </w:rPr>
      </w:pPr>
      <w:r>
        <w:rPr>
          <w:rFonts w:ascii="Roboto" w:hAnsi="Roboto" w:eastAsia="Arial" w:cs="Arial"/>
          <w:sz w:val="23"/>
          <w:szCs w:val="23"/>
        </w:rPr>
        <w:t>Após a prolação da r. Sentença, seja ordenada a sua imediata inscrição como Hipoteca Judiciária em registro público para acautelar o credor contra o réu e terceiros, tendo em vista ser efeito automático do decisum, de modo a garantir o efetivo cumprimento da obrigação e efetividade de futura execução, onerando bens do devedor independentemente da sua solvabilidade, nos termos do art. 495 do CPC/15 - aplicado subsidiariamente ao processo do trabalho.</w:t>
      </w:r>
    </w:p>
    <w:p w14:paraId="544CD829" w14:textId="77777777">
      <w:pPr>
        <w:spacing w:line="276" w:lineRule="auto"/>
        <w:ind w:right="-285"/>
        <w:jc w:val="both"/>
        <w:rPr>
          <w:rFonts w:ascii="Roboto" w:hAnsi="Roboto" w:eastAsia="Arial" w:cs="Arial"/>
          <w:sz w:val="23"/>
          <w:szCs w:val="23"/>
        </w:rPr>
      </w:pPr>
    </w:p>
    <w:p w14:paraId="230D716A" w14:textId="77777777">
      <w:pPr>
        <w:spacing w:line="276" w:lineRule="auto"/>
        <w:ind w:right="-285"/>
        <w:jc w:val="both"/>
        <w:rPr>
          <w:rFonts w:ascii="Roboto" w:hAnsi="Roboto" w:eastAsia="Arial" w:cs="Arial"/>
          <w:sz w:val="23"/>
          <w:szCs w:val="23"/>
        </w:rPr>
      </w:pPr>
      <w:r>
        <w:rPr>
          <w:rFonts w:ascii="Roboto" w:hAnsi="Roboto" w:eastAsia="Arial" w:cs="Arial"/>
          <w:sz w:val="23"/>
          <w:szCs w:val="23"/>
        </w:rPr>
        <w:t xml:space="preserve">Requer a juntada dos documentos que acompanham esta peça, bem como, ainda, a produção de todos os meios de prova em direito admitidos, notadamente documental, testemunhal, </w:t>
      </w:r>
      <w:r>
        <w:rPr>
          <w:rFonts w:ascii="Roboto" w:hAnsi="Roboto" w:eastAsia="Arial" w:cs="Arial"/>
          <w:sz w:val="23"/>
          <w:szCs w:val="23"/>
        </w:rPr>
        <w:lastRenderedPageBreak/>
        <w:t>pericial e inclusive depoimento pessoal de preposto da Reclamada, que, desde já, fica expressamente requerido, sob pena de confissão, além da oitiva de testemunhas e juntada posterior de documentos, em prova e contraprova.</w:t>
      </w:r>
    </w:p>
    <w:p w14:paraId="55C4C526" w14:textId="77777777">
      <w:pPr>
        <w:spacing w:line="276" w:lineRule="auto"/>
        <w:ind w:right="-285"/>
        <w:jc w:val="both"/>
        <w:rPr>
          <w:rFonts w:ascii="Roboto" w:hAnsi="Roboto" w:eastAsia="Arial" w:cs="Arial"/>
          <w:sz w:val="23"/>
          <w:szCs w:val="23"/>
        </w:rPr>
      </w:pPr>
    </w:p>
    <w:p w14:paraId="78CC343E" w14:textId="77777777">
      <w:pPr>
        <w:spacing w:line="276" w:lineRule="auto"/>
        <w:ind w:right="-285"/>
        <w:jc w:val="both"/>
        <w:rPr>
          <w:rFonts w:ascii="Roboto" w:hAnsi="Roboto" w:eastAsia="Arial" w:cs="Arial"/>
          <w:sz w:val="23"/>
          <w:szCs w:val="23"/>
        </w:rPr>
      </w:pPr>
      <w:r>
        <w:rPr>
          <w:rFonts w:ascii="Roboto" w:hAnsi="Roboto" w:eastAsia="Arial" w:cs="Arial"/>
          <w:sz w:val="23"/>
          <w:szCs w:val="23"/>
        </w:rPr>
        <w:t>Na oportunidade, o causídico abaixo assinado declara para todos os efeitos legais que os documentos digitalizados juntados aos autos correspondem aos originais em poder do Reclamante, protestando pela apresentação dos mesmos, caso haja impugnação.</w:t>
      </w:r>
    </w:p>
    <w:p w14:paraId="4CFD2EE0" w14:textId="77777777">
      <w:pPr>
        <w:spacing w:line="276" w:lineRule="auto"/>
        <w:ind w:right="-285"/>
        <w:jc w:val="both"/>
        <w:rPr>
          <w:rFonts w:ascii="Roboto" w:hAnsi="Roboto" w:eastAsia="Arial" w:cs="Arial"/>
          <w:sz w:val="23"/>
          <w:szCs w:val="23"/>
        </w:rPr>
      </w:pPr>
    </w:p>
    <w:p w14:paraId="4357D9FC" w14:textId="77777777">
      <w:pPr>
        <w:spacing w:line="276" w:lineRule="auto"/>
        <w:ind w:right="-285"/>
        <w:jc w:val="both"/>
      </w:pPr>
      <w:r>
        <w:rPr>
          <w:rFonts w:ascii="Roboto" w:hAnsi="Roboto" w:eastAsia="Arial" w:cs="Arial"/>
          <w:sz w:val="23"/>
          <w:szCs w:val="23"/>
        </w:rPr>
        <w:t xml:space="preserve">Finalmente, requer-se, sob pena de nulidade, que as publicações e/ou intimações referentes ao presente feito sejam exclusivamente lançadas em nome de seu Patrono </w:t>
      </w:r>
      <w:r>
        <w:rPr>
          <w:rFonts w:ascii="Roboto" w:hAnsi="Roboto" w:eastAsia="Arial" w:cs="Arial"/>
          <w:b/>
          <w:bCs/>
          <w:sz w:val="23"/>
          <w:szCs w:val="23"/>
        </w:rPr>
        <w:t>LUIZ FERNANDO GARCIA LANDEIRO</w:t>
      </w:r>
      <w:r>
        <w:rPr>
          <w:rFonts w:ascii="Roboto" w:hAnsi="Roboto" w:eastAsia="Arial" w:cs="Arial"/>
          <w:sz w:val="23"/>
          <w:szCs w:val="23"/>
        </w:rPr>
        <w:t>, com inscrição principal na OAB/BA</w:t>
      </w:r>
      <w:r>
        <w:rPr>
          <w:rFonts w:ascii="Roboto" w:hAnsi="Roboto" w:eastAsia="Arial" w:cs="Arial"/>
          <w:color w:val="FF0000"/>
          <w:sz w:val="23"/>
          <w:szCs w:val="23"/>
        </w:rPr>
        <w:t xml:space="preserve"> </w:t>
      </w:r>
      <w:r>
        <w:rPr>
          <w:rFonts w:ascii="Roboto" w:hAnsi="Roboto" w:eastAsia="Arial" w:cs="Arial"/>
          <w:sz w:val="23"/>
          <w:szCs w:val="23"/>
        </w:rPr>
        <w:t>nº 16.911</w:t>
      </w:r>
      <w:r>
        <w:rPr>
          <w:rFonts w:ascii="Roboto" w:hAnsi="Roboto" w:eastAsia="Arial" w:cs="Arial"/>
          <w:color w:val="FF0000"/>
          <w:sz w:val="23"/>
          <w:szCs w:val="23"/>
        </w:rPr>
        <w:t xml:space="preserve"> </w:t>
      </w:r>
      <w:r>
        <w:rPr>
          <w:rFonts w:ascii="Roboto" w:hAnsi="Roboto" w:eastAsia="Arial" w:cs="Arial"/>
          <w:sz w:val="23"/>
          <w:szCs w:val="23"/>
        </w:rPr>
        <w:t xml:space="preserve">com endereço para as intimações de praxe no rodapé desta página e </w:t>
      </w:r>
    </w:p>
    <w:p w14:paraId="27FC270F" w14:textId="2C11D652">
      <w:pPr>
        <w:spacing w:line="276" w:lineRule="auto"/>
        <w:ind w:right="-285"/>
        <w:jc w:val="both"/>
        <w:rPr>
          <w:rFonts w:ascii="Roboto" w:hAnsi="Roboto" w:eastAsia="Arial" w:cs="Arial"/>
          <w:sz w:val="23"/>
          <w:szCs w:val="23"/>
        </w:rPr>
      </w:pPr>
      <w:hyperlink r:id="rId11">
        <w:r>
          <w:rPr>
            <w:rStyle w:val="Hiperligao"/>
            <w:rFonts w:ascii="Roboto" w:hAnsi="Roboto" w:eastAsia="Arial" w:cs="Arial"/>
            <w:sz w:val="23"/>
            <w:szCs w:val="23"/>
          </w:rPr>
          <w:t>contato@glcmadv.com.br</w:t>
        </w:r>
      </w:hyperlink>
      <w:r>
        <w:rPr>
          <w:rFonts w:ascii="Roboto" w:hAnsi="Roboto" w:eastAsia="Arial" w:cs="Arial"/>
          <w:sz w:val="23"/>
          <w:szCs w:val="23"/>
        </w:rPr>
        <w:t xml:space="preserve"> .</w:t>
      </w:r>
    </w:p>
    <w:p w14:paraId="0F734291" w14:textId="77777777">
      <w:pPr>
        <w:spacing w:line="276" w:lineRule="auto"/>
        <w:ind w:right="-285"/>
        <w:jc w:val="both"/>
        <w:rPr>
          <w:rFonts w:ascii="Roboto" w:hAnsi="Roboto" w:eastAsia="Arial" w:cs="Arial"/>
          <w:sz w:val="23"/>
          <w:szCs w:val="23"/>
        </w:rPr>
      </w:pPr>
    </w:p>
    <w:p w14:paraId="53CD7F87" w14:textId="77777777">
      <w:pPr>
        <w:spacing w:line="276" w:lineRule="auto"/>
        <w:ind w:right="-285"/>
        <w:jc w:val="both"/>
        <w:rPr>
          <w:rFonts w:ascii="Roboto" w:hAnsi="Roboto" w:eastAsia="Arial" w:cs="Arial"/>
          <w:sz w:val="23"/>
          <w:szCs w:val="23"/>
        </w:rPr>
      </w:pPr>
      <w:r>
        <w:rPr>
          <w:rFonts w:ascii="Roboto" w:hAnsi="Roboto" w:eastAsia="Arial" w:cs="Arial"/>
          <w:sz w:val="23"/>
          <w:szCs w:val="23"/>
        </w:rPr>
        <w:t>Dá-se à causa o valor de R$ 64.900,00 (sessenta e quatro mil e novecentos reais) para todos os efeitos legais.</w:t>
      </w:r>
    </w:p>
    <w:p w14:paraId="0DA2497E" w14:textId="77777777">
      <w:pPr>
        <w:spacing w:line="276" w:lineRule="auto"/>
        <w:ind w:right="-285"/>
        <w:jc w:val="both"/>
        <w:rPr>
          <w:rFonts w:ascii="Roboto" w:hAnsi="Roboto" w:eastAsia="Arial" w:cs="Arial"/>
          <w:sz w:val="23"/>
          <w:szCs w:val="23"/>
        </w:rPr>
      </w:pPr>
    </w:p>
    <w:p w14:paraId="3BF2A51C" w14:textId="61248166">
      <w:pPr>
        <w:spacing w:line="276" w:lineRule="auto"/>
        <w:ind w:right="-285"/>
        <w:jc w:val="both"/>
        <w:rPr>
          <w:rFonts w:ascii="Roboto" w:hAnsi="Roboto" w:eastAsia="Arial" w:cs="Arial"/>
          <w:sz w:val="23"/>
          <w:szCs w:val="23"/>
        </w:rPr>
      </w:pPr>
      <w:r>
        <w:rPr>
          <w:rFonts w:ascii="Roboto" w:hAnsi="Roboto" w:eastAsia="Arial" w:cs="Arial"/>
          <w:sz w:val="23"/>
          <w:szCs w:val="23"/>
        </w:rPr>
        <w:t xml:space="preserve">Nestes termos, </w:t>
      </w:r>
    </w:p>
    <w:p w14:paraId="22CA6B21" w14:textId="77777777">
      <w:pPr>
        <w:spacing w:line="276" w:lineRule="auto"/>
        <w:ind w:right="-285"/>
        <w:jc w:val="both"/>
        <w:rPr>
          <w:rFonts w:ascii="Roboto" w:hAnsi="Roboto" w:eastAsia="Arial" w:cs="Arial"/>
          <w:sz w:val="23"/>
          <w:szCs w:val="23"/>
        </w:rPr>
      </w:pPr>
      <w:r>
        <w:rPr>
          <w:rFonts w:ascii="Roboto" w:hAnsi="Roboto" w:eastAsia="Arial" w:cs="Arial"/>
          <w:sz w:val="23"/>
          <w:szCs w:val="23"/>
        </w:rPr>
        <w:t>Pede e espera deferimento.</w:t>
      </w:r>
    </w:p>
    <w:p w14:paraId="4A7C8537" w14:textId="77777777">
      <w:pPr>
        <w:spacing w:line="276" w:lineRule="auto"/>
        <w:ind w:right="-285"/>
        <w:jc w:val="both"/>
        <w:rPr>
          <w:rFonts w:ascii="Roboto" w:hAnsi="Roboto" w:eastAsia="Arial" w:cs="Arial"/>
          <w:sz w:val="23"/>
          <w:szCs w:val="23"/>
          <w:highlight w:val="yellow"/>
        </w:rPr>
      </w:pPr>
    </w:p>
    <w:p w14:paraId="260F599C" w14:textId="293F366F">
      <w:pPr>
        <w:spacing w:line="276" w:lineRule="auto"/>
        <w:ind w:right="-285"/>
        <w:jc w:val="both"/>
        <w:rPr>
          <w:rFonts w:ascii="Roboto" w:hAnsi="Roboto" w:eastAsia="Arial" w:cs="Arial"/>
          <w:sz w:val="23"/>
          <w:szCs w:val="23"/>
        </w:rPr>
      </w:pPr>
      <w:r>
        <w:rPr>
          <w:rFonts w:ascii="Roboto" w:hAnsi="Roboto" w:eastAsia="Arial" w:cs="Arial"/>
          <w:sz w:val="23"/>
          <w:szCs w:val="23"/>
        </w:rPr>
        <w:t xml:space="preserve">Camaçari/BA, </w:t>
      </w:r>
      <w:r>
        <w:rPr>
          <w:rFonts w:ascii="Roboto" w:hAnsi="Roboto" w:eastAsia="Arial" w:cs="Arial"/>
          <w:sz w:val="23"/>
          <w:szCs w:val="23"/>
        </w:rPr>
        <w:t>1º</w:t>
      </w:r>
      <w:r>
        <w:rPr>
          <w:rFonts w:ascii="Roboto" w:hAnsi="Roboto" w:eastAsia="Arial" w:cs="Arial"/>
          <w:sz w:val="23"/>
          <w:szCs w:val="23"/>
        </w:rPr>
        <w:t xml:space="preserve"> de </w:t>
      </w:r>
      <w:r>
        <w:rPr>
          <w:rFonts w:ascii="Roboto" w:hAnsi="Roboto" w:eastAsia="Arial" w:cs="Arial"/>
          <w:sz w:val="23"/>
          <w:szCs w:val="23"/>
        </w:rPr>
        <w:t>julho</w:t>
      </w:r>
      <w:bookmarkStart w:name="_GoBack" w:id="2"/>
      <w:bookmarkEnd w:id="2"/>
      <w:r>
        <w:rPr>
          <w:rFonts w:ascii="Roboto" w:hAnsi="Roboto" w:eastAsia="Arial" w:cs="Arial"/>
          <w:sz w:val="23"/>
          <w:szCs w:val="23"/>
        </w:rPr>
        <w:t xml:space="preserve"> de 2026.</w:t>
      </w:r>
    </w:p>
    <w:p w14:paraId="35ED8C37" w14:textId="77777777">
      <w:pPr>
        <w:spacing w:line="276" w:lineRule="auto"/>
        <w:ind w:right="-285"/>
        <w:jc w:val="both"/>
        <w:rPr>
          <w:rFonts w:ascii="Roboto" w:hAnsi="Roboto" w:eastAsia="Arial" w:cs="Arial"/>
          <w:b/>
          <w:bCs/>
          <w:sz w:val="23"/>
          <w:szCs w:val="23"/>
        </w:rPr>
      </w:pPr>
    </w:p>
    <w:p w14:paraId="7528EBF3" w14:textId="77777777">
      <w:pPr>
        <w:spacing w:line="276" w:lineRule="auto"/>
        <w:ind w:right="-285"/>
        <w:jc w:val="both"/>
        <w:rPr>
          <w:rFonts w:ascii="Roboto" w:hAnsi="Roboto" w:eastAsia="Arial" w:cs="Arial"/>
          <w:b/>
          <w:bCs/>
          <w:sz w:val="23"/>
          <w:szCs w:val="23"/>
        </w:rPr>
      </w:pPr>
      <w:r>
        <w:rPr>
          <w:rFonts w:ascii="Roboto" w:hAnsi="Roboto" w:eastAsia="Arial" w:cs="Arial"/>
          <w:b/>
          <w:bCs/>
          <w:sz w:val="23"/>
          <w:szCs w:val="23"/>
        </w:rPr>
        <w:t>LUIZ FERNANDO GARCIA LANDEIRO</w:t>
      </w:r>
    </w:p>
    <w:p w14:paraId="3DF0BE8A" w14:textId="77777777">
      <w:pPr>
        <w:spacing w:line="276" w:lineRule="auto"/>
        <w:ind w:right="-285"/>
        <w:jc w:val="both"/>
        <w:rPr>
          <w:rFonts w:ascii="Roboto" w:hAnsi="Roboto" w:eastAsia="Arial" w:cs="Arial"/>
          <w:b/>
          <w:bCs/>
          <w:sz w:val="23"/>
          <w:szCs w:val="23"/>
        </w:rPr>
      </w:pPr>
      <w:r>
        <w:rPr>
          <w:rFonts w:ascii="Roboto" w:hAnsi="Roboto" w:eastAsia="Arial" w:cs="Arial"/>
          <w:b/>
          <w:bCs/>
          <w:sz w:val="23"/>
          <w:szCs w:val="23"/>
        </w:rPr>
        <w:t>OAB/BA 16.911</w:t>
      </w:r>
    </w:p>
    <w:sectPr>
      <w:headerReference w:type="default" r:id="rId12"/>
      <w:footerReference w:type="default" r:id="rId13"/>
      <w:pgSz w:w="11906" w:h="16838" w:orient="portrait"/>
      <w:pgMar w:top="1601" w:right="141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A18C8E" w14:textId="77777777">
      <w:pPr>
        <w:spacing w:line="240" w:lineRule="auto"/>
      </w:pPr>
      <w:r>
        <w:separator/>
      </w:r>
    </w:p>
  </w:endnote>
  <w:endnote w:type="continuationSeparator" w:id="0">
    <w:p w14:paraId="43E6F86B" w14:textId="77777777">
      <w:pPr>
        <w:spacing w:line="240" w:lineRule="auto"/>
      </w:pPr>
      <w:r>
        <w:continuationSeparator/>
      </w:r>
    </w:p>
  </w:endnote>
  <w:endnote w:type="continuationNotice" w:id="1">
    <w:p w14:paraId="1A3B99F5"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57EE7" w14:textId="77777777">
    <w:pPr>
      <w:spacing w:line="240" w:lineRule="auto"/>
      <w:jc w:val="both"/>
      <w:rPr>
        <w:rFonts w:ascii="Calibri" w:hAnsi="Calibri" w:eastAsia="Calibri" w:cs="Calibri"/>
        <w:color w:val="000000" w:themeColor="text1"/>
        <w:sz w:val="20"/>
        <w:szCs w:val="20"/>
      </w:rPr>
    </w:pPr>
    <w:r>
      <w:rPr>
        <w:rFonts w:ascii="Calibri" w:hAnsi="Calibri" w:eastAsia="Calibri" w:cs="Calibri"/>
        <w:color w:val="000000" w:themeColor="text1"/>
        <w:sz w:val="20"/>
        <w:szCs w:val="20"/>
      </w:rPr>
      <w:t>Av. Tancredo Neves, nº 2.539 - Edf. CEO Salvador Shopping - Torre Londres - Conj. 2901</w:t>
    </w:r>
  </w:p>
  <w:p w14:paraId="2382519D" w14:textId="77777777">
    <w:pPr>
      <w:spacing w:line="240" w:lineRule="auto"/>
      <w:jc w:val="both"/>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Salvador - Bahia CEP 41820-021 - Telefone: (71) </w:t>
    </w:r>
    <w:r>
      <w:rPr>
        <w:rFonts w:ascii="Calibri" w:hAnsi="Calibri" w:eastAsia="Calibri" w:cs="Calibri"/>
        <w:color w:val="000000" w:themeColor="text1"/>
        <w:sz w:val="20"/>
        <w:szCs w:val="20"/>
      </w:rPr>
      <w:t>99628-4018</w:t>
    </w:r>
  </w:p>
  <w:p w14:paraId="5981CAE0" w14:textId="77777777">
    <w:pPr>
      <w:spacing w:line="240" w:lineRule="auto"/>
      <w:jc w:val="both"/>
      <w:rPr>
        <w:rFonts w:ascii="Calibri" w:hAnsi="Calibri" w:eastAsia="Calibri" w:cs="Calibri"/>
        <w:color w:val="000000" w:themeColor="text1"/>
        <w:sz w:val="20"/>
        <w:szCs w:val="20"/>
      </w:rPr>
    </w:pPr>
    <w:hyperlink w:history="1" r:id="rId1">
      <w:r>
        <w:rPr>
          <w:rStyle w:val="Hiperligao"/>
          <w:rFonts w:ascii="Calibri" w:hAnsi="Calibri" w:eastAsia="Calibri" w:cs="Calibri"/>
          <w:sz w:val="20"/>
          <w:szCs w:val="20"/>
        </w:rPr>
        <w:t>contato@glcmadv.com.br</w:t>
      </w:r>
    </w:hyperlink>
    <w:r>
      <w:rPr>
        <w:rFonts w:ascii="Calibri" w:hAnsi="Calibri" w:eastAsia="Calibri" w:cs="Calibri"/>
        <w:color w:val="000000" w:themeColor="text1"/>
        <w:sz w:val="20"/>
        <w:szCs w:val="20"/>
      </w:rPr>
      <w:t xml:space="preserve">  - </w:t>
    </w:r>
    <w:hyperlink w:history="1" r:id="rId2">
      <w:r>
        <w:rPr>
          <w:rStyle w:val="Hiperligao"/>
          <w:rFonts w:ascii="Calibri" w:hAnsi="Calibri" w:eastAsia="Calibri" w:cs="Calibri"/>
          <w:sz w:val="20"/>
          <w:szCs w:val="20"/>
        </w:rPr>
        <w:t>www.glcmadv.com.br</w:t>
      </w:r>
    </w:hyperlink>
  </w:p>
  <w:p w14:paraId="6350E138" w14:textId="77777777">
    <w:pPr>
      <w:tabs>
        <w:tab w:val="center" w:pos="4252"/>
        <w:tab w:val="right" w:pos="8504"/>
      </w:tabs>
      <w:spacing w:line="240" w:lineRule="auto"/>
      <w:jc w:val="both"/>
      <w:rPr>
        <w:rFonts w:ascii="Calibri" w:hAnsi="Calibri" w:eastAsia="Calibri" w:cs="Calibri"/>
        <w:color w:val="000000" w:themeColor="text1"/>
        <w:sz w:val="22"/>
      </w:rPr>
    </w:pPr>
  </w:p>
  <w:sdt>
    <w:sdtPr>
      <w:rPr>
        <w:sz w:val="20"/>
        <w:szCs w:val="20"/>
      </w:rPr>
      <w:id w:val="-1226758153"/>
      <w:docPartObj>
        <w:docPartGallery w:val="Page Numbers (Bottom of Page)"/>
        <w:docPartUnique/>
      </w:docPartObj>
    </w:sdtPr>
    <w:sdtEndPr>
      <w:rPr>
        <w:sz w:val="20"/>
        <w:szCs w:val="20"/>
      </w:rPr>
    </w:sdtEndPr>
    <w:sdtContent>
      <w:sdt>
        <w:sdtPr>
          <w:rPr>
            <w:sz w:val="20"/>
            <w:szCs w:val="20"/>
          </w:rPr>
          <w:id w:val="-1769616900"/>
          <w:docPartObj>
            <w:docPartGallery w:val="Page Numbers (Top of Page)"/>
            <w:docPartUnique/>
          </w:docPartObj>
        </w:sdtPr>
        <w:sdtEndPr>
          <w:rPr>
            <w:sz w:val="20"/>
            <w:szCs w:val="20"/>
          </w:rPr>
        </w:sdtEndPr>
        <w:sdtContent>
          <w:p w14:paraId="30DD0620" w14:textId="0FA4A754">
            <w:pPr>
              <w:pStyle w:val="Rodap"/>
              <w:jc w:val="right"/>
              <w:rPr>
                <w:sz w:val="20"/>
                <w:szCs w:val="20"/>
              </w:rPr>
            </w:pPr>
            <w:r>
              <w:rPr>
                <w:sz w:val="20"/>
                <w:szCs w:val="20"/>
              </w:rPr>
              <w:t xml:space="preserve">Página </w:t>
            </w:r>
            <w:r>
              <w:rPr>
                <w:b/>
                <w:bCs/>
                <w:sz w:val="20"/>
                <w:szCs w:val="20"/>
              </w:rPr>
              <w:fldChar w:fldCharType="begin"/>
            </w:r>
            <w:r>
              <w:rPr>
                <w:b/>
                <w:bCs/>
                <w:sz w:val="20"/>
                <w:szCs w:val="20"/>
              </w:rPr>
              <w:instrText>PAGE</w:instrText>
            </w:r>
            <w:r>
              <w:rPr>
                <w:b/>
                <w:bCs/>
                <w:sz w:val="20"/>
                <w:szCs w:val="20"/>
              </w:rPr>
              <w:fldChar w:fldCharType="separate"/>
            </w:r>
            <w:r>
              <w:rPr>
                <w:b/>
                <w:bCs/>
                <w:noProof/>
                <w:sz w:val="20"/>
                <w:szCs w:val="20"/>
              </w:rPr>
              <w:t>1</w:t>
            </w:r>
            <w:r>
              <w:rPr>
                <w:b/>
                <w:bCs/>
                <w:sz w:val="20"/>
                <w:szCs w:val="20"/>
              </w:rPr>
              <w:fldChar w:fldCharType="end"/>
            </w:r>
            <w:r>
              <w:rPr>
                <w:sz w:val="20"/>
                <w:szCs w:val="20"/>
              </w:rPr>
              <w:t xml:space="preserve"> de </w:t>
            </w:r>
            <w:r>
              <w:rPr>
                <w:b/>
                <w:bCs/>
                <w:sz w:val="20"/>
                <w:szCs w:val="20"/>
              </w:rPr>
              <w:fldChar w:fldCharType="begin"/>
            </w:r>
            <w:r>
              <w:rPr>
                <w:b/>
                <w:bCs/>
                <w:sz w:val="20"/>
                <w:szCs w:val="20"/>
              </w:rPr>
              <w:instrText>NUMPAGES</w:instrText>
            </w:r>
            <w:r>
              <w:rPr>
                <w:b/>
                <w:bCs/>
                <w:sz w:val="20"/>
                <w:szCs w:val="20"/>
              </w:rPr>
              <w:fldChar w:fldCharType="separate"/>
            </w:r>
            <w:r>
              <w:rPr>
                <w:b/>
                <w:bCs/>
                <w:noProof/>
                <w:sz w:val="20"/>
                <w:szCs w:val="20"/>
              </w:rPr>
              <w:t>16</w:t>
            </w:r>
            <w:r>
              <w:rPr>
                <w:b/>
                <w:bCs/>
                <w:sz w:val="20"/>
                <w:szCs w:val="20"/>
              </w:rPr>
              <w:fldChar w:fldCharType="end"/>
            </w:r>
          </w:p>
        </w:sdtContent>
      </w:sdt>
    </w:sdtContent>
  </w:sdt>
  <w:p w14:paraId="2A40B8DE" w14:textId="77777777">
    <w:pPr>
      <w:pStyle w:val="Rodap"/>
      <w:ind w:firstLine="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9D5F5" w14:textId="77777777">
      <w:pPr>
        <w:spacing w:line="240" w:lineRule="auto"/>
      </w:pPr>
      <w:r>
        <w:separator/>
      </w:r>
    </w:p>
  </w:footnote>
  <w:footnote w:type="continuationSeparator" w:id="0">
    <w:p w14:paraId="7BFFFB54" w14:textId="77777777">
      <w:pPr>
        <w:spacing w:line="240" w:lineRule="auto"/>
      </w:pPr>
      <w:r>
        <w:continuationSeparator/>
      </w:r>
    </w:p>
  </w:footnote>
  <w:footnote w:type="continuationNotice" w:id="1">
    <w:p w14:paraId="5A0C17BB" w14:textId="77777777">
      <w:pPr>
        <w:spacing w:line="240" w:lineRule="auto"/>
      </w:pPr>
    </w:p>
  </w:footnote>
  <w:footnote w:id="2">
    <w:p w14:paraId="7B04E808" w14:textId="77777777">
      <w:pPr>
        <w:pStyle w:val="Textodenotaderodap"/>
        <w:rPr>
          <w:rFonts w:ascii="Arial" w:hAnsi="Arial" w:cs="Arial"/>
          <w:sz w:val="18"/>
          <w:szCs w:val="18"/>
        </w:rPr>
      </w:pPr>
      <w:r>
        <w:rPr>
          <w:rStyle w:val="Refdenotaderodap"/>
          <w:rFonts w:ascii="Arial" w:hAnsi="Arial" w:cs="Arial"/>
          <w:sz w:val="18"/>
          <w:szCs w:val="18"/>
        </w:rPr>
        <w:footnoteRef/>
      </w:r>
      <w:r>
        <w:rPr>
          <w:rFonts w:ascii="Arial" w:hAnsi="Arial" w:cs="Arial"/>
          <w:sz w:val="18"/>
          <w:szCs w:val="18"/>
        </w:rPr>
        <w:t xml:space="preserve"> Art. 324. O pedido deve ser determinado.</w:t>
      </w:r>
    </w:p>
    <w:p w14:paraId="06467378" w14:textId="77777777">
      <w:pPr>
        <w:pStyle w:val="Textodenotaderodap"/>
        <w:rPr>
          <w:rFonts w:ascii="Arial" w:hAnsi="Arial" w:cs="Arial"/>
          <w:sz w:val="18"/>
          <w:szCs w:val="18"/>
        </w:rPr>
      </w:pPr>
    </w:p>
    <w:p w14:paraId="57C8801C" w14:textId="77777777">
      <w:pPr>
        <w:pStyle w:val="Textodenotaderodap"/>
        <w:rPr>
          <w:rFonts w:ascii="Arial" w:hAnsi="Arial" w:cs="Arial"/>
          <w:sz w:val="18"/>
          <w:szCs w:val="18"/>
        </w:rPr>
      </w:pPr>
      <w:r>
        <w:rPr>
          <w:rFonts w:ascii="Arial" w:hAnsi="Arial" w:cs="Arial"/>
          <w:sz w:val="18"/>
          <w:szCs w:val="18"/>
        </w:rPr>
        <w:t>§ 1º É lícito, porém, formular pedido genérico:</w:t>
      </w:r>
    </w:p>
    <w:p w14:paraId="41E790E2" w14:textId="77777777">
      <w:pPr>
        <w:pStyle w:val="Textodenotaderodap"/>
        <w:rPr>
          <w:rFonts w:ascii="Arial" w:hAnsi="Arial" w:cs="Arial"/>
          <w:sz w:val="18"/>
          <w:szCs w:val="18"/>
        </w:rPr>
      </w:pPr>
    </w:p>
    <w:p w14:paraId="6BADF85A" w14:textId="77777777">
      <w:pPr>
        <w:pStyle w:val="Textodenotaderodap"/>
      </w:pPr>
      <w:r>
        <w:rPr>
          <w:rFonts w:ascii="Arial" w:hAnsi="Arial" w:cs="Arial"/>
          <w:sz w:val="18"/>
          <w:szCs w:val="18"/>
        </w:rPr>
        <w:t>III - quando a determinação do objeto ou do valor da condenação depender de ato que deva ser praticado pelo réu</w:t>
      </w:r>
      <w:r>
        <w:t>.</w:t>
      </w:r>
    </w:p>
  </w:footnote>
  <w:footnote w:id="3">
    <w:p w14:paraId="0C1D9520" w14:textId="77777777">
      <w:pPr>
        <w:pStyle w:val="Textodenotaderodap"/>
      </w:pPr>
      <w:r>
        <w:rPr>
          <w:rStyle w:val="Refdenotaderodap"/>
        </w:rPr>
        <w:footnoteRef/>
      </w:r>
      <w:r>
        <w:t xml:space="preserve"> </w:t>
      </w:r>
      <w:r>
        <w:t xml:space="preserve">Sentença </w:t>
      </w:r>
      <w:r>
        <w:t>RT n.</w:t>
      </w:r>
      <w:r>
        <w:t xml:space="preserve"> 010</w:t>
      </w:r>
      <w:r>
        <w:t>0291-09.2021.5.01.0005</w:t>
      </w:r>
      <w:r>
        <w:t xml:space="preserve"> (</w:t>
      </w:r>
      <w:r>
        <w:t>id. 3a23b2f, págs. 7 e 8</w:t>
      </w:r>
      <w:r>
        <w:t xml:space="preserve">) </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p14">
  <w:p w14:paraId="12420949" w14:textId="77777777">
    <w:pPr>
      <w:tabs>
        <w:tab w:val="center" w:pos="4252"/>
        <w:tab w:val="right" w:pos="8504"/>
      </w:tabs>
      <w:spacing w:line="240" w:lineRule="auto"/>
      <w:jc w:val="center"/>
    </w:pPr>
  </w:p>
  <w:p w14:paraId="0A6AEF4B" w14:textId="77777777">
    <w:pPr>
      <w:pStyle w:val="Cabealho"/>
      <w:ind w:firstLine="0"/>
      <w:jc w:val="right"/>
    </w:pPr>
    <w:r>
      <w:rPr>
        <w:noProof/>
        <w:lang w:eastAsia="pt-BR"/>
      </w:rPr>
      <w:drawing>
        <wp:inline distT="0" distB="0" distL="0" distR="0" wp14:anchorId="7680F8DD" wp14:editId="4CD83A3C">
          <wp:extent cx="1368152" cy="1224136"/>
          <wp:effectExtent l="0" t="0" r="3810" b="0"/>
          <wp:docPr id="225234101" name="Imagem 225234101" descr="Texto  Descrição gerada automaticamente">
            <a:extLst xmlns:a="http://schemas.openxmlformats.org/drawingml/2006/main">
              <a:ext uri="{FF2B5EF4-FFF2-40B4-BE49-F238E27FC236}">
                <a16:creationId xmlns:a16="http://schemas.microsoft.com/office/drawing/2014/main" id="{8E3DE268-10BD-44C8-BEED-7E015FE07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Texto  Descrição gerada automaticamente">
                    <a:extLst>
                      <a:ext uri="{FF2B5EF4-FFF2-40B4-BE49-F238E27FC236}">
                        <a16:creationId xmlns:a16="http://schemas.microsoft.com/office/drawing/2014/main" id="{8E3DE268-10BD-44C8-BEED-7E015FE0785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8152" cy="122413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oAjARl6v" int2:invalidationBookmarkName="" int2:hashCode="xYxFuownk1eM42" int2:id="BHtrWnTf">
      <int2:state int2:value="Rejected" int2:type="spell"/>
    </int2:bookmark>
    <int2:bookmark int2:bookmarkName="_Int_o4gtkNak" int2:invalidationBookmarkName="" int2:hashCode="Ca8818vyJbeuao" int2:id="Dasvfrj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00E45"/>
    <w:multiLevelType w:val="hybridMultilevel"/>
    <w:tmpl w:val="1416DF5C"/>
    <w:lvl w:ilvl="0" w:tplc="FBDCDEEE">
      <w:start w:val="1"/>
      <w:numFmt w:val="upp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0CB65723"/>
    <w:multiLevelType w:val="multilevel"/>
    <w:tmpl w:val="78BAF632"/>
    <w:lvl w:ilvl="0">
      <w:start w:val="1"/>
      <w:numFmt w:val="decimal"/>
      <w:lvlText w:val="%1."/>
      <w:lvlJc w:val="left"/>
      <w:pPr>
        <w:ind w:left="1800" w:hanging="360"/>
      </w:pPr>
      <w:rPr>
        <w:rFonts w:hint="default"/>
        <w:b/>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2" w15:restartNumberingAfterBreak="0">
    <w:nsid w:val="10583F46"/>
    <w:multiLevelType w:val="hybridMultilevel"/>
    <w:tmpl w:val="464A1094"/>
    <w:lvl w:ilvl="0" w:tplc="71B00070">
      <w:start w:val="1"/>
      <w:numFmt w:val="lowerRoman"/>
      <w:lvlText w:val="%1."/>
      <w:lvlJc w:val="left"/>
      <w:pPr>
        <w:ind w:left="1211" w:hanging="360"/>
      </w:pPr>
    </w:lvl>
    <w:lvl w:ilvl="1" w:tplc="188E5CC0">
      <w:start w:val="1"/>
      <w:numFmt w:val="lowerLetter"/>
      <w:lvlText w:val="%2."/>
      <w:lvlJc w:val="left"/>
      <w:pPr>
        <w:ind w:left="1931" w:hanging="360"/>
      </w:pPr>
    </w:lvl>
    <w:lvl w:ilvl="2" w:tplc="A36CDDB8">
      <w:start w:val="1"/>
      <w:numFmt w:val="lowerRoman"/>
      <w:lvlText w:val="%3."/>
      <w:lvlJc w:val="right"/>
      <w:pPr>
        <w:ind w:left="2651" w:hanging="180"/>
      </w:pPr>
    </w:lvl>
    <w:lvl w:ilvl="3" w:tplc="6D7EF4D6">
      <w:start w:val="1"/>
      <w:numFmt w:val="decimal"/>
      <w:lvlText w:val="%4."/>
      <w:lvlJc w:val="left"/>
      <w:pPr>
        <w:ind w:left="3371" w:hanging="360"/>
      </w:pPr>
    </w:lvl>
    <w:lvl w:ilvl="4" w:tplc="5EA443D8">
      <w:start w:val="1"/>
      <w:numFmt w:val="lowerLetter"/>
      <w:lvlText w:val="%5."/>
      <w:lvlJc w:val="left"/>
      <w:pPr>
        <w:ind w:left="4091" w:hanging="360"/>
      </w:pPr>
    </w:lvl>
    <w:lvl w:ilvl="5" w:tplc="3DA66EE2">
      <w:start w:val="1"/>
      <w:numFmt w:val="lowerRoman"/>
      <w:lvlText w:val="%6."/>
      <w:lvlJc w:val="right"/>
      <w:pPr>
        <w:ind w:left="4811" w:hanging="180"/>
      </w:pPr>
    </w:lvl>
    <w:lvl w:ilvl="6" w:tplc="4C68B498">
      <w:start w:val="1"/>
      <w:numFmt w:val="decimal"/>
      <w:lvlText w:val="%7."/>
      <w:lvlJc w:val="left"/>
      <w:pPr>
        <w:ind w:left="5531" w:hanging="360"/>
      </w:pPr>
    </w:lvl>
    <w:lvl w:ilvl="7" w:tplc="BBAC6122">
      <w:start w:val="1"/>
      <w:numFmt w:val="lowerLetter"/>
      <w:lvlText w:val="%8."/>
      <w:lvlJc w:val="left"/>
      <w:pPr>
        <w:ind w:left="6251" w:hanging="360"/>
      </w:pPr>
    </w:lvl>
    <w:lvl w:ilvl="8" w:tplc="D4ECDBB0">
      <w:start w:val="1"/>
      <w:numFmt w:val="lowerRoman"/>
      <w:lvlText w:val="%9."/>
      <w:lvlJc w:val="right"/>
      <w:pPr>
        <w:ind w:left="6971" w:hanging="180"/>
      </w:pPr>
    </w:lvl>
  </w:abstractNum>
  <w:abstractNum w:abstractNumId="3" w15:restartNumberingAfterBreak="0">
    <w:nsid w:val="131E11CD"/>
    <w:multiLevelType w:val="multilevel"/>
    <w:tmpl w:val="78BAF632"/>
    <w:lvl w:ilvl="0">
      <w:start w:val="1"/>
      <w:numFmt w:val="decimal"/>
      <w:lvlText w:val="%1."/>
      <w:lvlJc w:val="left"/>
      <w:pPr>
        <w:ind w:left="1800" w:hanging="360"/>
      </w:pPr>
      <w:rPr>
        <w:rFonts w:hint="default"/>
        <w:b/>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4" w15:restartNumberingAfterBreak="0">
    <w:nsid w:val="278D06E0"/>
    <w:multiLevelType w:val="hybridMultilevel"/>
    <w:tmpl w:val="D1E016E2"/>
    <w:lvl w:ilvl="0" w:tplc="26086C94">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5" w15:restartNumberingAfterBreak="0">
    <w:nsid w:val="3E481630"/>
    <w:multiLevelType w:val="hybridMultilevel"/>
    <w:tmpl w:val="BD24BD9A"/>
    <w:lvl w:ilvl="0" w:tplc="4C607CA2">
      <w:start w:val="1"/>
      <w:numFmt w:val="decimal"/>
      <w:lvlText w:val="%1."/>
      <w:lvlJc w:val="left"/>
      <w:pPr>
        <w:ind w:left="720" w:hanging="360"/>
      </w:pPr>
    </w:lvl>
    <w:lvl w:ilvl="1" w:tplc="F02AFB26">
      <w:start w:val="1"/>
      <w:numFmt w:val="decimal"/>
      <w:lvlText w:val="%2."/>
      <w:lvlJc w:val="left"/>
      <w:pPr>
        <w:ind w:left="1440" w:hanging="360"/>
      </w:pPr>
    </w:lvl>
    <w:lvl w:ilvl="2" w:tplc="ACC81B36">
      <w:start w:val="1"/>
      <w:numFmt w:val="lowerRoman"/>
      <w:lvlText w:val="%3."/>
      <w:lvlJc w:val="right"/>
      <w:pPr>
        <w:ind w:left="2160" w:hanging="180"/>
      </w:pPr>
    </w:lvl>
    <w:lvl w:ilvl="3" w:tplc="36C0B0EA">
      <w:start w:val="1"/>
      <w:numFmt w:val="decimal"/>
      <w:lvlText w:val="%4."/>
      <w:lvlJc w:val="left"/>
      <w:pPr>
        <w:ind w:left="2880" w:hanging="360"/>
      </w:pPr>
    </w:lvl>
    <w:lvl w:ilvl="4" w:tplc="80302744">
      <w:start w:val="1"/>
      <w:numFmt w:val="lowerLetter"/>
      <w:lvlText w:val="%5."/>
      <w:lvlJc w:val="left"/>
      <w:pPr>
        <w:ind w:left="3600" w:hanging="360"/>
      </w:pPr>
    </w:lvl>
    <w:lvl w:ilvl="5" w:tplc="D28E1186">
      <w:start w:val="1"/>
      <w:numFmt w:val="lowerRoman"/>
      <w:lvlText w:val="%6."/>
      <w:lvlJc w:val="right"/>
      <w:pPr>
        <w:ind w:left="4320" w:hanging="180"/>
      </w:pPr>
    </w:lvl>
    <w:lvl w:ilvl="6" w:tplc="8D14CE68">
      <w:start w:val="1"/>
      <w:numFmt w:val="decimal"/>
      <w:lvlText w:val="%7."/>
      <w:lvlJc w:val="left"/>
      <w:pPr>
        <w:ind w:left="5040" w:hanging="360"/>
      </w:pPr>
    </w:lvl>
    <w:lvl w:ilvl="7" w:tplc="160AE0F2">
      <w:start w:val="1"/>
      <w:numFmt w:val="lowerLetter"/>
      <w:lvlText w:val="%8."/>
      <w:lvlJc w:val="left"/>
      <w:pPr>
        <w:ind w:left="5760" w:hanging="360"/>
      </w:pPr>
    </w:lvl>
    <w:lvl w:ilvl="8" w:tplc="434C367C">
      <w:start w:val="1"/>
      <w:numFmt w:val="lowerRoman"/>
      <w:lvlText w:val="%9."/>
      <w:lvlJc w:val="right"/>
      <w:pPr>
        <w:ind w:left="6480" w:hanging="180"/>
      </w:pPr>
    </w:lvl>
  </w:abstractNum>
  <w:abstractNum w:abstractNumId="6" w15:restartNumberingAfterBreak="0">
    <w:nsid w:val="41D29918"/>
    <w:multiLevelType w:val="hybridMultilevel"/>
    <w:tmpl w:val="CD360ACA"/>
    <w:lvl w:ilvl="0" w:tplc="26086C94">
      <w:start w:val="1"/>
      <w:numFmt w:val="bullet"/>
      <w:lvlText w:val=""/>
      <w:lvlJc w:val="left"/>
      <w:pPr>
        <w:ind w:left="720" w:hanging="360"/>
      </w:pPr>
      <w:rPr>
        <w:rFonts w:hint="default" w:ascii="Symbol" w:hAnsi="Symbol"/>
      </w:rPr>
    </w:lvl>
    <w:lvl w:ilvl="1" w:tplc="F9885EA8">
      <w:start w:val="1"/>
      <w:numFmt w:val="bullet"/>
      <w:lvlText w:val="o"/>
      <w:lvlJc w:val="left"/>
      <w:pPr>
        <w:ind w:left="1440" w:hanging="360"/>
      </w:pPr>
      <w:rPr>
        <w:rFonts w:hint="default" w:ascii="Courier New" w:hAnsi="Courier New"/>
      </w:rPr>
    </w:lvl>
    <w:lvl w:ilvl="2" w:tplc="EA4CE574">
      <w:start w:val="1"/>
      <w:numFmt w:val="bullet"/>
      <w:lvlText w:val=""/>
      <w:lvlJc w:val="left"/>
      <w:pPr>
        <w:ind w:left="2160" w:hanging="360"/>
      </w:pPr>
      <w:rPr>
        <w:rFonts w:hint="default" w:ascii="Wingdings" w:hAnsi="Wingdings"/>
      </w:rPr>
    </w:lvl>
    <w:lvl w:ilvl="3" w:tplc="292612CE">
      <w:start w:val="1"/>
      <w:numFmt w:val="bullet"/>
      <w:lvlText w:val=""/>
      <w:lvlJc w:val="left"/>
      <w:pPr>
        <w:ind w:left="2880" w:hanging="360"/>
      </w:pPr>
      <w:rPr>
        <w:rFonts w:hint="default" w:ascii="Symbol" w:hAnsi="Symbol"/>
      </w:rPr>
    </w:lvl>
    <w:lvl w:ilvl="4" w:tplc="D65641B6">
      <w:start w:val="1"/>
      <w:numFmt w:val="bullet"/>
      <w:lvlText w:val="o"/>
      <w:lvlJc w:val="left"/>
      <w:pPr>
        <w:ind w:left="3600" w:hanging="360"/>
      </w:pPr>
      <w:rPr>
        <w:rFonts w:hint="default" w:ascii="Courier New" w:hAnsi="Courier New"/>
      </w:rPr>
    </w:lvl>
    <w:lvl w:ilvl="5" w:tplc="312CDFFA">
      <w:start w:val="1"/>
      <w:numFmt w:val="bullet"/>
      <w:lvlText w:val=""/>
      <w:lvlJc w:val="left"/>
      <w:pPr>
        <w:ind w:left="4320" w:hanging="360"/>
      </w:pPr>
      <w:rPr>
        <w:rFonts w:hint="default" w:ascii="Wingdings" w:hAnsi="Wingdings"/>
      </w:rPr>
    </w:lvl>
    <w:lvl w:ilvl="6" w:tplc="F5D6C2B0">
      <w:start w:val="1"/>
      <w:numFmt w:val="bullet"/>
      <w:lvlText w:val=""/>
      <w:lvlJc w:val="left"/>
      <w:pPr>
        <w:ind w:left="5040" w:hanging="360"/>
      </w:pPr>
      <w:rPr>
        <w:rFonts w:hint="default" w:ascii="Symbol" w:hAnsi="Symbol"/>
      </w:rPr>
    </w:lvl>
    <w:lvl w:ilvl="7" w:tplc="7E84EACA">
      <w:start w:val="1"/>
      <w:numFmt w:val="bullet"/>
      <w:lvlText w:val="o"/>
      <w:lvlJc w:val="left"/>
      <w:pPr>
        <w:ind w:left="5760" w:hanging="360"/>
      </w:pPr>
      <w:rPr>
        <w:rFonts w:hint="default" w:ascii="Courier New" w:hAnsi="Courier New"/>
      </w:rPr>
    </w:lvl>
    <w:lvl w:ilvl="8" w:tplc="C5B8D6D6">
      <w:start w:val="1"/>
      <w:numFmt w:val="bullet"/>
      <w:lvlText w:val=""/>
      <w:lvlJc w:val="left"/>
      <w:pPr>
        <w:ind w:left="6480" w:hanging="360"/>
      </w:pPr>
      <w:rPr>
        <w:rFonts w:hint="default" w:ascii="Wingdings" w:hAnsi="Wingdings"/>
      </w:rPr>
    </w:lvl>
  </w:abstractNum>
  <w:abstractNum w:abstractNumId="7" w15:restartNumberingAfterBreak="0">
    <w:nsid w:val="49323AE1"/>
    <w:multiLevelType w:val="hybridMultilevel"/>
    <w:tmpl w:val="14A20986"/>
    <w:lvl w:ilvl="0" w:tplc="1AE2D28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B80365"/>
    <w:multiLevelType w:val="multilevel"/>
    <w:tmpl w:val="92D8E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6D60778"/>
    <w:multiLevelType w:val="hybridMultilevel"/>
    <w:tmpl w:val="1416DF5C"/>
    <w:lvl w:ilvl="0" w:tplc="FFFFFFFF">
      <w:start w:val="1"/>
      <w:numFmt w:val="upp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0" w15:restartNumberingAfterBreak="0">
    <w:nsid w:val="59962142"/>
    <w:multiLevelType w:val="hybridMultilevel"/>
    <w:tmpl w:val="56FC5B42"/>
    <w:lvl w:ilvl="0" w:tplc="71A8C7DA">
      <w:start w:val="1"/>
      <w:numFmt w:val="upperRoman"/>
      <w:lvlText w:val="%1."/>
      <w:lvlJc w:val="left"/>
      <w:pPr>
        <w:ind w:left="2138" w:hanging="720"/>
      </w:pPr>
      <w:rPr>
        <w:rFonts w:hint="default"/>
        <w:b/>
      </w:rPr>
    </w:lvl>
    <w:lvl w:ilvl="1" w:tplc="04160019">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60B143A1"/>
    <w:multiLevelType w:val="hybridMultilevel"/>
    <w:tmpl w:val="087A97AE"/>
    <w:lvl w:ilvl="0" w:tplc="ED849EDC">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6C842046"/>
    <w:multiLevelType w:val="hybridMultilevel"/>
    <w:tmpl w:val="F87A2814"/>
    <w:lvl w:ilvl="0" w:tplc="F6E20118">
      <w:start w:val="1"/>
      <w:numFmt w:val="bullet"/>
      <w:lvlText w:val=""/>
      <w:lvlJc w:val="left"/>
      <w:pPr>
        <w:ind w:left="720" w:hanging="360"/>
      </w:pPr>
      <w:rPr>
        <w:rFonts w:hint="default" w:ascii="Symbol" w:hAnsi="Symbol"/>
      </w:rPr>
    </w:lvl>
    <w:lvl w:ilvl="1" w:tplc="35186252">
      <w:start w:val="1"/>
      <w:numFmt w:val="bullet"/>
      <w:lvlText w:val="o"/>
      <w:lvlJc w:val="left"/>
      <w:pPr>
        <w:ind w:left="1440" w:hanging="360"/>
      </w:pPr>
      <w:rPr>
        <w:rFonts w:hint="default" w:ascii="Courier New" w:hAnsi="Courier New"/>
      </w:rPr>
    </w:lvl>
    <w:lvl w:ilvl="2" w:tplc="66A427E6">
      <w:start w:val="1"/>
      <w:numFmt w:val="bullet"/>
      <w:lvlText w:val=""/>
      <w:lvlJc w:val="left"/>
      <w:pPr>
        <w:ind w:left="2160" w:hanging="360"/>
      </w:pPr>
      <w:rPr>
        <w:rFonts w:hint="default" w:ascii="Wingdings" w:hAnsi="Wingdings"/>
      </w:rPr>
    </w:lvl>
    <w:lvl w:ilvl="3" w:tplc="0DCEE79E">
      <w:start w:val="1"/>
      <w:numFmt w:val="bullet"/>
      <w:lvlText w:val=""/>
      <w:lvlJc w:val="left"/>
      <w:pPr>
        <w:ind w:left="2880" w:hanging="360"/>
      </w:pPr>
      <w:rPr>
        <w:rFonts w:hint="default" w:ascii="Symbol" w:hAnsi="Symbol"/>
      </w:rPr>
    </w:lvl>
    <w:lvl w:ilvl="4" w:tplc="3A040A9C">
      <w:start w:val="1"/>
      <w:numFmt w:val="bullet"/>
      <w:lvlText w:val="o"/>
      <w:lvlJc w:val="left"/>
      <w:pPr>
        <w:ind w:left="3600" w:hanging="360"/>
      </w:pPr>
      <w:rPr>
        <w:rFonts w:hint="default" w:ascii="Courier New" w:hAnsi="Courier New"/>
      </w:rPr>
    </w:lvl>
    <w:lvl w:ilvl="5" w:tplc="40CE812E">
      <w:start w:val="1"/>
      <w:numFmt w:val="bullet"/>
      <w:lvlText w:val=""/>
      <w:lvlJc w:val="left"/>
      <w:pPr>
        <w:ind w:left="4320" w:hanging="360"/>
      </w:pPr>
      <w:rPr>
        <w:rFonts w:hint="default" w:ascii="Wingdings" w:hAnsi="Wingdings"/>
      </w:rPr>
    </w:lvl>
    <w:lvl w:ilvl="6" w:tplc="5184CD82">
      <w:start w:val="1"/>
      <w:numFmt w:val="bullet"/>
      <w:lvlText w:val=""/>
      <w:lvlJc w:val="left"/>
      <w:pPr>
        <w:ind w:left="5040" w:hanging="360"/>
      </w:pPr>
      <w:rPr>
        <w:rFonts w:hint="default" w:ascii="Symbol" w:hAnsi="Symbol"/>
      </w:rPr>
    </w:lvl>
    <w:lvl w:ilvl="7" w:tplc="82268CDE">
      <w:start w:val="1"/>
      <w:numFmt w:val="bullet"/>
      <w:lvlText w:val="o"/>
      <w:lvlJc w:val="left"/>
      <w:pPr>
        <w:ind w:left="5760" w:hanging="360"/>
      </w:pPr>
      <w:rPr>
        <w:rFonts w:hint="default" w:ascii="Courier New" w:hAnsi="Courier New"/>
      </w:rPr>
    </w:lvl>
    <w:lvl w:ilvl="8" w:tplc="8A0459B6">
      <w:start w:val="1"/>
      <w:numFmt w:val="bullet"/>
      <w:lvlText w:val=""/>
      <w:lvlJc w:val="left"/>
      <w:pPr>
        <w:ind w:left="6480" w:hanging="360"/>
      </w:pPr>
      <w:rPr>
        <w:rFonts w:hint="default" w:ascii="Wingdings" w:hAnsi="Wingdings"/>
      </w:rPr>
    </w:lvl>
  </w:abstractNum>
  <w:abstractNum w:abstractNumId="13" w15:restartNumberingAfterBreak="0">
    <w:nsid w:val="6EF750CD"/>
    <w:multiLevelType w:val="hybridMultilevel"/>
    <w:tmpl w:val="27C62B40"/>
    <w:lvl w:ilvl="0" w:tplc="FFFFFFFF">
      <w:start w:val="1"/>
      <w:numFmt w:val="upperLetter"/>
      <w:lvlText w:val="%1)"/>
      <w:lvlJc w:val="left"/>
      <w:pPr>
        <w:ind w:left="177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10229F2"/>
    <w:multiLevelType w:val="hybridMultilevel"/>
    <w:tmpl w:val="B55635FE"/>
    <w:lvl w:ilvl="0" w:tplc="0416000F">
      <w:start w:val="1"/>
      <w:numFmt w:val="decimal"/>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num w:numId="1">
    <w:abstractNumId w:val="6"/>
  </w:num>
  <w:num w:numId="2">
    <w:abstractNumId w:val="12"/>
  </w:num>
  <w:num w:numId="3">
    <w:abstractNumId w:val="8"/>
  </w:num>
  <w:num w:numId="4">
    <w:abstractNumId w:val="7"/>
  </w:num>
  <w:num w:numId="5">
    <w:abstractNumId w:val="2"/>
  </w:num>
  <w:num w:numId="6">
    <w:abstractNumId w:val="5"/>
  </w:num>
  <w:num w:numId="7">
    <w:abstractNumId w:val="3"/>
  </w:num>
  <w:num w:numId="8">
    <w:abstractNumId w:val="10"/>
  </w:num>
  <w:num w:numId="9">
    <w:abstractNumId w:val="4"/>
  </w:num>
  <w:num w:numId="10">
    <w:abstractNumId w:val="1"/>
  </w:num>
  <w:num w:numId="11">
    <w:abstractNumId w:val="14"/>
  </w:num>
  <w:num w:numId="12">
    <w:abstractNumId w:val="0"/>
  </w:num>
  <w:num w:numId="13">
    <w:abstractNumId w:val="9"/>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B36"/>
    <w:rsid w:val="00010DD8"/>
    <w:rsid w:val="00017E41"/>
    <w:rsid w:val="0002107C"/>
    <w:rsid w:val="0002744F"/>
    <w:rsid w:val="000277CD"/>
    <w:rsid w:val="00041901"/>
    <w:rsid w:val="000429C4"/>
    <w:rsid w:val="000575FF"/>
    <w:rsid w:val="00060C1B"/>
    <w:rsid w:val="00064216"/>
    <w:rsid w:val="00065783"/>
    <w:rsid w:val="000665D3"/>
    <w:rsid w:val="00074BAB"/>
    <w:rsid w:val="00082814"/>
    <w:rsid w:val="00085E6E"/>
    <w:rsid w:val="00087F10"/>
    <w:rsid w:val="000B71D0"/>
    <w:rsid w:val="000C4C52"/>
    <w:rsid w:val="000F22FA"/>
    <w:rsid w:val="00103737"/>
    <w:rsid w:val="00114D5C"/>
    <w:rsid w:val="00115A6F"/>
    <w:rsid w:val="001236C3"/>
    <w:rsid w:val="00125876"/>
    <w:rsid w:val="00126C32"/>
    <w:rsid w:val="0013426B"/>
    <w:rsid w:val="00152EA1"/>
    <w:rsid w:val="00156247"/>
    <w:rsid w:val="00156FFA"/>
    <w:rsid w:val="001661F0"/>
    <w:rsid w:val="00167FD3"/>
    <w:rsid w:val="001913CD"/>
    <w:rsid w:val="00192066"/>
    <w:rsid w:val="0019263C"/>
    <w:rsid w:val="001A32E0"/>
    <w:rsid w:val="001A34F3"/>
    <w:rsid w:val="001B44C7"/>
    <w:rsid w:val="001C456C"/>
    <w:rsid w:val="001D4695"/>
    <w:rsid w:val="001E0B8B"/>
    <w:rsid w:val="001E1AE1"/>
    <w:rsid w:val="001E5621"/>
    <w:rsid w:val="002062BD"/>
    <w:rsid w:val="002211A1"/>
    <w:rsid w:val="00222B1E"/>
    <w:rsid w:val="00222C4C"/>
    <w:rsid w:val="00222D08"/>
    <w:rsid w:val="00227BC2"/>
    <w:rsid w:val="002360DF"/>
    <w:rsid w:val="002454D6"/>
    <w:rsid w:val="00246E2B"/>
    <w:rsid w:val="00246E5F"/>
    <w:rsid w:val="00254672"/>
    <w:rsid w:val="002654CD"/>
    <w:rsid w:val="002664E4"/>
    <w:rsid w:val="002702F4"/>
    <w:rsid w:val="00275A9D"/>
    <w:rsid w:val="00281232"/>
    <w:rsid w:val="00282000"/>
    <w:rsid w:val="002A722D"/>
    <w:rsid w:val="002A7B3C"/>
    <w:rsid w:val="002B6691"/>
    <w:rsid w:val="002C2235"/>
    <w:rsid w:val="002C3F7E"/>
    <w:rsid w:val="002D33DE"/>
    <w:rsid w:val="002E603F"/>
    <w:rsid w:val="002F03FA"/>
    <w:rsid w:val="002F1B4E"/>
    <w:rsid w:val="00313BB3"/>
    <w:rsid w:val="00330785"/>
    <w:rsid w:val="003328AA"/>
    <w:rsid w:val="00332F19"/>
    <w:rsid w:val="003344B3"/>
    <w:rsid w:val="003358EC"/>
    <w:rsid w:val="00353AA0"/>
    <w:rsid w:val="00360DE2"/>
    <w:rsid w:val="0037655B"/>
    <w:rsid w:val="0038351F"/>
    <w:rsid w:val="003864C2"/>
    <w:rsid w:val="00390AC4"/>
    <w:rsid w:val="003943F4"/>
    <w:rsid w:val="003A19A8"/>
    <w:rsid w:val="003A221A"/>
    <w:rsid w:val="003C2B9F"/>
    <w:rsid w:val="003D27E9"/>
    <w:rsid w:val="003E1CB4"/>
    <w:rsid w:val="003E5BDE"/>
    <w:rsid w:val="003E602C"/>
    <w:rsid w:val="003F38B7"/>
    <w:rsid w:val="003F705A"/>
    <w:rsid w:val="00411CBE"/>
    <w:rsid w:val="004128FF"/>
    <w:rsid w:val="00412BFB"/>
    <w:rsid w:val="004177D2"/>
    <w:rsid w:val="004252D4"/>
    <w:rsid w:val="00432031"/>
    <w:rsid w:val="00437742"/>
    <w:rsid w:val="00470080"/>
    <w:rsid w:val="00470B06"/>
    <w:rsid w:val="00470B5F"/>
    <w:rsid w:val="00476FE5"/>
    <w:rsid w:val="00477E34"/>
    <w:rsid w:val="00495B93"/>
    <w:rsid w:val="004D0C30"/>
    <w:rsid w:val="004D457E"/>
    <w:rsid w:val="004D6F89"/>
    <w:rsid w:val="004E429A"/>
    <w:rsid w:val="004E72E5"/>
    <w:rsid w:val="004F27A5"/>
    <w:rsid w:val="0050556F"/>
    <w:rsid w:val="00505FBF"/>
    <w:rsid w:val="0050719D"/>
    <w:rsid w:val="005142F4"/>
    <w:rsid w:val="00534C09"/>
    <w:rsid w:val="0054285E"/>
    <w:rsid w:val="00542937"/>
    <w:rsid w:val="00543FEA"/>
    <w:rsid w:val="00544CA8"/>
    <w:rsid w:val="00551DB2"/>
    <w:rsid w:val="00556541"/>
    <w:rsid w:val="00557D65"/>
    <w:rsid w:val="0055C36A"/>
    <w:rsid w:val="00565B4D"/>
    <w:rsid w:val="005815AB"/>
    <w:rsid w:val="00586B80"/>
    <w:rsid w:val="00592529"/>
    <w:rsid w:val="00595E14"/>
    <w:rsid w:val="005A1D50"/>
    <w:rsid w:val="005A26AA"/>
    <w:rsid w:val="005A5B28"/>
    <w:rsid w:val="005B0B41"/>
    <w:rsid w:val="005B18CC"/>
    <w:rsid w:val="005B2921"/>
    <w:rsid w:val="005D4421"/>
    <w:rsid w:val="005E5B38"/>
    <w:rsid w:val="005F4460"/>
    <w:rsid w:val="00606641"/>
    <w:rsid w:val="00607AF2"/>
    <w:rsid w:val="00615436"/>
    <w:rsid w:val="00622EE6"/>
    <w:rsid w:val="006269D8"/>
    <w:rsid w:val="00636EBD"/>
    <w:rsid w:val="00661DAA"/>
    <w:rsid w:val="00665E94"/>
    <w:rsid w:val="006700A9"/>
    <w:rsid w:val="00687CBB"/>
    <w:rsid w:val="00692833"/>
    <w:rsid w:val="006953DF"/>
    <w:rsid w:val="006A17C1"/>
    <w:rsid w:val="006A22BB"/>
    <w:rsid w:val="006A5E77"/>
    <w:rsid w:val="006C1F6D"/>
    <w:rsid w:val="006C4B61"/>
    <w:rsid w:val="006D2016"/>
    <w:rsid w:val="006E6A4A"/>
    <w:rsid w:val="006F5347"/>
    <w:rsid w:val="006F65A8"/>
    <w:rsid w:val="00722909"/>
    <w:rsid w:val="007251DF"/>
    <w:rsid w:val="007305BC"/>
    <w:rsid w:val="00730ED6"/>
    <w:rsid w:val="00761353"/>
    <w:rsid w:val="00762102"/>
    <w:rsid w:val="00763611"/>
    <w:rsid w:val="007636AB"/>
    <w:rsid w:val="00771305"/>
    <w:rsid w:val="00777D3C"/>
    <w:rsid w:val="00783FBA"/>
    <w:rsid w:val="0078472A"/>
    <w:rsid w:val="007871C9"/>
    <w:rsid w:val="007A0528"/>
    <w:rsid w:val="007A2759"/>
    <w:rsid w:val="007A2FB3"/>
    <w:rsid w:val="007A65C9"/>
    <w:rsid w:val="007A6E4A"/>
    <w:rsid w:val="007B07EC"/>
    <w:rsid w:val="007B3E7E"/>
    <w:rsid w:val="007B4566"/>
    <w:rsid w:val="007D2B6E"/>
    <w:rsid w:val="00804ABF"/>
    <w:rsid w:val="00807AFA"/>
    <w:rsid w:val="0080EC06"/>
    <w:rsid w:val="00814B80"/>
    <w:rsid w:val="00824DEA"/>
    <w:rsid w:val="008303E0"/>
    <w:rsid w:val="0085482F"/>
    <w:rsid w:val="008568C6"/>
    <w:rsid w:val="00857607"/>
    <w:rsid w:val="00882814"/>
    <w:rsid w:val="00883C00"/>
    <w:rsid w:val="00890385"/>
    <w:rsid w:val="008A2069"/>
    <w:rsid w:val="008C1E97"/>
    <w:rsid w:val="008D6006"/>
    <w:rsid w:val="008E18E2"/>
    <w:rsid w:val="008F1260"/>
    <w:rsid w:val="008F22F7"/>
    <w:rsid w:val="008F3671"/>
    <w:rsid w:val="008F5DE0"/>
    <w:rsid w:val="009009E3"/>
    <w:rsid w:val="00905E70"/>
    <w:rsid w:val="00907E84"/>
    <w:rsid w:val="009214A9"/>
    <w:rsid w:val="00926BE7"/>
    <w:rsid w:val="00945F4D"/>
    <w:rsid w:val="009571C0"/>
    <w:rsid w:val="009613E6"/>
    <w:rsid w:val="0096406F"/>
    <w:rsid w:val="009731BB"/>
    <w:rsid w:val="009969B5"/>
    <w:rsid w:val="009A020B"/>
    <w:rsid w:val="009C4D05"/>
    <w:rsid w:val="009C5054"/>
    <w:rsid w:val="009D25D1"/>
    <w:rsid w:val="009F0D9C"/>
    <w:rsid w:val="009F4C92"/>
    <w:rsid w:val="009F6494"/>
    <w:rsid w:val="00A03632"/>
    <w:rsid w:val="00A03703"/>
    <w:rsid w:val="00A13922"/>
    <w:rsid w:val="00A17216"/>
    <w:rsid w:val="00A27BC1"/>
    <w:rsid w:val="00A30B93"/>
    <w:rsid w:val="00A3397A"/>
    <w:rsid w:val="00A35320"/>
    <w:rsid w:val="00A367E2"/>
    <w:rsid w:val="00A4705A"/>
    <w:rsid w:val="00A51A13"/>
    <w:rsid w:val="00A56A24"/>
    <w:rsid w:val="00A572F6"/>
    <w:rsid w:val="00A747ED"/>
    <w:rsid w:val="00A7741C"/>
    <w:rsid w:val="00A803F6"/>
    <w:rsid w:val="00A87C64"/>
    <w:rsid w:val="00AB0B22"/>
    <w:rsid w:val="00AB59EE"/>
    <w:rsid w:val="00AC0AB4"/>
    <w:rsid w:val="00AD3A4E"/>
    <w:rsid w:val="00AE22F1"/>
    <w:rsid w:val="00AE45FF"/>
    <w:rsid w:val="00AE6013"/>
    <w:rsid w:val="00B24973"/>
    <w:rsid w:val="00B356D4"/>
    <w:rsid w:val="00B445E6"/>
    <w:rsid w:val="00B4481F"/>
    <w:rsid w:val="00B44D31"/>
    <w:rsid w:val="00B47F29"/>
    <w:rsid w:val="00B540E3"/>
    <w:rsid w:val="00B636EB"/>
    <w:rsid w:val="00B72AD8"/>
    <w:rsid w:val="00B75472"/>
    <w:rsid w:val="00B75DAD"/>
    <w:rsid w:val="00B77EFF"/>
    <w:rsid w:val="00B815EF"/>
    <w:rsid w:val="00B863C8"/>
    <w:rsid w:val="00B92457"/>
    <w:rsid w:val="00B93EC6"/>
    <w:rsid w:val="00B976AC"/>
    <w:rsid w:val="00B97BE2"/>
    <w:rsid w:val="00BC3A6C"/>
    <w:rsid w:val="00BC7988"/>
    <w:rsid w:val="00BD1268"/>
    <w:rsid w:val="00BD15D6"/>
    <w:rsid w:val="00BF0873"/>
    <w:rsid w:val="00BF219B"/>
    <w:rsid w:val="00BF4707"/>
    <w:rsid w:val="00BF49BC"/>
    <w:rsid w:val="00C00B2A"/>
    <w:rsid w:val="00C0401E"/>
    <w:rsid w:val="00C146E8"/>
    <w:rsid w:val="00C263DC"/>
    <w:rsid w:val="00C26C9C"/>
    <w:rsid w:val="00C31B42"/>
    <w:rsid w:val="00C31BD5"/>
    <w:rsid w:val="00C34DE9"/>
    <w:rsid w:val="00C43FC0"/>
    <w:rsid w:val="00C45726"/>
    <w:rsid w:val="00C61F40"/>
    <w:rsid w:val="00C86F94"/>
    <w:rsid w:val="00C87D61"/>
    <w:rsid w:val="00C91D8D"/>
    <w:rsid w:val="00C93B55"/>
    <w:rsid w:val="00C968E6"/>
    <w:rsid w:val="00C97373"/>
    <w:rsid w:val="00CA32F3"/>
    <w:rsid w:val="00CA3E87"/>
    <w:rsid w:val="00CA64EF"/>
    <w:rsid w:val="00CB027D"/>
    <w:rsid w:val="00CB4E5B"/>
    <w:rsid w:val="00CC2806"/>
    <w:rsid w:val="00CD45E2"/>
    <w:rsid w:val="00CD6B41"/>
    <w:rsid w:val="00CE17FA"/>
    <w:rsid w:val="00CF2541"/>
    <w:rsid w:val="00CF25B5"/>
    <w:rsid w:val="00CF72DD"/>
    <w:rsid w:val="00D0126F"/>
    <w:rsid w:val="00D013B7"/>
    <w:rsid w:val="00D03DA8"/>
    <w:rsid w:val="00D1216A"/>
    <w:rsid w:val="00D13B36"/>
    <w:rsid w:val="00D150B9"/>
    <w:rsid w:val="00D175E3"/>
    <w:rsid w:val="00D45988"/>
    <w:rsid w:val="00D5207C"/>
    <w:rsid w:val="00D52E43"/>
    <w:rsid w:val="00D53FDF"/>
    <w:rsid w:val="00D54A3E"/>
    <w:rsid w:val="00D57648"/>
    <w:rsid w:val="00D65219"/>
    <w:rsid w:val="00D67090"/>
    <w:rsid w:val="00D7516A"/>
    <w:rsid w:val="00D7668C"/>
    <w:rsid w:val="00D82DE5"/>
    <w:rsid w:val="00D90D45"/>
    <w:rsid w:val="00DA06A5"/>
    <w:rsid w:val="00DA1125"/>
    <w:rsid w:val="00DA7E36"/>
    <w:rsid w:val="00DB1CF3"/>
    <w:rsid w:val="00DC753E"/>
    <w:rsid w:val="00DD39CA"/>
    <w:rsid w:val="00DD39FA"/>
    <w:rsid w:val="00DD3E3D"/>
    <w:rsid w:val="00DD6D79"/>
    <w:rsid w:val="00DE0207"/>
    <w:rsid w:val="00DE1FD2"/>
    <w:rsid w:val="00DF4989"/>
    <w:rsid w:val="00DF52BF"/>
    <w:rsid w:val="00E05EB4"/>
    <w:rsid w:val="00E1408C"/>
    <w:rsid w:val="00E156D0"/>
    <w:rsid w:val="00E21B86"/>
    <w:rsid w:val="00E24A3E"/>
    <w:rsid w:val="00E25D8B"/>
    <w:rsid w:val="00E262B5"/>
    <w:rsid w:val="00E276DB"/>
    <w:rsid w:val="00E32F93"/>
    <w:rsid w:val="00E37B68"/>
    <w:rsid w:val="00E51918"/>
    <w:rsid w:val="00E5375E"/>
    <w:rsid w:val="00E555AA"/>
    <w:rsid w:val="00E57A61"/>
    <w:rsid w:val="00E61EE7"/>
    <w:rsid w:val="00E6212F"/>
    <w:rsid w:val="00E670F9"/>
    <w:rsid w:val="00EA5989"/>
    <w:rsid w:val="00EA6692"/>
    <w:rsid w:val="00EB7CF4"/>
    <w:rsid w:val="00EC3BEE"/>
    <w:rsid w:val="00ED7BEB"/>
    <w:rsid w:val="00EE4073"/>
    <w:rsid w:val="00EF0F19"/>
    <w:rsid w:val="00EF44AB"/>
    <w:rsid w:val="00F02049"/>
    <w:rsid w:val="00F166B4"/>
    <w:rsid w:val="00F21977"/>
    <w:rsid w:val="00F311BF"/>
    <w:rsid w:val="00F32BDF"/>
    <w:rsid w:val="00F4212C"/>
    <w:rsid w:val="00F518E7"/>
    <w:rsid w:val="00F5268F"/>
    <w:rsid w:val="00F530B0"/>
    <w:rsid w:val="00F54387"/>
    <w:rsid w:val="00F64295"/>
    <w:rsid w:val="00F67758"/>
    <w:rsid w:val="00F67EB5"/>
    <w:rsid w:val="00F67FD0"/>
    <w:rsid w:val="00F85909"/>
    <w:rsid w:val="00F96385"/>
    <w:rsid w:val="00FA362E"/>
    <w:rsid w:val="00FA3EEB"/>
    <w:rsid w:val="00FC07F3"/>
    <w:rsid w:val="00FC23D7"/>
    <w:rsid w:val="00FD54C2"/>
    <w:rsid w:val="00FD5902"/>
    <w:rsid w:val="00FF7A53"/>
    <w:rsid w:val="014DE0D3"/>
    <w:rsid w:val="016691C3"/>
    <w:rsid w:val="01CF0E70"/>
    <w:rsid w:val="026C620D"/>
    <w:rsid w:val="02ED0D32"/>
    <w:rsid w:val="02F74350"/>
    <w:rsid w:val="03BA6606"/>
    <w:rsid w:val="0408326E"/>
    <w:rsid w:val="040B7CAA"/>
    <w:rsid w:val="044E96AC"/>
    <w:rsid w:val="045FC75B"/>
    <w:rsid w:val="04858195"/>
    <w:rsid w:val="049BA4F1"/>
    <w:rsid w:val="04B07CA7"/>
    <w:rsid w:val="0506EE4F"/>
    <w:rsid w:val="0524CACC"/>
    <w:rsid w:val="0554A219"/>
    <w:rsid w:val="055B0DD2"/>
    <w:rsid w:val="059907DB"/>
    <w:rsid w:val="05C99DAC"/>
    <w:rsid w:val="05C9AF23"/>
    <w:rsid w:val="066B40FA"/>
    <w:rsid w:val="0678EA14"/>
    <w:rsid w:val="06A2BEB0"/>
    <w:rsid w:val="0701E754"/>
    <w:rsid w:val="074785A4"/>
    <w:rsid w:val="07A141B8"/>
    <w:rsid w:val="07DD0ACA"/>
    <w:rsid w:val="08072CB9"/>
    <w:rsid w:val="082C57AA"/>
    <w:rsid w:val="0855F07C"/>
    <w:rsid w:val="0864F2B5"/>
    <w:rsid w:val="091E5977"/>
    <w:rsid w:val="099497AB"/>
    <w:rsid w:val="0A2B152D"/>
    <w:rsid w:val="0A83DFA8"/>
    <w:rsid w:val="0A8A5A66"/>
    <w:rsid w:val="0A8EB729"/>
    <w:rsid w:val="0AD1E37D"/>
    <w:rsid w:val="0AD9026D"/>
    <w:rsid w:val="0AF583CE"/>
    <w:rsid w:val="0AFE544E"/>
    <w:rsid w:val="0B19EBA0"/>
    <w:rsid w:val="0B3663A0"/>
    <w:rsid w:val="0BF4BBE7"/>
    <w:rsid w:val="0C2F469E"/>
    <w:rsid w:val="0C6DBFDF"/>
    <w:rsid w:val="0C8D0002"/>
    <w:rsid w:val="0CD49EB4"/>
    <w:rsid w:val="0CD7C650"/>
    <w:rsid w:val="0CED3ADA"/>
    <w:rsid w:val="0D172AB7"/>
    <w:rsid w:val="0DB7023A"/>
    <w:rsid w:val="0DE73E6B"/>
    <w:rsid w:val="0E28D063"/>
    <w:rsid w:val="0E2D163F"/>
    <w:rsid w:val="0E316CD0"/>
    <w:rsid w:val="0E43A12E"/>
    <w:rsid w:val="0F264DD3"/>
    <w:rsid w:val="0F6F0485"/>
    <w:rsid w:val="104C9053"/>
    <w:rsid w:val="1063F197"/>
    <w:rsid w:val="107D6F76"/>
    <w:rsid w:val="11326AFB"/>
    <w:rsid w:val="11C3F2DA"/>
    <w:rsid w:val="11D2A387"/>
    <w:rsid w:val="124EBC53"/>
    <w:rsid w:val="125DEE95"/>
    <w:rsid w:val="12803FBA"/>
    <w:rsid w:val="12F09DAD"/>
    <w:rsid w:val="1314E3AB"/>
    <w:rsid w:val="137818BB"/>
    <w:rsid w:val="13940F46"/>
    <w:rsid w:val="13A24746"/>
    <w:rsid w:val="13CDDDB7"/>
    <w:rsid w:val="1421CE11"/>
    <w:rsid w:val="14746B58"/>
    <w:rsid w:val="14FC36C0"/>
    <w:rsid w:val="1538FC18"/>
    <w:rsid w:val="16103BB9"/>
    <w:rsid w:val="164C846D"/>
    <w:rsid w:val="16947471"/>
    <w:rsid w:val="169F12F1"/>
    <w:rsid w:val="17059550"/>
    <w:rsid w:val="17315FB8"/>
    <w:rsid w:val="17BAA237"/>
    <w:rsid w:val="17F515F6"/>
    <w:rsid w:val="18040CC8"/>
    <w:rsid w:val="18297CAD"/>
    <w:rsid w:val="184F0662"/>
    <w:rsid w:val="18A01337"/>
    <w:rsid w:val="18FC6653"/>
    <w:rsid w:val="196405DF"/>
    <w:rsid w:val="1978BD28"/>
    <w:rsid w:val="1A447990"/>
    <w:rsid w:val="1A8810A7"/>
    <w:rsid w:val="1A8B519F"/>
    <w:rsid w:val="1B0C74DE"/>
    <w:rsid w:val="1B1FF590"/>
    <w:rsid w:val="1B257F71"/>
    <w:rsid w:val="1B34716D"/>
    <w:rsid w:val="1B4AEE88"/>
    <w:rsid w:val="1B82B7BF"/>
    <w:rsid w:val="1C639800"/>
    <w:rsid w:val="1D68297D"/>
    <w:rsid w:val="1D6CEE0D"/>
    <w:rsid w:val="1DC423BD"/>
    <w:rsid w:val="1DF2C98B"/>
    <w:rsid w:val="1E11BFEA"/>
    <w:rsid w:val="1E2C1546"/>
    <w:rsid w:val="1E5311CB"/>
    <w:rsid w:val="1EBEB9F8"/>
    <w:rsid w:val="1EC0D7AE"/>
    <w:rsid w:val="1F71788B"/>
    <w:rsid w:val="1F71B9FE"/>
    <w:rsid w:val="1F9EB553"/>
    <w:rsid w:val="1FAD904B"/>
    <w:rsid w:val="1FB28188"/>
    <w:rsid w:val="1FB605F3"/>
    <w:rsid w:val="1FCAD208"/>
    <w:rsid w:val="1FD89996"/>
    <w:rsid w:val="1FDFB9F1"/>
    <w:rsid w:val="1FFB5439"/>
    <w:rsid w:val="205A8A59"/>
    <w:rsid w:val="20D7D644"/>
    <w:rsid w:val="20F65B6E"/>
    <w:rsid w:val="21198B73"/>
    <w:rsid w:val="21511B61"/>
    <w:rsid w:val="21949B5F"/>
    <w:rsid w:val="219BD6C6"/>
    <w:rsid w:val="22169682"/>
    <w:rsid w:val="2272148F"/>
    <w:rsid w:val="22B477D9"/>
    <w:rsid w:val="22CEE0D4"/>
    <w:rsid w:val="23004347"/>
    <w:rsid w:val="2316DBEE"/>
    <w:rsid w:val="234885F0"/>
    <w:rsid w:val="2382EA1A"/>
    <w:rsid w:val="247BE188"/>
    <w:rsid w:val="249BA185"/>
    <w:rsid w:val="25181C83"/>
    <w:rsid w:val="251C8584"/>
    <w:rsid w:val="2539102B"/>
    <w:rsid w:val="2541D8A4"/>
    <w:rsid w:val="259E4334"/>
    <w:rsid w:val="25BA8770"/>
    <w:rsid w:val="25E76DE9"/>
    <w:rsid w:val="260AC511"/>
    <w:rsid w:val="26209E07"/>
    <w:rsid w:val="268993C7"/>
    <w:rsid w:val="26CF5DDA"/>
    <w:rsid w:val="26E37885"/>
    <w:rsid w:val="27722324"/>
    <w:rsid w:val="27AD1CCE"/>
    <w:rsid w:val="27ED72B6"/>
    <w:rsid w:val="2800D678"/>
    <w:rsid w:val="28ADFC32"/>
    <w:rsid w:val="28B3F881"/>
    <w:rsid w:val="290D928E"/>
    <w:rsid w:val="29292D16"/>
    <w:rsid w:val="2999AE22"/>
    <w:rsid w:val="299CA6D9"/>
    <w:rsid w:val="29BDEE79"/>
    <w:rsid w:val="29C612E6"/>
    <w:rsid w:val="29D783E3"/>
    <w:rsid w:val="2A46AC85"/>
    <w:rsid w:val="2A4A0883"/>
    <w:rsid w:val="2A4D4B35"/>
    <w:rsid w:val="2A5DED04"/>
    <w:rsid w:val="2AA7455C"/>
    <w:rsid w:val="2AA962EF"/>
    <w:rsid w:val="2B2CADF1"/>
    <w:rsid w:val="2B8643A2"/>
    <w:rsid w:val="2B9DD37D"/>
    <w:rsid w:val="2BEB9943"/>
    <w:rsid w:val="2C41AAA5"/>
    <w:rsid w:val="2C4D2009"/>
    <w:rsid w:val="2CDC66DE"/>
    <w:rsid w:val="2CF9E59C"/>
    <w:rsid w:val="2D359289"/>
    <w:rsid w:val="2D979061"/>
    <w:rsid w:val="2DBA3245"/>
    <w:rsid w:val="2DC11484"/>
    <w:rsid w:val="2DE103B1"/>
    <w:rsid w:val="2E5854F7"/>
    <w:rsid w:val="2E8E9495"/>
    <w:rsid w:val="2EBC4BA5"/>
    <w:rsid w:val="2EBDE464"/>
    <w:rsid w:val="2EBEC003"/>
    <w:rsid w:val="2F7509A8"/>
    <w:rsid w:val="2F87F263"/>
    <w:rsid w:val="2FD4A68D"/>
    <w:rsid w:val="306E7972"/>
    <w:rsid w:val="30865EF6"/>
    <w:rsid w:val="3086F753"/>
    <w:rsid w:val="30B149B2"/>
    <w:rsid w:val="30D5B1F9"/>
    <w:rsid w:val="30F20EEA"/>
    <w:rsid w:val="310E3A0E"/>
    <w:rsid w:val="31B694BF"/>
    <w:rsid w:val="3205F663"/>
    <w:rsid w:val="32493971"/>
    <w:rsid w:val="325ADAC7"/>
    <w:rsid w:val="32795C22"/>
    <w:rsid w:val="32CB130A"/>
    <w:rsid w:val="32E0CFA4"/>
    <w:rsid w:val="331E3A11"/>
    <w:rsid w:val="334E9DBA"/>
    <w:rsid w:val="33B81431"/>
    <w:rsid w:val="34818A14"/>
    <w:rsid w:val="348A5A68"/>
    <w:rsid w:val="34D75092"/>
    <w:rsid w:val="34F968C2"/>
    <w:rsid w:val="351C3248"/>
    <w:rsid w:val="3522BFA7"/>
    <w:rsid w:val="35C2398D"/>
    <w:rsid w:val="363B3CF1"/>
    <w:rsid w:val="365996AF"/>
    <w:rsid w:val="3666D8EF"/>
    <w:rsid w:val="36AB5929"/>
    <w:rsid w:val="36D45F48"/>
    <w:rsid w:val="375A86F3"/>
    <w:rsid w:val="37600649"/>
    <w:rsid w:val="37650710"/>
    <w:rsid w:val="37B03E3B"/>
    <w:rsid w:val="37BCB93C"/>
    <w:rsid w:val="380DFA96"/>
    <w:rsid w:val="38222FBF"/>
    <w:rsid w:val="38B0D858"/>
    <w:rsid w:val="38C772BA"/>
    <w:rsid w:val="39009E53"/>
    <w:rsid w:val="393F6140"/>
    <w:rsid w:val="3A17057A"/>
    <w:rsid w:val="3A61C95F"/>
    <w:rsid w:val="3A67B52C"/>
    <w:rsid w:val="3A6819D3"/>
    <w:rsid w:val="3A80062D"/>
    <w:rsid w:val="3A9CA7D2"/>
    <w:rsid w:val="3B2173FA"/>
    <w:rsid w:val="3C300C47"/>
    <w:rsid w:val="3C4A7D3A"/>
    <w:rsid w:val="3C5D8D85"/>
    <w:rsid w:val="3C879501"/>
    <w:rsid w:val="3D809DEB"/>
    <w:rsid w:val="3DB4B0B8"/>
    <w:rsid w:val="3DE64D9B"/>
    <w:rsid w:val="3DF7277B"/>
    <w:rsid w:val="3E899A11"/>
    <w:rsid w:val="3ECFA47E"/>
    <w:rsid w:val="3EEE1E1A"/>
    <w:rsid w:val="3F3F6B12"/>
    <w:rsid w:val="3F4C2D78"/>
    <w:rsid w:val="3F7B7FE9"/>
    <w:rsid w:val="3F7F52F5"/>
    <w:rsid w:val="400F746A"/>
    <w:rsid w:val="4013F865"/>
    <w:rsid w:val="4054C90F"/>
    <w:rsid w:val="4063DBE8"/>
    <w:rsid w:val="40716A10"/>
    <w:rsid w:val="40DA7AAA"/>
    <w:rsid w:val="40E684CB"/>
    <w:rsid w:val="4272B9BB"/>
    <w:rsid w:val="42AC89CC"/>
    <w:rsid w:val="42C423E9"/>
    <w:rsid w:val="4303D532"/>
    <w:rsid w:val="43082A64"/>
    <w:rsid w:val="433A9507"/>
    <w:rsid w:val="434B9927"/>
    <w:rsid w:val="439F4CF8"/>
    <w:rsid w:val="43B25A32"/>
    <w:rsid w:val="441E258D"/>
    <w:rsid w:val="44CC9735"/>
    <w:rsid w:val="45C43057"/>
    <w:rsid w:val="45D017E0"/>
    <w:rsid w:val="45D4EF4B"/>
    <w:rsid w:val="461F5A75"/>
    <w:rsid w:val="46E36696"/>
    <w:rsid w:val="46EA1126"/>
    <w:rsid w:val="47352F33"/>
    <w:rsid w:val="47D77B25"/>
    <w:rsid w:val="480346C4"/>
    <w:rsid w:val="4820D406"/>
    <w:rsid w:val="485DF1E9"/>
    <w:rsid w:val="485EEE80"/>
    <w:rsid w:val="489B001D"/>
    <w:rsid w:val="48AD779C"/>
    <w:rsid w:val="48CEE79C"/>
    <w:rsid w:val="4907B8A2"/>
    <w:rsid w:val="492373D8"/>
    <w:rsid w:val="496E2278"/>
    <w:rsid w:val="49AE03B5"/>
    <w:rsid w:val="49D2336D"/>
    <w:rsid w:val="49F18B39"/>
    <w:rsid w:val="49F195D1"/>
    <w:rsid w:val="4A01E89A"/>
    <w:rsid w:val="4A1474B8"/>
    <w:rsid w:val="4A634241"/>
    <w:rsid w:val="4A8FF04C"/>
    <w:rsid w:val="4AD788FF"/>
    <w:rsid w:val="4B0252B2"/>
    <w:rsid w:val="4B7DE7E8"/>
    <w:rsid w:val="4B948FE2"/>
    <w:rsid w:val="4BA18DC8"/>
    <w:rsid w:val="4BB04519"/>
    <w:rsid w:val="4BB4D1B9"/>
    <w:rsid w:val="4BCBF001"/>
    <w:rsid w:val="4BE5185E"/>
    <w:rsid w:val="4C00995E"/>
    <w:rsid w:val="4C1EA6FF"/>
    <w:rsid w:val="4C806F62"/>
    <w:rsid w:val="4CCFF2BB"/>
    <w:rsid w:val="4CF14C96"/>
    <w:rsid w:val="4CF27B6D"/>
    <w:rsid w:val="4D293693"/>
    <w:rsid w:val="4DBD5BA1"/>
    <w:rsid w:val="4DCE5E51"/>
    <w:rsid w:val="4E182E4F"/>
    <w:rsid w:val="4E37EAE7"/>
    <w:rsid w:val="4E4C20C8"/>
    <w:rsid w:val="4E8FFC24"/>
    <w:rsid w:val="4EA70609"/>
    <w:rsid w:val="4EC506F4"/>
    <w:rsid w:val="4F336C71"/>
    <w:rsid w:val="4F6B9A39"/>
    <w:rsid w:val="4FAEE423"/>
    <w:rsid w:val="4FEC6173"/>
    <w:rsid w:val="5000B358"/>
    <w:rsid w:val="5028ED58"/>
    <w:rsid w:val="502BCC85"/>
    <w:rsid w:val="502C4956"/>
    <w:rsid w:val="508779DE"/>
    <w:rsid w:val="509F98D3"/>
    <w:rsid w:val="50D73778"/>
    <w:rsid w:val="50ECD921"/>
    <w:rsid w:val="51C4BDB9"/>
    <w:rsid w:val="51CDDA16"/>
    <w:rsid w:val="51FD8010"/>
    <w:rsid w:val="5210E4D6"/>
    <w:rsid w:val="52255690"/>
    <w:rsid w:val="52340DB9"/>
    <w:rsid w:val="526FA52F"/>
    <w:rsid w:val="52792008"/>
    <w:rsid w:val="529B0231"/>
    <w:rsid w:val="52FF0950"/>
    <w:rsid w:val="5344C0D7"/>
    <w:rsid w:val="53D2F7D6"/>
    <w:rsid w:val="5400168F"/>
    <w:rsid w:val="54264FC9"/>
    <w:rsid w:val="54902B86"/>
    <w:rsid w:val="5523E1EE"/>
    <w:rsid w:val="554A3E14"/>
    <w:rsid w:val="55722E38"/>
    <w:rsid w:val="559BE6F0"/>
    <w:rsid w:val="55A7C6B9"/>
    <w:rsid w:val="55C2202A"/>
    <w:rsid w:val="569B8ADA"/>
    <w:rsid w:val="56CF931B"/>
    <w:rsid w:val="56F8C7B3"/>
    <w:rsid w:val="571653D7"/>
    <w:rsid w:val="5725196C"/>
    <w:rsid w:val="5773D79F"/>
    <w:rsid w:val="57E2F582"/>
    <w:rsid w:val="58062ABE"/>
    <w:rsid w:val="580BE9FF"/>
    <w:rsid w:val="581DA259"/>
    <w:rsid w:val="58B2502F"/>
    <w:rsid w:val="58C3E43B"/>
    <w:rsid w:val="58CA9471"/>
    <w:rsid w:val="58CFBD26"/>
    <w:rsid w:val="58EA5D61"/>
    <w:rsid w:val="5916E367"/>
    <w:rsid w:val="592DE935"/>
    <w:rsid w:val="59B1A3E8"/>
    <w:rsid w:val="59B55C18"/>
    <w:rsid w:val="59BC64D4"/>
    <w:rsid w:val="5A49895C"/>
    <w:rsid w:val="5A715CE3"/>
    <w:rsid w:val="5AA9D74E"/>
    <w:rsid w:val="5AAF9342"/>
    <w:rsid w:val="5AB3EE1A"/>
    <w:rsid w:val="5ADDF806"/>
    <w:rsid w:val="5B27278F"/>
    <w:rsid w:val="5B3A065D"/>
    <w:rsid w:val="5C4E8429"/>
    <w:rsid w:val="5C60248C"/>
    <w:rsid w:val="5CA44535"/>
    <w:rsid w:val="5D92956C"/>
    <w:rsid w:val="5DE31923"/>
    <w:rsid w:val="5DF9C2C5"/>
    <w:rsid w:val="5E3CD3DA"/>
    <w:rsid w:val="5F1FCF3A"/>
    <w:rsid w:val="5F7F0A2E"/>
    <w:rsid w:val="60AFF3A5"/>
    <w:rsid w:val="60B6B2A0"/>
    <w:rsid w:val="60CA499B"/>
    <w:rsid w:val="611ADA8F"/>
    <w:rsid w:val="614D1920"/>
    <w:rsid w:val="61A2E925"/>
    <w:rsid w:val="6212D9C5"/>
    <w:rsid w:val="622B0B4F"/>
    <w:rsid w:val="623788E3"/>
    <w:rsid w:val="62A2C1C0"/>
    <w:rsid w:val="62A9BE44"/>
    <w:rsid w:val="62E23C32"/>
    <w:rsid w:val="62EB616E"/>
    <w:rsid w:val="635B0E3A"/>
    <w:rsid w:val="63BEC85E"/>
    <w:rsid w:val="64034EBD"/>
    <w:rsid w:val="644F543C"/>
    <w:rsid w:val="644FFC5C"/>
    <w:rsid w:val="64B1E551"/>
    <w:rsid w:val="64CBB3AE"/>
    <w:rsid w:val="6518F511"/>
    <w:rsid w:val="65D49E04"/>
    <w:rsid w:val="65D6998F"/>
    <w:rsid w:val="65D6A390"/>
    <w:rsid w:val="6638F105"/>
    <w:rsid w:val="664DB5B2"/>
    <w:rsid w:val="667ED0B0"/>
    <w:rsid w:val="670AFA06"/>
    <w:rsid w:val="673B33C6"/>
    <w:rsid w:val="6786F4FE"/>
    <w:rsid w:val="67CCB53B"/>
    <w:rsid w:val="67E3B620"/>
    <w:rsid w:val="68135B52"/>
    <w:rsid w:val="68155554"/>
    <w:rsid w:val="682309C5"/>
    <w:rsid w:val="683D7DA3"/>
    <w:rsid w:val="688D3E14"/>
    <w:rsid w:val="68AF5BFC"/>
    <w:rsid w:val="68B0D42B"/>
    <w:rsid w:val="697F8681"/>
    <w:rsid w:val="69D235B4"/>
    <w:rsid w:val="69D6B2BD"/>
    <w:rsid w:val="6A122351"/>
    <w:rsid w:val="6A5BDC45"/>
    <w:rsid w:val="6A777624"/>
    <w:rsid w:val="6A907BC7"/>
    <w:rsid w:val="6AFB1C0E"/>
    <w:rsid w:val="6B68C795"/>
    <w:rsid w:val="6BC0E771"/>
    <w:rsid w:val="6BC5B61B"/>
    <w:rsid w:val="6C5EC080"/>
    <w:rsid w:val="6C6298EB"/>
    <w:rsid w:val="6C78ACFA"/>
    <w:rsid w:val="6CBF14C9"/>
    <w:rsid w:val="6D5A65A6"/>
    <w:rsid w:val="6D7BDC43"/>
    <w:rsid w:val="6DE2F3AF"/>
    <w:rsid w:val="6E2665CA"/>
    <w:rsid w:val="6E32C813"/>
    <w:rsid w:val="6E596D97"/>
    <w:rsid w:val="6E650164"/>
    <w:rsid w:val="6EE2EF15"/>
    <w:rsid w:val="6F1E9D80"/>
    <w:rsid w:val="708E0F66"/>
    <w:rsid w:val="70991F8E"/>
    <w:rsid w:val="70AF08DB"/>
    <w:rsid w:val="70C903CD"/>
    <w:rsid w:val="715A7880"/>
    <w:rsid w:val="7192121B"/>
    <w:rsid w:val="71DA92EE"/>
    <w:rsid w:val="72DB528D"/>
    <w:rsid w:val="733B937D"/>
    <w:rsid w:val="734E891A"/>
    <w:rsid w:val="7386B18A"/>
    <w:rsid w:val="73A549FF"/>
    <w:rsid w:val="73A9D1E1"/>
    <w:rsid w:val="744B88F4"/>
    <w:rsid w:val="74C9B2DD"/>
    <w:rsid w:val="74E1D3F1"/>
    <w:rsid w:val="74F75A5F"/>
    <w:rsid w:val="75431907"/>
    <w:rsid w:val="75ECF775"/>
    <w:rsid w:val="75F8BCB9"/>
    <w:rsid w:val="76071212"/>
    <w:rsid w:val="761C7947"/>
    <w:rsid w:val="763758CB"/>
    <w:rsid w:val="76B2DFC7"/>
    <w:rsid w:val="76E41045"/>
    <w:rsid w:val="7744441B"/>
    <w:rsid w:val="776051DC"/>
    <w:rsid w:val="777D1F9F"/>
    <w:rsid w:val="7784F79D"/>
    <w:rsid w:val="77A82D63"/>
    <w:rsid w:val="77A8FBB2"/>
    <w:rsid w:val="77D3292C"/>
    <w:rsid w:val="780F04A0"/>
    <w:rsid w:val="78342040"/>
    <w:rsid w:val="792ECF9E"/>
    <w:rsid w:val="798251E1"/>
    <w:rsid w:val="79C53348"/>
    <w:rsid w:val="7A2AB775"/>
    <w:rsid w:val="7A856D56"/>
    <w:rsid w:val="7A896D3E"/>
    <w:rsid w:val="7A9C60FA"/>
    <w:rsid w:val="7AC65155"/>
    <w:rsid w:val="7AD487AB"/>
    <w:rsid w:val="7AD4D440"/>
    <w:rsid w:val="7AEA207C"/>
    <w:rsid w:val="7AFB5CD4"/>
    <w:rsid w:val="7B1164A6"/>
    <w:rsid w:val="7B1EA666"/>
    <w:rsid w:val="7B396832"/>
    <w:rsid w:val="7B6AEC10"/>
    <w:rsid w:val="7BB4E3C6"/>
    <w:rsid w:val="7BC37AF5"/>
    <w:rsid w:val="7C5995E9"/>
    <w:rsid w:val="7D0A0BD8"/>
    <w:rsid w:val="7D8C6966"/>
    <w:rsid w:val="7D984CDA"/>
    <w:rsid w:val="7DD8FC33"/>
    <w:rsid w:val="7E134A46"/>
    <w:rsid w:val="7E2EF100"/>
    <w:rsid w:val="7E36D834"/>
    <w:rsid w:val="7E39B5A5"/>
    <w:rsid w:val="7E5A080F"/>
    <w:rsid w:val="7E6CEAE5"/>
    <w:rsid w:val="7E8CB3DC"/>
    <w:rsid w:val="7EEC8488"/>
    <w:rsid w:val="7EEE0BB4"/>
    <w:rsid w:val="7F0DE001"/>
    <w:rsid w:val="7F0E518A"/>
    <w:rsid w:val="7FE9FA6E"/>
    <w:rsid w:val="7FF407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830C8"/>
  <w15:chartTrackingRefBased/>
  <w15:docId w15:val="{AEAF39EF-064F-4B12-88DB-CE466FE0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3EEE1E1A"/>
    <w:pPr>
      <w:spacing w:after="0"/>
      <w:ind w:firstLine="1418"/>
    </w:pPr>
    <w:rPr>
      <w:rFonts w:ascii="Arial" w:hAnsi="Arial"/>
      <w:sz w:val="24"/>
      <w:szCs w:val="24"/>
    </w:rPr>
  </w:style>
  <w:style w:type="paragraph" w:styleId="Cabealho1">
    <w:name w:val="heading 1"/>
    <w:basedOn w:val="Normal"/>
    <w:next w:val="Normal"/>
    <w:link w:val="Cabealho1Carter"/>
    <w:uiPriority w:val="9"/>
    <w:qFormat/>
    <w:rsid w:val="3EEE1E1A"/>
    <w:pPr>
      <w:keepNext/>
      <w:spacing w:before="240" w:after="60"/>
      <w:ind w:firstLine="0"/>
      <w:outlineLvl w:val="0"/>
    </w:pPr>
    <w:rPr>
      <w:rFonts w:ascii="Cambria" w:hAnsi="Cambria" w:eastAsia="Times New Roman"/>
      <w:b/>
      <w:bCs/>
      <w:sz w:val="32"/>
      <w:szCs w:val="32"/>
    </w:rPr>
  </w:style>
  <w:style w:type="paragraph" w:styleId="Cabealho3">
    <w:name w:val="heading 3"/>
    <w:basedOn w:val="Normal"/>
    <w:next w:val="Normal"/>
    <w:link w:val="Cabealho3Carter"/>
    <w:uiPriority w:val="9"/>
    <w:semiHidden/>
    <w:unhideWhenUsed/>
    <w:qFormat/>
    <w:rsid w:val="3EEE1E1A"/>
    <w:pPr>
      <w:keepNext/>
      <w:keepLines/>
      <w:spacing w:before="40"/>
      <w:outlineLvl w:val="2"/>
    </w:pPr>
    <w:rPr>
      <w:rFonts w:asciiTheme="majorHAnsi" w:hAnsiTheme="majorHAnsi" w:eastAsiaTheme="majorEastAsia" w:cstheme="majorBidi"/>
      <w:color w:val="1F3763"/>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arter"/>
    <w:uiPriority w:val="99"/>
    <w:unhideWhenUsed/>
    <w:rsid w:val="3EEE1E1A"/>
    <w:pPr>
      <w:tabs>
        <w:tab w:val="center" w:pos="4252"/>
        <w:tab w:val="right" w:pos="8504"/>
      </w:tabs>
    </w:pPr>
  </w:style>
  <w:style w:type="character" w:styleId="CabealhoCarter" w:customStyle="1">
    <w:name w:val="Cabeçalho Caráter"/>
    <w:basedOn w:val="Tipodeletrapredefinidodopargrafo"/>
    <w:link w:val="Cabealho"/>
    <w:uiPriority w:val="99"/>
    <w:rsid w:val="00D13B36"/>
    <w:rPr>
      <w:rFonts w:ascii="Arial" w:hAnsi="Arial"/>
      <w:kern w:val="24"/>
      <w:sz w:val="24"/>
    </w:rPr>
  </w:style>
  <w:style w:type="paragraph" w:styleId="Rodap">
    <w:name w:val="footer"/>
    <w:basedOn w:val="Normal"/>
    <w:link w:val="RodapCarter"/>
    <w:uiPriority w:val="99"/>
    <w:unhideWhenUsed/>
    <w:rsid w:val="3EEE1E1A"/>
    <w:pPr>
      <w:tabs>
        <w:tab w:val="center" w:pos="4252"/>
        <w:tab w:val="right" w:pos="8504"/>
      </w:tabs>
    </w:pPr>
  </w:style>
  <w:style w:type="character" w:styleId="RodapCarter" w:customStyle="1">
    <w:name w:val="Rodapé Caráter"/>
    <w:basedOn w:val="Tipodeletrapredefinidodopargrafo"/>
    <w:link w:val="Rodap"/>
    <w:uiPriority w:val="99"/>
    <w:rsid w:val="00D13B36"/>
    <w:rPr>
      <w:rFonts w:ascii="Arial" w:hAnsi="Arial"/>
      <w:kern w:val="24"/>
      <w:sz w:val="24"/>
    </w:rPr>
  </w:style>
  <w:style w:type="character" w:styleId="Hiperligao">
    <w:name w:val="Hyperlink"/>
    <w:basedOn w:val="Tipodeletrapredefinidodopargrafo"/>
    <w:uiPriority w:val="99"/>
    <w:unhideWhenUsed/>
    <w:rsid w:val="00D13B36"/>
    <w:rPr>
      <w:color w:val="0563C1" w:themeColor="hyperlink"/>
      <w:u w:val="single"/>
    </w:rPr>
  </w:style>
  <w:style w:type="paragraph" w:styleId="PargrafodaLista">
    <w:name w:val="List Paragraph"/>
    <w:basedOn w:val="Normal"/>
    <w:uiPriority w:val="34"/>
    <w:qFormat/>
    <w:rsid w:val="3EEE1E1A"/>
    <w:pPr>
      <w:spacing w:after="160"/>
      <w:ind w:left="720" w:firstLine="0"/>
      <w:contextualSpacing/>
    </w:pPr>
    <w:rPr>
      <w:rFonts w:asciiTheme="minorHAnsi" w:hAnsiTheme="minorHAnsi"/>
      <w:sz w:val="22"/>
      <w:szCs w:val="22"/>
    </w:rPr>
  </w:style>
  <w:style w:type="paragraph" w:styleId="Textodenotaderodap">
    <w:name w:val="footnote text"/>
    <w:basedOn w:val="Normal"/>
    <w:link w:val="TextodenotaderodapCarter"/>
    <w:uiPriority w:val="99"/>
    <w:semiHidden/>
    <w:unhideWhenUsed/>
    <w:rsid w:val="3EEE1E1A"/>
    <w:pPr>
      <w:ind w:firstLine="0"/>
    </w:pPr>
    <w:rPr>
      <w:rFonts w:asciiTheme="minorHAnsi" w:hAnsiTheme="minorHAnsi"/>
      <w:sz w:val="20"/>
      <w:szCs w:val="20"/>
    </w:rPr>
  </w:style>
  <w:style w:type="character" w:styleId="TextodenotaderodapCarter" w:customStyle="1">
    <w:name w:val="Texto de nota de rodapé Caráter"/>
    <w:basedOn w:val="Tipodeletrapredefinidodopargrafo"/>
    <w:link w:val="Textodenotaderodap"/>
    <w:uiPriority w:val="99"/>
    <w:semiHidden/>
    <w:rsid w:val="00D13B36"/>
    <w:rPr>
      <w:sz w:val="20"/>
      <w:szCs w:val="20"/>
    </w:rPr>
  </w:style>
  <w:style w:type="character" w:styleId="Refdenotaderodap">
    <w:name w:val="footnote reference"/>
    <w:basedOn w:val="Tipodeletrapredefinidodopargrafo"/>
    <w:uiPriority w:val="99"/>
    <w:semiHidden/>
    <w:unhideWhenUsed/>
    <w:rsid w:val="00D13B36"/>
    <w:rPr>
      <w:vertAlign w:val="superscript"/>
    </w:rPr>
  </w:style>
  <w:style w:type="character" w:styleId="fontstyle01" w:customStyle="1">
    <w:name w:val="fontstyle01"/>
    <w:basedOn w:val="Tipodeletrapredefinidodopargrafo"/>
    <w:rsid w:val="00D13B36"/>
    <w:rPr>
      <w:rFonts w:hint="default" w:ascii="Times-Italic" w:hAnsi="Times-Italic"/>
      <w:b w:val="0"/>
      <w:bCs w:val="0"/>
      <w:i/>
      <w:iCs/>
      <w:color w:val="000000"/>
      <w:sz w:val="20"/>
      <w:szCs w:val="20"/>
    </w:rPr>
  </w:style>
  <w:style w:type="paragraph" w:styleId="NormalWeb">
    <w:name w:val="Normal (Web)"/>
    <w:basedOn w:val="Normal"/>
    <w:link w:val="NormalWebCarter"/>
    <w:uiPriority w:val="99"/>
    <w:unhideWhenUsed/>
    <w:rsid w:val="3EEE1E1A"/>
    <w:pPr>
      <w:spacing w:beforeAutospacing="1" w:afterAutospacing="1"/>
      <w:ind w:firstLine="0"/>
    </w:pPr>
    <w:rPr>
      <w:rFonts w:ascii="Times New Roman" w:hAnsi="Times New Roman" w:eastAsia="Times New Roman" w:cs="Times New Roman"/>
      <w:lang w:eastAsia="pt-BR"/>
    </w:rPr>
  </w:style>
  <w:style w:type="character" w:styleId="normaltextrun" w:customStyle="1">
    <w:name w:val="normaltextrun"/>
    <w:basedOn w:val="Tipodeletrapredefinidodopargrafo"/>
    <w:rsid w:val="00D13B36"/>
  </w:style>
  <w:style w:type="character" w:styleId="spellingerror" w:customStyle="1">
    <w:name w:val="spellingerror"/>
    <w:basedOn w:val="Tipodeletrapredefinidodopargrafo"/>
    <w:rsid w:val="00D13B36"/>
  </w:style>
  <w:style w:type="character" w:styleId="Cabealho1Carter" w:customStyle="1">
    <w:name w:val="Cabeçalho 1 Caráter"/>
    <w:basedOn w:val="Tipodeletrapredefinidodopargrafo"/>
    <w:link w:val="Cabealho1"/>
    <w:uiPriority w:val="9"/>
    <w:rsid w:val="00D13B36"/>
    <w:rPr>
      <w:rFonts w:ascii="Cambria" w:hAnsi="Cambria" w:eastAsia="Times New Roman"/>
      <w:b/>
      <w:bCs/>
      <w:kern w:val="32"/>
      <w:sz w:val="32"/>
      <w:szCs w:val="32"/>
    </w:rPr>
  </w:style>
  <w:style w:type="character" w:styleId="NormalWebCarter" w:customStyle="1">
    <w:name w:val="Normal (Web) Caráter"/>
    <w:link w:val="NormalWeb"/>
    <w:uiPriority w:val="99"/>
    <w:rsid w:val="00D13B36"/>
    <w:rPr>
      <w:rFonts w:ascii="Times New Roman" w:hAnsi="Times New Roman" w:eastAsia="Times New Roman" w:cs="Times New Roman"/>
      <w:sz w:val="24"/>
      <w:szCs w:val="24"/>
      <w:lang w:eastAsia="pt-BR"/>
    </w:rPr>
  </w:style>
  <w:style w:type="paragraph" w:styleId="Textodecomentrio">
    <w:name w:val="annotation text"/>
    <w:basedOn w:val="Normal"/>
    <w:link w:val="TextodecomentrioCarter"/>
    <w:uiPriority w:val="99"/>
    <w:semiHidden/>
    <w:unhideWhenUsed/>
    <w:rsid w:val="3EEE1E1A"/>
    <w:rPr>
      <w:sz w:val="20"/>
      <w:szCs w:val="20"/>
    </w:rPr>
  </w:style>
  <w:style w:type="character" w:styleId="TextodecomentrioCarter" w:customStyle="1">
    <w:name w:val="Texto de comentário Caráter"/>
    <w:basedOn w:val="Tipodeletrapredefinidodopargrafo"/>
    <w:link w:val="Textodecomentrio"/>
    <w:uiPriority w:val="99"/>
    <w:semiHidden/>
    <w:rPr>
      <w:rFonts w:ascii="Arial" w:hAnsi="Arial"/>
      <w:kern w:val="24"/>
      <w:sz w:val="20"/>
      <w:szCs w:val="20"/>
    </w:rPr>
  </w:style>
  <w:style w:type="character" w:styleId="Refdecomentrio">
    <w:name w:val="annotation reference"/>
    <w:basedOn w:val="Tipodeletrapredefinidodopargrafo"/>
    <w:uiPriority w:val="99"/>
    <w:semiHidden/>
    <w:unhideWhenUsed/>
    <w:rPr>
      <w:sz w:val="16"/>
      <w:szCs w:val="16"/>
    </w:rPr>
  </w:style>
  <w:style w:type="character" w:styleId="Cabealho3Carter" w:customStyle="1">
    <w:name w:val="Cabeçalho 3 Caráter"/>
    <w:basedOn w:val="Tipodeletrapredefinidodopargrafo"/>
    <w:link w:val="Cabealho3"/>
    <w:uiPriority w:val="9"/>
    <w:semiHidden/>
    <w:rsid w:val="000575FF"/>
    <w:rPr>
      <w:rFonts w:asciiTheme="majorHAnsi" w:hAnsiTheme="majorHAnsi" w:eastAsiaTheme="majorEastAsia" w:cstheme="majorBidi"/>
      <w:color w:val="1F3763" w:themeColor="accent1" w:themeShade="7F"/>
      <w:kern w:val="24"/>
      <w:sz w:val="24"/>
      <w:szCs w:val="24"/>
    </w:rPr>
  </w:style>
  <w:style w:type="character" w:styleId="MenoPendente1" w:customStyle="1">
    <w:name w:val="Menção Pendente1"/>
    <w:basedOn w:val="Tipodeletrapredefinidodopargrafo"/>
    <w:uiPriority w:val="99"/>
    <w:semiHidden/>
    <w:unhideWhenUsed/>
    <w:rsid w:val="00DA7E36"/>
    <w:rPr>
      <w:color w:val="605E5C"/>
      <w:shd w:val="clear" w:color="auto" w:fill="E1DFDD"/>
    </w:rPr>
  </w:style>
  <w:style w:type="paragraph" w:styleId="Reviso">
    <w:name w:val="Revision"/>
    <w:hidden/>
    <w:uiPriority w:val="99"/>
    <w:semiHidden/>
    <w:rsid w:val="00192066"/>
    <w:pPr>
      <w:spacing w:after="0" w:line="240" w:lineRule="auto"/>
    </w:pPr>
    <w:rPr>
      <w:rFonts w:ascii="Arial" w:hAnsi="Arial"/>
      <w:kern w:val="24"/>
      <w:sz w:val="24"/>
    </w:rPr>
  </w:style>
  <w:style w:type="table" w:styleId="Tabelacomgrelha">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rte">
    <w:name w:val="Strong"/>
    <w:basedOn w:val="Tipodeletrapredefinidodopargrafo"/>
    <w:uiPriority w:val="22"/>
    <w:qFormat/>
    <w:rsid w:val="002C2235"/>
    <w:rPr>
      <w:b/>
      <w:bCs/>
    </w:rPr>
  </w:style>
  <w:style w:type="paragraph" w:styleId="Textodebalo">
    <w:name w:val="Balloon Text"/>
    <w:basedOn w:val="Normal"/>
    <w:link w:val="TextodebaloCarter"/>
    <w:uiPriority w:val="99"/>
    <w:semiHidden/>
    <w:unhideWhenUsed/>
    <w:rsid w:val="3EEE1E1A"/>
    <w:rPr>
      <w:rFonts w:ascii="Segoe UI" w:hAnsi="Segoe UI" w:cs="Segoe UI"/>
      <w:sz w:val="18"/>
      <w:szCs w:val="18"/>
    </w:rPr>
  </w:style>
  <w:style w:type="character" w:styleId="TextodebaloCarter" w:customStyle="1">
    <w:name w:val="Texto de balão Caráter"/>
    <w:basedOn w:val="Tipodeletrapredefinidodopargrafo"/>
    <w:link w:val="Textodebalo"/>
    <w:uiPriority w:val="99"/>
    <w:semiHidden/>
    <w:rsid w:val="00E25D8B"/>
    <w:rPr>
      <w:rFonts w:ascii="Segoe UI" w:hAnsi="Segoe UI" w:cs="Segoe UI"/>
      <w:kern w:val="24"/>
      <w:sz w:val="18"/>
      <w:szCs w:val="18"/>
    </w:rPr>
  </w:style>
  <w:style w:type="paragraph" w:styleId="Assuntodecomentrio">
    <w:name w:val="annotation subject"/>
    <w:basedOn w:val="Textodecomentrio"/>
    <w:next w:val="Textodecomentrio"/>
    <w:link w:val="AssuntodecomentrioCarter"/>
    <w:uiPriority w:val="99"/>
    <w:semiHidden/>
    <w:unhideWhenUsed/>
    <w:rsid w:val="00926BE7"/>
    <w:rPr>
      <w:b/>
      <w:bCs/>
    </w:rPr>
  </w:style>
  <w:style w:type="character" w:styleId="AssuntodecomentrioCarter" w:customStyle="1">
    <w:name w:val="Assunto de comentário Caráter"/>
    <w:basedOn w:val="TextodecomentrioCarter"/>
    <w:link w:val="Assuntodecomentrio"/>
    <w:uiPriority w:val="99"/>
    <w:semiHidden/>
    <w:rsid w:val="00926BE7"/>
    <w:rPr>
      <w:rFonts w:ascii="Arial" w:hAnsi="Arial"/>
      <w:b/>
      <w:bCs/>
      <w:kern w:val="24"/>
      <w:sz w:val="20"/>
      <w:szCs w:val="20"/>
    </w:rPr>
  </w:style>
  <w:style w:type="character" w:styleId="UnresolvedMention1" w:customStyle="1">
    <w:name w:val="Unresolved Mention1"/>
    <w:basedOn w:val="Tipodeletrapredefinidodopargrafo"/>
    <w:uiPriority w:val="99"/>
    <w:semiHidden/>
    <w:unhideWhenUsed/>
    <w:rsid w:val="00761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11682">
      <w:bodyDiv w:val="1"/>
      <w:marLeft w:val="0"/>
      <w:marRight w:val="0"/>
      <w:marTop w:val="0"/>
      <w:marBottom w:val="0"/>
      <w:divBdr>
        <w:top w:val="none" w:sz="0" w:space="0" w:color="auto"/>
        <w:left w:val="none" w:sz="0" w:space="0" w:color="auto"/>
        <w:bottom w:val="none" w:sz="0" w:space="0" w:color="auto"/>
        <w:right w:val="none" w:sz="0" w:space="0" w:color="auto"/>
      </w:divBdr>
      <w:divsChild>
        <w:div w:id="246888949">
          <w:marLeft w:val="0"/>
          <w:marRight w:val="0"/>
          <w:marTop w:val="0"/>
          <w:marBottom w:val="120"/>
          <w:divBdr>
            <w:top w:val="none" w:sz="0" w:space="0" w:color="auto"/>
            <w:left w:val="none" w:sz="0" w:space="0" w:color="auto"/>
            <w:bottom w:val="none" w:sz="0" w:space="0" w:color="auto"/>
            <w:right w:val="none" w:sz="0" w:space="0" w:color="auto"/>
          </w:divBdr>
          <w:divsChild>
            <w:div w:id="1558399982">
              <w:marLeft w:val="0"/>
              <w:marRight w:val="0"/>
              <w:marTop w:val="0"/>
              <w:marBottom w:val="0"/>
              <w:divBdr>
                <w:top w:val="none" w:sz="0" w:space="0" w:color="auto"/>
                <w:left w:val="none" w:sz="0" w:space="0" w:color="auto"/>
                <w:bottom w:val="none" w:sz="0" w:space="0" w:color="auto"/>
                <w:right w:val="none" w:sz="0" w:space="0" w:color="auto"/>
              </w:divBdr>
              <w:divsChild>
                <w:div w:id="841160548">
                  <w:marLeft w:val="0"/>
                  <w:marRight w:val="0"/>
                  <w:marTop w:val="0"/>
                  <w:marBottom w:val="0"/>
                  <w:divBdr>
                    <w:top w:val="none" w:sz="0" w:space="0" w:color="auto"/>
                    <w:left w:val="none" w:sz="0" w:space="0" w:color="auto"/>
                    <w:bottom w:val="none" w:sz="0" w:space="0" w:color="auto"/>
                    <w:right w:val="none" w:sz="0" w:space="0" w:color="auto"/>
                  </w:divBdr>
                  <w:divsChild>
                    <w:div w:id="889027197">
                      <w:marLeft w:val="0"/>
                      <w:marRight w:val="0"/>
                      <w:marTop w:val="0"/>
                      <w:marBottom w:val="360"/>
                      <w:divBdr>
                        <w:top w:val="none" w:sz="0" w:space="0" w:color="auto"/>
                        <w:left w:val="none" w:sz="0" w:space="0" w:color="auto"/>
                        <w:bottom w:val="none" w:sz="0" w:space="0" w:color="auto"/>
                        <w:right w:val="none" w:sz="0" w:space="0" w:color="auto"/>
                      </w:divBdr>
                      <w:divsChild>
                        <w:div w:id="116604403">
                          <w:marLeft w:val="0"/>
                          <w:marRight w:val="0"/>
                          <w:marTop w:val="0"/>
                          <w:marBottom w:val="0"/>
                          <w:divBdr>
                            <w:top w:val="none" w:sz="0" w:space="0" w:color="auto"/>
                            <w:left w:val="none" w:sz="0" w:space="0" w:color="auto"/>
                            <w:bottom w:val="none" w:sz="0" w:space="0" w:color="auto"/>
                            <w:right w:val="none" w:sz="0" w:space="0" w:color="auto"/>
                          </w:divBdr>
                          <w:divsChild>
                            <w:div w:id="1897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26127">
      <w:bodyDiv w:val="1"/>
      <w:marLeft w:val="0"/>
      <w:marRight w:val="0"/>
      <w:marTop w:val="0"/>
      <w:marBottom w:val="0"/>
      <w:divBdr>
        <w:top w:val="none" w:sz="0" w:space="0" w:color="auto"/>
        <w:left w:val="none" w:sz="0" w:space="0" w:color="auto"/>
        <w:bottom w:val="none" w:sz="0" w:space="0" w:color="auto"/>
        <w:right w:val="none" w:sz="0" w:space="0" w:color="auto"/>
      </w:divBdr>
      <w:divsChild>
        <w:div w:id="655768521">
          <w:marLeft w:val="0"/>
          <w:marRight w:val="0"/>
          <w:marTop w:val="0"/>
          <w:marBottom w:val="360"/>
          <w:divBdr>
            <w:top w:val="none" w:sz="0" w:space="0" w:color="auto"/>
            <w:left w:val="none" w:sz="0" w:space="0" w:color="auto"/>
            <w:bottom w:val="none" w:sz="0" w:space="0" w:color="auto"/>
            <w:right w:val="none" w:sz="0" w:space="0" w:color="auto"/>
          </w:divBdr>
          <w:divsChild>
            <w:div w:id="1202399789">
              <w:marLeft w:val="0"/>
              <w:marRight w:val="0"/>
              <w:marTop w:val="0"/>
              <w:marBottom w:val="0"/>
              <w:divBdr>
                <w:top w:val="none" w:sz="0" w:space="0" w:color="auto"/>
                <w:left w:val="none" w:sz="0" w:space="0" w:color="auto"/>
                <w:bottom w:val="none" w:sz="0" w:space="0" w:color="auto"/>
                <w:right w:val="none" w:sz="0" w:space="0" w:color="auto"/>
              </w:divBdr>
              <w:divsChild>
                <w:div w:id="10061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6200">
      <w:bodyDiv w:val="1"/>
      <w:marLeft w:val="0"/>
      <w:marRight w:val="0"/>
      <w:marTop w:val="0"/>
      <w:marBottom w:val="0"/>
      <w:divBdr>
        <w:top w:val="none" w:sz="0" w:space="0" w:color="auto"/>
        <w:left w:val="none" w:sz="0" w:space="0" w:color="auto"/>
        <w:bottom w:val="none" w:sz="0" w:space="0" w:color="auto"/>
        <w:right w:val="none" w:sz="0" w:space="0" w:color="auto"/>
      </w:divBdr>
      <w:divsChild>
        <w:div w:id="1003706167">
          <w:marLeft w:val="0"/>
          <w:marRight w:val="0"/>
          <w:marTop w:val="0"/>
          <w:marBottom w:val="120"/>
          <w:divBdr>
            <w:top w:val="none" w:sz="0" w:space="0" w:color="auto"/>
            <w:left w:val="none" w:sz="0" w:space="0" w:color="auto"/>
            <w:bottom w:val="none" w:sz="0" w:space="0" w:color="auto"/>
            <w:right w:val="none" w:sz="0" w:space="0" w:color="auto"/>
          </w:divBdr>
          <w:divsChild>
            <w:div w:id="1161501246">
              <w:marLeft w:val="0"/>
              <w:marRight w:val="0"/>
              <w:marTop w:val="0"/>
              <w:marBottom w:val="0"/>
              <w:divBdr>
                <w:top w:val="none" w:sz="0" w:space="0" w:color="auto"/>
                <w:left w:val="none" w:sz="0" w:space="0" w:color="auto"/>
                <w:bottom w:val="none" w:sz="0" w:space="0" w:color="auto"/>
                <w:right w:val="none" w:sz="0" w:space="0" w:color="auto"/>
              </w:divBdr>
              <w:divsChild>
                <w:div w:id="1523713079">
                  <w:marLeft w:val="0"/>
                  <w:marRight w:val="0"/>
                  <w:marTop w:val="0"/>
                  <w:marBottom w:val="0"/>
                  <w:divBdr>
                    <w:top w:val="none" w:sz="0" w:space="0" w:color="auto"/>
                    <w:left w:val="none" w:sz="0" w:space="0" w:color="auto"/>
                    <w:bottom w:val="none" w:sz="0" w:space="0" w:color="auto"/>
                    <w:right w:val="none" w:sz="0" w:space="0" w:color="auto"/>
                  </w:divBdr>
                  <w:divsChild>
                    <w:div w:id="28336234">
                      <w:marLeft w:val="0"/>
                      <w:marRight w:val="0"/>
                      <w:marTop w:val="0"/>
                      <w:marBottom w:val="360"/>
                      <w:divBdr>
                        <w:top w:val="none" w:sz="0" w:space="0" w:color="auto"/>
                        <w:left w:val="none" w:sz="0" w:space="0" w:color="auto"/>
                        <w:bottom w:val="none" w:sz="0" w:space="0" w:color="auto"/>
                        <w:right w:val="none" w:sz="0" w:space="0" w:color="auto"/>
                      </w:divBdr>
                      <w:divsChild>
                        <w:div w:id="781726837">
                          <w:marLeft w:val="0"/>
                          <w:marRight w:val="0"/>
                          <w:marTop w:val="0"/>
                          <w:marBottom w:val="0"/>
                          <w:divBdr>
                            <w:top w:val="none" w:sz="0" w:space="0" w:color="auto"/>
                            <w:left w:val="none" w:sz="0" w:space="0" w:color="auto"/>
                            <w:bottom w:val="none" w:sz="0" w:space="0" w:color="auto"/>
                            <w:right w:val="none" w:sz="0" w:space="0" w:color="auto"/>
                          </w:divBdr>
                          <w:divsChild>
                            <w:div w:id="14883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960999">
      <w:bodyDiv w:val="1"/>
      <w:marLeft w:val="0"/>
      <w:marRight w:val="0"/>
      <w:marTop w:val="0"/>
      <w:marBottom w:val="0"/>
      <w:divBdr>
        <w:top w:val="none" w:sz="0" w:space="0" w:color="auto"/>
        <w:left w:val="none" w:sz="0" w:space="0" w:color="auto"/>
        <w:bottom w:val="none" w:sz="0" w:space="0" w:color="auto"/>
        <w:right w:val="none" w:sz="0" w:space="0" w:color="auto"/>
      </w:divBdr>
    </w:div>
    <w:div w:id="401372248">
      <w:bodyDiv w:val="1"/>
      <w:marLeft w:val="0"/>
      <w:marRight w:val="0"/>
      <w:marTop w:val="0"/>
      <w:marBottom w:val="0"/>
      <w:divBdr>
        <w:top w:val="none" w:sz="0" w:space="0" w:color="auto"/>
        <w:left w:val="none" w:sz="0" w:space="0" w:color="auto"/>
        <w:bottom w:val="none" w:sz="0" w:space="0" w:color="auto"/>
        <w:right w:val="none" w:sz="0" w:space="0" w:color="auto"/>
      </w:divBdr>
      <w:divsChild>
        <w:div w:id="1185169056">
          <w:marLeft w:val="0"/>
          <w:marRight w:val="0"/>
          <w:marTop w:val="0"/>
          <w:marBottom w:val="360"/>
          <w:divBdr>
            <w:top w:val="none" w:sz="0" w:space="0" w:color="auto"/>
            <w:left w:val="none" w:sz="0" w:space="0" w:color="auto"/>
            <w:bottom w:val="none" w:sz="0" w:space="0" w:color="auto"/>
            <w:right w:val="none" w:sz="0" w:space="0" w:color="auto"/>
          </w:divBdr>
          <w:divsChild>
            <w:div w:id="1836651436">
              <w:marLeft w:val="0"/>
              <w:marRight w:val="0"/>
              <w:marTop w:val="0"/>
              <w:marBottom w:val="0"/>
              <w:divBdr>
                <w:top w:val="none" w:sz="0" w:space="0" w:color="auto"/>
                <w:left w:val="none" w:sz="0" w:space="0" w:color="auto"/>
                <w:bottom w:val="none" w:sz="0" w:space="0" w:color="auto"/>
                <w:right w:val="none" w:sz="0" w:space="0" w:color="auto"/>
              </w:divBdr>
              <w:divsChild>
                <w:div w:id="12873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3113">
      <w:bodyDiv w:val="1"/>
      <w:marLeft w:val="0"/>
      <w:marRight w:val="0"/>
      <w:marTop w:val="0"/>
      <w:marBottom w:val="0"/>
      <w:divBdr>
        <w:top w:val="none" w:sz="0" w:space="0" w:color="auto"/>
        <w:left w:val="none" w:sz="0" w:space="0" w:color="auto"/>
        <w:bottom w:val="none" w:sz="0" w:space="0" w:color="auto"/>
        <w:right w:val="none" w:sz="0" w:space="0" w:color="auto"/>
      </w:divBdr>
    </w:div>
    <w:div w:id="991830454">
      <w:bodyDiv w:val="1"/>
      <w:marLeft w:val="0"/>
      <w:marRight w:val="0"/>
      <w:marTop w:val="0"/>
      <w:marBottom w:val="0"/>
      <w:divBdr>
        <w:top w:val="none" w:sz="0" w:space="0" w:color="auto"/>
        <w:left w:val="none" w:sz="0" w:space="0" w:color="auto"/>
        <w:bottom w:val="none" w:sz="0" w:space="0" w:color="auto"/>
        <w:right w:val="none" w:sz="0" w:space="0" w:color="auto"/>
      </w:divBdr>
      <w:divsChild>
        <w:div w:id="826630278">
          <w:marLeft w:val="0"/>
          <w:marRight w:val="0"/>
          <w:marTop w:val="0"/>
          <w:marBottom w:val="360"/>
          <w:divBdr>
            <w:top w:val="none" w:sz="0" w:space="0" w:color="auto"/>
            <w:left w:val="none" w:sz="0" w:space="0" w:color="auto"/>
            <w:bottom w:val="none" w:sz="0" w:space="0" w:color="auto"/>
            <w:right w:val="none" w:sz="0" w:space="0" w:color="auto"/>
          </w:divBdr>
          <w:divsChild>
            <w:div w:id="1472207481">
              <w:marLeft w:val="0"/>
              <w:marRight w:val="0"/>
              <w:marTop w:val="0"/>
              <w:marBottom w:val="0"/>
              <w:divBdr>
                <w:top w:val="none" w:sz="0" w:space="0" w:color="auto"/>
                <w:left w:val="none" w:sz="0" w:space="0" w:color="auto"/>
                <w:bottom w:val="none" w:sz="0" w:space="0" w:color="auto"/>
                <w:right w:val="none" w:sz="0" w:space="0" w:color="auto"/>
              </w:divBdr>
              <w:divsChild>
                <w:div w:id="127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17510">
      <w:bodyDiv w:val="1"/>
      <w:marLeft w:val="0"/>
      <w:marRight w:val="0"/>
      <w:marTop w:val="0"/>
      <w:marBottom w:val="0"/>
      <w:divBdr>
        <w:top w:val="none" w:sz="0" w:space="0" w:color="auto"/>
        <w:left w:val="none" w:sz="0" w:space="0" w:color="auto"/>
        <w:bottom w:val="none" w:sz="0" w:space="0" w:color="auto"/>
        <w:right w:val="none" w:sz="0" w:space="0" w:color="auto"/>
      </w:divBdr>
    </w:div>
    <w:div w:id="1448817129">
      <w:bodyDiv w:val="1"/>
      <w:marLeft w:val="0"/>
      <w:marRight w:val="0"/>
      <w:marTop w:val="0"/>
      <w:marBottom w:val="0"/>
      <w:divBdr>
        <w:top w:val="none" w:sz="0" w:space="0" w:color="auto"/>
        <w:left w:val="none" w:sz="0" w:space="0" w:color="auto"/>
        <w:bottom w:val="none" w:sz="0" w:space="0" w:color="auto"/>
        <w:right w:val="none" w:sz="0" w:space="0" w:color="auto"/>
      </w:divBdr>
    </w:div>
    <w:div w:id="1544710132">
      <w:bodyDiv w:val="1"/>
      <w:marLeft w:val="0"/>
      <w:marRight w:val="0"/>
      <w:marTop w:val="0"/>
      <w:marBottom w:val="0"/>
      <w:divBdr>
        <w:top w:val="none" w:sz="0" w:space="0" w:color="auto"/>
        <w:left w:val="none" w:sz="0" w:space="0" w:color="auto"/>
        <w:bottom w:val="none" w:sz="0" w:space="0" w:color="auto"/>
        <w:right w:val="none" w:sz="0" w:space="0" w:color="auto"/>
      </w:divBdr>
    </w:div>
    <w:div w:id="1713533047">
      <w:bodyDiv w:val="1"/>
      <w:marLeft w:val="0"/>
      <w:marRight w:val="0"/>
      <w:marTop w:val="0"/>
      <w:marBottom w:val="0"/>
      <w:divBdr>
        <w:top w:val="none" w:sz="0" w:space="0" w:color="auto"/>
        <w:left w:val="none" w:sz="0" w:space="0" w:color="auto"/>
        <w:bottom w:val="none" w:sz="0" w:space="0" w:color="auto"/>
        <w:right w:val="none" w:sz="0" w:space="0" w:color="auto"/>
      </w:divBdr>
      <w:divsChild>
        <w:div w:id="1036926111">
          <w:marLeft w:val="0"/>
          <w:marRight w:val="0"/>
          <w:marTop w:val="0"/>
          <w:marBottom w:val="360"/>
          <w:divBdr>
            <w:top w:val="none" w:sz="0" w:space="0" w:color="auto"/>
            <w:left w:val="none" w:sz="0" w:space="0" w:color="auto"/>
            <w:bottom w:val="none" w:sz="0" w:space="0" w:color="auto"/>
            <w:right w:val="none" w:sz="0" w:space="0" w:color="auto"/>
          </w:divBdr>
          <w:divsChild>
            <w:div w:id="482083244">
              <w:marLeft w:val="0"/>
              <w:marRight w:val="0"/>
              <w:marTop w:val="0"/>
              <w:marBottom w:val="0"/>
              <w:divBdr>
                <w:top w:val="none" w:sz="0" w:space="0" w:color="auto"/>
                <w:left w:val="none" w:sz="0" w:space="0" w:color="auto"/>
                <w:bottom w:val="none" w:sz="0" w:space="0" w:color="auto"/>
                <w:right w:val="none" w:sz="0" w:space="0" w:color="auto"/>
              </w:divBdr>
              <w:divsChild>
                <w:div w:id="17525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16886">
      <w:bodyDiv w:val="1"/>
      <w:marLeft w:val="0"/>
      <w:marRight w:val="0"/>
      <w:marTop w:val="0"/>
      <w:marBottom w:val="0"/>
      <w:divBdr>
        <w:top w:val="none" w:sz="0" w:space="0" w:color="auto"/>
        <w:left w:val="none" w:sz="0" w:space="0" w:color="auto"/>
        <w:bottom w:val="none" w:sz="0" w:space="0" w:color="auto"/>
        <w:right w:val="none" w:sz="0" w:space="0" w:color="auto"/>
      </w:divBdr>
    </w:div>
    <w:div w:id="1750076177">
      <w:bodyDiv w:val="1"/>
      <w:marLeft w:val="0"/>
      <w:marRight w:val="0"/>
      <w:marTop w:val="0"/>
      <w:marBottom w:val="0"/>
      <w:divBdr>
        <w:top w:val="none" w:sz="0" w:space="0" w:color="auto"/>
        <w:left w:val="none" w:sz="0" w:space="0" w:color="auto"/>
        <w:bottom w:val="none" w:sz="0" w:space="0" w:color="auto"/>
        <w:right w:val="none" w:sz="0" w:space="0" w:color="auto"/>
      </w:divBdr>
    </w:div>
    <w:div w:id="1911690205">
      <w:bodyDiv w:val="1"/>
      <w:marLeft w:val="0"/>
      <w:marRight w:val="0"/>
      <w:marTop w:val="0"/>
      <w:marBottom w:val="0"/>
      <w:divBdr>
        <w:top w:val="none" w:sz="0" w:space="0" w:color="auto"/>
        <w:left w:val="none" w:sz="0" w:space="0" w:color="auto"/>
        <w:bottom w:val="none" w:sz="0" w:space="0" w:color="auto"/>
        <w:right w:val="none" w:sz="0" w:space="0" w:color="auto"/>
      </w:divBdr>
      <w:divsChild>
        <w:div w:id="981739155">
          <w:marLeft w:val="0"/>
          <w:marRight w:val="0"/>
          <w:marTop w:val="0"/>
          <w:marBottom w:val="120"/>
          <w:divBdr>
            <w:top w:val="none" w:sz="0" w:space="0" w:color="auto"/>
            <w:left w:val="none" w:sz="0" w:space="0" w:color="auto"/>
            <w:bottom w:val="none" w:sz="0" w:space="0" w:color="auto"/>
            <w:right w:val="none" w:sz="0" w:space="0" w:color="auto"/>
          </w:divBdr>
          <w:divsChild>
            <w:div w:id="539439456">
              <w:marLeft w:val="0"/>
              <w:marRight w:val="0"/>
              <w:marTop w:val="0"/>
              <w:marBottom w:val="0"/>
              <w:divBdr>
                <w:top w:val="none" w:sz="0" w:space="0" w:color="auto"/>
                <w:left w:val="none" w:sz="0" w:space="0" w:color="auto"/>
                <w:bottom w:val="none" w:sz="0" w:space="0" w:color="auto"/>
                <w:right w:val="none" w:sz="0" w:space="0" w:color="auto"/>
              </w:divBdr>
              <w:divsChild>
                <w:div w:id="1792436746">
                  <w:marLeft w:val="0"/>
                  <w:marRight w:val="0"/>
                  <w:marTop w:val="0"/>
                  <w:marBottom w:val="0"/>
                  <w:divBdr>
                    <w:top w:val="none" w:sz="0" w:space="0" w:color="auto"/>
                    <w:left w:val="none" w:sz="0" w:space="0" w:color="auto"/>
                    <w:bottom w:val="none" w:sz="0" w:space="0" w:color="auto"/>
                    <w:right w:val="none" w:sz="0" w:space="0" w:color="auto"/>
                  </w:divBdr>
                  <w:divsChild>
                    <w:div w:id="408232381">
                      <w:marLeft w:val="0"/>
                      <w:marRight w:val="0"/>
                      <w:marTop w:val="0"/>
                      <w:marBottom w:val="360"/>
                      <w:divBdr>
                        <w:top w:val="none" w:sz="0" w:space="0" w:color="auto"/>
                        <w:left w:val="none" w:sz="0" w:space="0" w:color="auto"/>
                        <w:bottom w:val="none" w:sz="0" w:space="0" w:color="auto"/>
                        <w:right w:val="none" w:sz="0" w:space="0" w:color="auto"/>
                      </w:divBdr>
                      <w:divsChild>
                        <w:div w:id="1457329898">
                          <w:marLeft w:val="0"/>
                          <w:marRight w:val="0"/>
                          <w:marTop w:val="0"/>
                          <w:marBottom w:val="0"/>
                          <w:divBdr>
                            <w:top w:val="none" w:sz="0" w:space="0" w:color="auto"/>
                            <w:left w:val="none" w:sz="0" w:space="0" w:color="auto"/>
                            <w:bottom w:val="none" w:sz="0" w:space="0" w:color="auto"/>
                            <w:right w:val="none" w:sz="0" w:space="0" w:color="auto"/>
                          </w:divBdr>
                          <w:divsChild>
                            <w:div w:id="6149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003496">
      <w:bodyDiv w:val="1"/>
      <w:marLeft w:val="0"/>
      <w:marRight w:val="0"/>
      <w:marTop w:val="0"/>
      <w:marBottom w:val="0"/>
      <w:divBdr>
        <w:top w:val="none" w:sz="0" w:space="0" w:color="auto"/>
        <w:left w:val="none" w:sz="0" w:space="0" w:color="auto"/>
        <w:bottom w:val="none" w:sz="0" w:space="0" w:color="auto"/>
        <w:right w:val="none" w:sz="0" w:space="0" w:color="auto"/>
      </w:divBdr>
      <w:divsChild>
        <w:div w:id="624501702">
          <w:marLeft w:val="0"/>
          <w:marRight w:val="390"/>
          <w:marTop w:val="0"/>
          <w:marBottom w:val="0"/>
          <w:divBdr>
            <w:top w:val="none" w:sz="0" w:space="0" w:color="auto"/>
            <w:left w:val="none" w:sz="0" w:space="0" w:color="auto"/>
            <w:bottom w:val="none" w:sz="0" w:space="0" w:color="auto"/>
            <w:right w:val="none" w:sz="0" w:space="0" w:color="auto"/>
          </w:divBdr>
        </w:div>
        <w:div w:id="1817867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contato@glcmadv.com.br"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2" Type="http://schemas.openxmlformats.org/officeDocument/2006/relationships/hyperlink" Target="http://www.glcmadv.com.br" TargetMode="External"/><Relationship Id="rId1" Type="http://schemas.openxmlformats.org/officeDocument/2006/relationships/hyperlink" Target="mailto:contato@glcmadv.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4e864d-a815-4097-ac90-2974c57a97e0" xsi:nil="true"/>
    <lcf76f155ced4ddcb4097134ff3c332f xmlns="7110e5b5-bc0b-438b-a41f-a73359eb633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D22AA0428DF9640B09870F6105B99B2" ma:contentTypeVersion="13" ma:contentTypeDescription="Crie um novo documento." ma:contentTypeScope="" ma:versionID="767fc481316ac4f4025481fb48393820">
  <xsd:schema xmlns:xsd="http://www.w3.org/2001/XMLSchema" xmlns:xs="http://www.w3.org/2001/XMLSchema" xmlns:p="http://schemas.microsoft.com/office/2006/metadata/properties" xmlns:ns2="7110e5b5-bc0b-438b-a41f-a73359eb6337" xmlns:ns3="6b4e864d-a815-4097-ac90-2974c57a97e0" targetNamespace="http://schemas.microsoft.com/office/2006/metadata/properties" ma:root="true" ma:fieldsID="c82ae56593b73865e0e139c16538d1ad" ns2:_="" ns3:_="">
    <xsd:import namespace="7110e5b5-bc0b-438b-a41f-a73359eb6337"/>
    <xsd:import namespace="6b4e864d-a815-4097-ac90-2974c57a97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0e5b5-bc0b-438b-a41f-a73359eb6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00ec049-7312-4b4a-bb5a-0948420f3f9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4e864d-a815-4097-ac90-2974c57a97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ec48c8-6c8a-4fd4-a057-e8fe5acc4c24}" ma:internalName="TaxCatchAll" ma:showField="CatchAllData" ma:web="6b4e864d-a815-4097-ac90-2974c57a97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FBC2C-B465-4417-940F-33ED6E8648E9}">
  <ds:schemaRefs>
    <ds:schemaRef ds:uri="http://schemas.microsoft.com/sharepoint/v3/contenttype/forms"/>
  </ds:schemaRefs>
</ds:datastoreItem>
</file>

<file path=customXml/itemProps2.xml><?xml version="1.0" encoding="utf-8"?>
<ds:datastoreItem xmlns:ds="http://schemas.openxmlformats.org/officeDocument/2006/customXml" ds:itemID="{475ADB81-A67D-473A-A4AD-CD7D74CD719D}">
  <ds:schemaRefs>
    <ds:schemaRef ds:uri="http://purl.org/dc/elements/1.1/"/>
    <ds:schemaRef ds:uri="http://purl.org/dc/terms/"/>
    <ds:schemaRef ds:uri="http://schemas.microsoft.com/office/2006/documentManagement/types"/>
    <ds:schemaRef ds:uri="http://www.w3.org/XML/1998/namespace"/>
    <ds:schemaRef ds:uri="http://purl.org/dc/dcmitype/"/>
    <ds:schemaRef ds:uri="31595136-497b-49cb-8398-ee572b95344d"/>
    <ds:schemaRef ds:uri="http://schemas.microsoft.com/office/infopath/2007/PartnerControls"/>
    <ds:schemaRef ds:uri="http://schemas.openxmlformats.org/package/2006/metadata/core-properties"/>
    <ds:schemaRef ds:uri="6b4e864d-a815-4097-ac90-2974c57a97e0"/>
    <ds:schemaRef ds:uri="http://schemas.microsoft.com/office/2006/metadata/properties"/>
  </ds:schemaRefs>
</ds:datastoreItem>
</file>

<file path=customXml/itemProps3.xml><?xml version="1.0" encoding="utf-8"?>
<ds:datastoreItem xmlns:ds="http://schemas.openxmlformats.org/officeDocument/2006/customXml" ds:itemID="{946FF929-F606-477C-8DC6-B4A46F1FAD41}"/>
</file>

<file path=customXml/itemProps4.xml><?xml version="1.0" encoding="utf-8"?>
<ds:datastoreItem xmlns:ds="http://schemas.openxmlformats.org/officeDocument/2006/customXml" ds:itemID="{9BF1250B-BA0A-4033-992C-31446C81C4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2024-03-26T00:44:00Z</cp:lastPrinted>
  <dcterms:created xsi:type="dcterms:W3CDTF">2026-04-21T22:36:00Z</dcterms:created>
  <dcterms:modified xsi:type="dcterms:W3CDTF">2026-07-01T02:00:37Z</dcterms:modified>
</cp:coreProperties>
</file>