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37C4" w14:textId="5826CE24">
      <w:pPr>
        <w:widowControl w:val="0"/>
        <w:spacing w:line="276" w:lineRule="auto"/>
        <w:ind w:right="-285" w:firstLine="0"/>
        <w:jc w:val="both"/>
      </w:pPr>
      <w:r>
        <w:rPr>
          <w:rFonts w:ascii="Roboto" w:hAnsi="Roboto" w:cs="Arial"/>
          <w:b/>
          <w:bCs/>
          <w:sz w:val="23"/>
          <w:szCs w:val="23"/>
        </w:rPr>
        <w:t>E</w:t>
      </w:r>
      <w:r>
        <w:rPr>
          <w:rFonts w:ascii="Roboto" w:hAnsi="Roboto" w:cs="Arial"/>
          <w:b/>
          <w:bCs/>
          <w:sz w:val="23"/>
          <w:szCs w:val="23"/>
        </w:rPr>
        <w:t xml:space="preserve">XMO(A). </w:t>
      </w:r>
      <w:r>
        <w:rPr>
          <w:rFonts w:ascii="Roboto" w:hAnsi="Roboto" w:cs="Arial"/>
          <w:b/>
          <w:bCs/>
          <w:sz w:val="23"/>
          <w:szCs w:val="23"/>
        </w:rPr>
        <w:t>SR(A</w:t>
      </w:r>
      <w:r>
        <w:rPr>
          <w:rFonts w:ascii="Roboto" w:hAnsi="Roboto" w:cs="Arial"/>
          <w:b/>
          <w:bCs/>
          <w:sz w:val="23"/>
          <w:szCs w:val="23"/>
        </w:rPr>
        <w:t>). DR(A). JUIZ(A) FEDERAL DA ___ª VARA FEDERAL DA SEÇÃO JUDICIÁRIA</w:t>
      </w:r>
      <w:r>
        <w:rPr>
          <w:rFonts w:ascii="Roboto" w:hAnsi="Roboto" w:cs="Arial"/>
          <w:b/>
          <w:bCs/>
          <w:sz w:val="23"/>
          <w:szCs w:val="23"/>
        </w:rPr>
        <w:t xml:space="preserve"> </w:t>
      </w:r>
      <w:r>
        <w:rPr>
          <w:rFonts w:ascii="Roboto" w:hAnsi="Roboto" w:cs="Arial"/>
          <w:b/>
          <w:bCs/>
          <w:sz w:val="23"/>
          <w:szCs w:val="23"/>
        </w:rPr>
        <w:t xml:space="preserve">DE </w:t>
      </w:r>
      <w:r>
        <w:rPr>
          <w:rFonts w:ascii="Roboto" w:hAnsi="Roboto" w:cs="Arial"/>
          <w:b/>
          <w:bCs/>
          <w:sz w:val="23"/>
          <w:szCs w:val="23"/>
          <w:highlight w:val="yellow"/>
        </w:rPr>
        <w:t>CAIEIRAS/SP</w:t>
      </w:r>
      <w:r>
        <w:rPr>
          <w:rFonts w:ascii="Roboto" w:hAnsi="Roboto" w:cs="Arial"/>
          <w:b/>
          <w:bCs/>
          <w:sz w:val="23"/>
          <w:szCs w:val="23"/>
        </w:rPr>
        <w:t xml:space="preserve"> </w:t>
      </w:r>
    </w:p>
    <w:p w14:paraId="4F6E616C" w14:textId="08BC3E22">
      <w:pPr>
        <w:widowControl w:val="0"/>
        <w:spacing w:line="276" w:lineRule="auto"/>
        <w:ind w:right="-285"/>
        <w:jc w:val="both"/>
      </w:pPr>
      <w:r>
        <w:rPr>
          <w:rFonts w:ascii="Roboto" w:eastAsia="Roboto" w:hAnsi="Roboto" w:cs="Roboto"/>
          <w:b/>
          <w:bCs/>
          <w:sz w:val="23"/>
          <w:szCs w:val="23"/>
        </w:rPr>
        <w:t xml:space="preserve"> </w:t>
      </w:r>
    </w:p>
    <w:p w14:paraId="7EA2A400" w14:textId="0404D717">
      <w:pPr>
        <w:widowControl w:val="0"/>
        <w:spacing w:line="276" w:lineRule="auto"/>
        <w:ind w:right="-285"/>
        <w:jc w:val="both"/>
      </w:pPr>
      <w:r>
        <w:rPr>
          <w:rFonts w:ascii="Roboto" w:eastAsia="Roboto" w:hAnsi="Roboto" w:cs="Roboto"/>
          <w:sz w:val="23"/>
          <w:szCs w:val="23"/>
        </w:rPr>
        <w:t xml:space="preserve"> </w:t>
      </w:r>
    </w:p>
    <w:p w14:paraId="0FEBF593" w14:textId="5CB2F8B7">
      <w:pPr>
        <w:widowControl w:val="0"/>
        <w:spacing w:line="276" w:lineRule="auto"/>
        <w:ind w:right="-285"/>
        <w:jc w:val="both"/>
      </w:pPr>
      <w:r>
        <w:rPr>
          <w:rFonts w:ascii="Roboto" w:eastAsia="Roboto" w:hAnsi="Roboto" w:cs="Roboto"/>
          <w:sz w:val="23"/>
          <w:szCs w:val="23"/>
        </w:rPr>
        <w:t xml:space="preserve"> </w:t>
      </w:r>
    </w:p>
    <w:p w14:paraId="7F8EF284" w14:textId="014349D0">
      <w:pPr>
        <w:widowControl w:val="0"/>
        <w:spacing w:line="276" w:lineRule="auto"/>
        <w:ind w:left="2268"/>
        <w:jc w:val="both"/>
      </w:pPr>
      <w:r>
        <w:rPr>
          <w:rFonts w:ascii="Roboto" w:eastAsia="Roboto" w:hAnsi="Roboto" w:cs="Roboto"/>
          <w:b/>
          <w:bCs/>
          <w:sz w:val="23"/>
          <w:szCs w:val="23"/>
        </w:rPr>
        <w:t xml:space="preserve"> </w:t>
      </w:r>
    </w:p>
    <w:p w14:paraId="09370190" w14:textId="0461F702">
      <w:pPr>
        <w:widowControl w:val="0"/>
        <w:spacing w:line="276" w:lineRule="auto"/>
        <w:ind w:left="2832" w:firstLine="0"/>
        <w:jc w:val="both"/>
        <w:rPr>
          <w:rStyle w:val="Refdenotaderodap"/>
          <w:rFonts w:ascii="Roboto" w:hAnsi="Roboto" w:cs="Arial"/>
          <w:b/>
          <w:bCs/>
          <w:sz w:val="23"/>
          <w:szCs w:val="23"/>
          <w:u w:val="single"/>
        </w:rPr>
      </w:pPr>
      <w:r>
        <w:rPr>
          <w:rFonts w:ascii="Roboto" w:eastAsia="Roboto" w:hAnsi="Roboto" w:cs="Roboto"/>
          <w:b/>
          <w:bCs/>
          <w:sz w:val="22"/>
        </w:rPr>
        <w:t xml:space="preserve">EMENTA: </w:t>
      </w:r>
      <w:r>
        <w:rPr>
          <w:rFonts w:ascii="Roboto" w:hAnsi="Roboto" w:cs="Arial"/>
          <w:b/>
          <w:bCs/>
          <w:sz w:val="23"/>
          <w:szCs w:val="23"/>
        </w:rPr>
        <w:t xml:space="preserve">DIREITO TRIBUTÁRIO – IMPOSTO DE RENDA DA PESSOA FÍSICA – NÃO INCIDÊNCIA SOBRE HRA – </w:t>
      </w:r>
      <w:r>
        <w:rPr>
          <w:rFonts w:ascii="Roboto" w:hAnsi="Roboto" w:cs="Arial"/>
          <w:b/>
          <w:bCs/>
          <w:sz w:val="23"/>
          <w:szCs w:val="23"/>
          <w:u w:val="single"/>
        </w:rPr>
        <w:t>TEMA 306 DA TNU TRANSITADO EM JULGADO</w:t>
      </w:r>
    </w:p>
    <w:p w14:paraId="08822A39" w14:textId="2D285E5D">
      <w:pPr>
        <w:widowControl w:val="0"/>
        <w:spacing w:line="276" w:lineRule="auto"/>
        <w:ind w:left="2124" w:right="-285"/>
        <w:jc w:val="both"/>
        <w:rPr>
          <w:rFonts w:ascii="Roboto" w:eastAsia="Roboto" w:hAnsi="Roboto" w:cs="Roboto"/>
          <w:sz w:val="22"/>
        </w:rPr>
      </w:pPr>
      <w:r>
        <w:rPr>
          <w:rFonts w:ascii="Roboto" w:eastAsia="Roboto" w:hAnsi="Roboto" w:cs="Roboto"/>
          <w:sz w:val="22"/>
        </w:rPr>
        <w:t xml:space="preserve"> </w:t>
      </w:r>
    </w:p>
    <w:p w14:paraId="642021C3" w14:textId="0F7E3A26">
      <w:pPr>
        <w:widowControl w:val="0"/>
        <w:spacing w:line="276" w:lineRule="auto"/>
        <w:ind w:right="-285"/>
        <w:jc w:val="both"/>
        <w:rPr>
          <w:rFonts w:ascii="Roboto" w:eastAsia="Roboto" w:hAnsi="Roboto" w:cs="Roboto"/>
          <w:sz w:val="23"/>
          <w:szCs w:val="23"/>
        </w:rPr>
      </w:pPr>
      <w:r>
        <w:rPr>
          <w:rFonts w:ascii="Roboto" w:eastAsia="Roboto" w:hAnsi="Roboto" w:cs="Roboto"/>
          <w:sz w:val="23"/>
          <w:szCs w:val="23"/>
        </w:rPr>
        <w:t xml:space="preserve"> </w:t>
      </w:r>
    </w:p>
    <w:p w14:paraId="5B01B876" w14:textId="77777777">
      <w:pPr>
        <w:widowControl w:val="0"/>
        <w:spacing w:line="276" w:lineRule="auto"/>
        <w:ind w:right="-285"/>
        <w:jc w:val="both"/>
      </w:pPr>
    </w:p>
    <w:p w14:paraId="6C829D7C" w14:textId="740E22DD">
      <w:pPr>
        <w:widowControl w:val="0"/>
        <w:spacing w:line="276" w:lineRule="auto"/>
        <w:ind w:right="-285"/>
        <w:jc w:val="both"/>
        <w:rPr>
          <w:rFonts w:ascii="Roboto" w:eastAsia="Roboto" w:hAnsi="Roboto" w:cs="Roboto"/>
          <w:sz w:val="23"/>
          <w:szCs w:val="23"/>
        </w:rPr>
      </w:pPr>
    </w:p>
    <w:p w14:paraId="62429A52" w14:textId="6A6F85CA">
      <w:pPr>
        <w:widowControl w:val="0"/>
        <w:spacing w:line="276" w:lineRule="auto"/>
        <w:jc w:val="both"/>
        <w:rPr>
          <w:rFonts w:ascii="Roboto" w:hAnsi="Roboto" w:cs="Arial"/>
          <w:sz w:val="23"/>
          <w:szCs w:val="23"/>
        </w:rPr>
      </w:pPr>
      <w:r>
        <w:rPr>
          <w:rFonts w:ascii="Roboto" w:eastAsia="Roboto" w:hAnsi="Roboto" w:cs="Roboto"/>
          <w:b/>
          <w:bCs/>
          <w:sz w:val="23"/>
          <w:szCs w:val="23"/>
          <w:highlight w:val="yellow"/>
        </w:rPr>
        <w:t>{NOME_CLIENTE}</w:t>
      </w:r>
      <w:r>
        <w:rPr>
          <w:rFonts w:ascii="Roboto" w:eastAsia="Roboto" w:hAnsi="Roboto" w:cs="Roboto"/>
          <w:sz w:val="23"/>
          <w:szCs w:val="23"/>
        </w:rPr>
        <w:t>,</w:t>
      </w:r>
      <w:r>
        <w:rPr>
          <w:rFonts w:ascii="Roboto" w:eastAsia="Roboto" w:hAnsi="Roboto" w:cs="Roboto"/>
          <w:sz w:val="23"/>
          <w:szCs w:val="23"/>
        </w:rPr>
        <w:t xml:space="preserve"> {NACIONALIDADE}, {ESTADO_CIVIL}, {PROFISSAO}</w:t>
      </w:r>
      <w:r>
        <w:rPr>
          <w:rFonts w:ascii="Roboto" w:eastAsia="Roboto" w:hAnsi="Roboto" w:cs="Roboto"/>
          <w:sz w:val="23"/>
          <w:szCs w:val="23"/>
          <w:highlight w:val="yellow"/>
        </w:rPr>
        <w:t/>
      </w:r>
      <w:r>
        <w:rPr>
          <w:rFonts w:ascii="Roboto" w:eastAsia="Roboto" w:hAnsi="Roboto" w:cs="Roboto"/>
          <w:b/>
          <w:bCs/>
          <w:sz w:val="23"/>
          <w:szCs w:val="23"/>
          <w:highlight w:val="yellow"/>
        </w:rPr>
        <w:t xml:space="preserve"/>
      </w:r>
      <w:r>
        <w:rPr>
          <w:rFonts w:ascii="Roboto" w:eastAsia="Roboto" w:hAnsi="Roboto" w:cs="Roboto"/>
          <w:sz w:val="23"/>
          <w:szCs w:val="23"/>
          <w:highlight w:val="yellow"/>
        </w:rPr>
        <w:t/>
      </w:r>
      <w:r>
        <w:rPr>
          <w:rFonts w:ascii="Roboto" w:eastAsia="Roboto" w:hAnsi="Roboto" w:cs="Roboto"/>
          <w:sz w:val="23"/>
          <w:szCs w:val="23"/>
        </w:rPr>
        <w:t>,</w:t>
      </w:r>
      <w:r>
        <w:rPr>
          <w:rFonts w:ascii="Roboto" w:eastAsia="Roboto" w:hAnsi="Roboto" w:cs="Roboto"/>
          <w:sz w:val="23"/>
          <w:szCs w:val="23"/>
        </w:rPr>
        <w:t xml:space="preserve"> residente e domiciliado em {ENDERECO_COMPLETO}. 01</w:t>
      </w:r>
      <w:r>
        <w:rPr>
          <w:rFonts w:ascii="Roboto" w:eastAsia="Roboto" w:hAnsi="Roboto" w:cs="Roboto"/>
          <w:sz w:val="23"/>
          <w:szCs w:val="23"/>
          <w:highlight w:val="yellow"/>
        </w:rPr>
        <w:t/>
      </w:r>
      <w:r>
        <w:rPr>
          <w:rFonts w:ascii="Roboto" w:eastAsia="Roboto" w:hAnsi="Roboto" w:cs="Roboto"/>
          <w:sz w:val="23"/>
          <w:szCs w:val="23"/>
        </w:rPr>
        <w:t/>
      </w:r>
      <w:r>
        <w:rPr>
          <w:rFonts w:ascii="Roboto" w:eastAsia="Roboto" w:hAnsi="Roboto" w:cs="Roboto"/>
          <w:sz w:val="23"/>
          <w:szCs w:val="23"/>
        </w:rPr>
        <w:t xml:space="preserve"/>
      </w:r>
      <w:r>
        <w:rPr>
          <w:rFonts w:ascii="Roboto" w:hAnsi="Roboto" w:cs="Arial"/>
          <w:sz w:val="23"/>
          <w:szCs w:val="23"/>
        </w:rPr>
        <w:t/>
      </w:r>
      <w:r>
        <w:rPr>
          <w:rFonts w:ascii="Roboto" w:hAnsi="Roboto" w:cs="Arial"/>
          <w:b/>
          <w:bCs/>
          <w:sz w:val="23"/>
          <w:szCs w:val="23"/>
        </w:rPr>
        <w:t/>
      </w:r>
      <w:r>
        <w:rPr>
          <w:rFonts w:ascii="Roboto" w:hAnsi="Roboto" w:cs="Arial"/>
          <w:sz w:val="23"/>
          <w:szCs w:val="23"/>
        </w:rPr>
        <w:t xml:space="preserve">) e com endereço profissional na Av. Tancredo Neves, nº. 2.539, Edf. CEO Salvador Shopping – Torre Londres, sala 2901, Salvador, Bahia, CEP 41.820-021, e-mail </w:t>
      </w:r>
      <w:hyperlink r:id="rId10">
        <w:r>
          <w:rPr>
            <w:rStyle w:val="Hyperlink"/>
            <w:rFonts w:ascii="Roboto" w:hAnsi="Roboto" w:cs="Arial"/>
            <w:color w:val="auto"/>
            <w:sz w:val="23"/>
            <w:szCs w:val="23"/>
          </w:rPr>
          <w:t>intimacao@glcm.com.br</w:t>
        </w:r>
      </w:hyperlink>
      <w:r>
        <w:rPr>
          <w:rFonts w:ascii="Roboto" w:hAnsi="Roboto" w:cs="Arial"/>
          <w:sz w:val="23"/>
          <w:szCs w:val="23"/>
        </w:rPr>
        <w:t>, propor</w:t>
      </w:r>
    </w:p>
    <w:p w14:paraId="58FC0A5A" w14:textId="77777777">
      <w:pPr>
        <w:widowControl w:val="0"/>
        <w:spacing w:line="276" w:lineRule="auto"/>
        <w:jc w:val="both"/>
        <w:rPr>
          <w:rFonts w:ascii="Roboto" w:hAnsi="Roboto" w:cs="Arial"/>
          <w:sz w:val="23"/>
          <w:szCs w:val="23"/>
        </w:rPr>
      </w:pPr>
    </w:p>
    <w:p w14:paraId="24F2399D" w14:textId="77777777">
      <w:pPr>
        <w:widowControl w:val="0"/>
        <w:spacing w:line="276" w:lineRule="auto"/>
        <w:ind w:firstLine="0"/>
        <w:jc w:val="center"/>
        <w:rPr>
          <w:rFonts w:ascii="Roboto" w:hAnsi="Roboto" w:cs="Arial"/>
          <w:b/>
          <w:bCs/>
          <w:sz w:val="23"/>
          <w:szCs w:val="23"/>
          <w:u w:val="single"/>
        </w:rPr>
      </w:pPr>
      <w:r>
        <w:rPr>
          <w:rFonts w:ascii="Roboto" w:hAnsi="Roboto" w:cs="Arial"/>
          <w:b/>
          <w:bCs/>
          <w:sz w:val="23"/>
          <w:szCs w:val="23"/>
          <w:u w:val="single"/>
        </w:rPr>
        <w:t>AÇÃO DE REPETIÇÃO DE INDÉBITO</w:t>
      </w:r>
    </w:p>
    <w:p w14:paraId="139C1B38" w14:textId="77777777">
      <w:pPr>
        <w:widowControl w:val="0"/>
        <w:spacing w:line="276" w:lineRule="auto"/>
        <w:jc w:val="both"/>
        <w:rPr>
          <w:rFonts w:ascii="Roboto" w:hAnsi="Roboto" w:cs="Arial"/>
          <w:b/>
          <w:bCs/>
          <w:sz w:val="23"/>
          <w:szCs w:val="23"/>
        </w:rPr>
      </w:pPr>
    </w:p>
    <w:p w14:paraId="5EF9CA03" w14:textId="3AB3F68F">
      <w:pPr>
        <w:widowControl w:val="0"/>
        <w:spacing w:line="276" w:lineRule="auto"/>
        <w:ind w:firstLine="0"/>
        <w:jc w:val="both"/>
        <w:rPr>
          <w:rFonts w:ascii="Roboto" w:hAnsi="Roboto" w:cs="Arial"/>
          <w:sz w:val="23"/>
          <w:szCs w:val="23"/>
        </w:rPr>
      </w:pPr>
      <w:r>
        <w:rPr>
          <w:rFonts w:ascii="Roboto" w:hAnsi="Roboto" w:cs="Arial"/>
          <w:sz w:val="23"/>
          <w:szCs w:val="23"/>
        </w:rPr>
        <w:t xml:space="preserve">em face da </w:t>
      </w:r>
      <w:r>
        <w:rPr>
          <w:rFonts w:ascii="Roboto" w:hAnsi="Roboto" w:cs="Arial"/>
          <w:b/>
          <w:bCs/>
          <w:sz w:val="23"/>
          <w:szCs w:val="23"/>
        </w:rPr>
        <w:t>UNIÃO</w:t>
      </w:r>
      <w:r>
        <w:rPr>
          <w:rFonts w:ascii="Roboto" w:hAnsi="Roboto" w:cs="Arial"/>
          <w:sz w:val="23"/>
          <w:szCs w:val="23"/>
        </w:rPr>
        <w:t xml:space="preserve">, pessoa jurídica de direito público, a ser representada por sua Nobre </w:t>
      </w:r>
      <w:r>
        <w:rPr>
          <w:rFonts w:ascii="Roboto" w:hAnsi="Roboto" w:cs="Arial"/>
          <w:b/>
          <w:bCs/>
          <w:sz w:val="23"/>
          <w:szCs w:val="23"/>
        </w:rPr>
        <w:t>Procuradoria da Fazenda Nacional</w:t>
      </w:r>
      <w:r>
        <w:rPr>
          <w:rFonts w:ascii="Roboto" w:hAnsi="Roboto" w:cs="Arial"/>
          <w:sz w:val="23"/>
          <w:szCs w:val="23"/>
        </w:rPr>
        <w:t xml:space="preserve">, com endereço </w:t>
      </w:r>
      <w:proofErr w:type="spellStart"/>
      <w:r>
        <w:rPr>
          <w:rFonts w:ascii="Roboto" w:eastAsia="Roboto" w:hAnsi="Roboto" w:cs="Roboto"/>
          <w:sz w:val="23"/>
          <w:szCs w:val="23"/>
          <w:highlight w:val="yellow"/>
        </w:rPr>
        <w:t>ENDEREÇO</w:t>
      </w:r>
      <w:proofErr w:type="spellEnd"/>
      <w:r>
        <w:rPr>
          <w:rFonts w:ascii="Roboto" w:hAnsi="Roboto" w:cs="Arial"/>
          <w:sz w:val="23"/>
          <w:szCs w:val="23"/>
        </w:rPr>
        <w:t>,</w:t>
      </w:r>
      <w:r>
        <w:rPr>
          <w:rFonts w:ascii="Roboto" w:eastAsia="Roboto" w:hAnsi="Roboto" w:cs="Roboto"/>
          <w:sz w:val="23"/>
          <w:szCs w:val="23"/>
        </w:rPr>
        <w:t xml:space="preserve"> </w:t>
      </w:r>
      <w:r>
        <w:rPr>
          <w:rFonts w:ascii="Roboto" w:hAnsi="Roboto" w:cs="Arial"/>
          <w:sz w:val="23"/>
          <w:szCs w:val="23"/>
        </w:rPr>
        <w:t>pelas razões de fato e de direito a seguir aduzidas.</w:t>
      </w:r>
    </w:p>
    <w:p w14:paraId="7EBCEA8D" w14:textId="6F228F34">
      <w:pPr>
        <w:widowControl w:val="0"/>
        <w:spacing w:line="276" w:lineRule="auto"/>
        <w:ind w:right="-285"/>
        <w:jc w:val="both"/>
      </w:pPr>
      <w:r>
        <w:rPr>
          <w:rFonts w:ascii="Roboto" w:eastAsia="Roboto" w:hAnsi="Roboto" w:cs="Roboto"/>
          <w:sz w:val="23"/>
          <w:szCs w:val="23"/>
        </w:rPr>
        <w:t xml:space="preserve"> </w:t>
      </w:r>
    </w:p>
    <w:tbl>
      <w:tblPr>
        <w:tblStyle w:val="Tabelacomgrade"/>
        <w:tblW w:w="0" w:type="auto"/>
        <w:tblLayout w:type="fixed"/>
        <w:tblLook w:val="06A0" w:firstRow="1" w:lastRow="0" w:firstColumn="1" w:lastColumn="0" w:noHBand="1" w:noVBand="1"/>
      </w:tblPr>
      <w:tblGrid>
        <w:gridCol w:w="8895"/>
      </w:tblGrid>
      <w:tr w14:paraId="4F61F1F7" w14:textId="77777777">
        <w:trPr>
          <w:trHeight w:val="300"/>
        </w:trPr>
        <w:tc>
          <w:tcPr>
            <w:tcW w:w="88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E3662D" w14:textId="6E8356EA">
            <w:pPr>
              <w:spacing w:line="276" w:lineRule="auto"/>
              <w:ind w:right="-285" w:firstLine="0"/>
              <w:jc w:val="center"/>
              <w:rPr>
                <w:rFonts w:ascii="Roboto" w:eastAsia="Roboto" w:hAnsi="Roboto" w:cs="Roboto"/>
                <w:b/>
                <w:bCs/>
                <w:sz w:val="23"/>
                <w:szCs w:val="23"/>
                <w:u w:val="single"/>
              </w:rPr>
            </w:pPr>
            <w:r>
              <w:rPr>
                <w:rFonts w:ascii="Roboto" w:eastAsia="Roboto" w:hAnsi="Roboto" w:cs="Roboto"/>
                <w:b/>
                <w:bCs/>
                <w:sz w:val="23"/>
                <w:szCs w:val="23"/>
                <w:u w:val="single"/>
              </w:rPr>
              <w:t xml:space="preserve">PREÂMBULO </w:t>
            </w:r>
          </w:p>
          <w:p w14:paraId="135CBA5A" w14:textId="7765147A">
            <w:pPr>
              <w:spacing w:line="276" w:lineRule="auto"/>
              <w:ind w:right="-285"/>
              <w:rPr>
                <w:rFonts w:ascii="Roboto" w:eastAsia="Roboto" w:hAnsi="Roboto" w:cs="Roboto"/>
                <w:sz w:val="23"/>
                <w:szCs w:val="23"/>
              </w:rPr>
            </w:pPr>
            <w:r>
              <w:rPr>
                <w:rFonts w:ascii="Roboto" w:eastAsia="Roboto" w:hAnsi="Roboto" w:cs="Roboto"/>
                <w:b/>
                <w:bCs/>
                <w:sz w:val="23"/>
                <w:szCs w:val="23"/>
              </w:rPr>
              <w:t xml:space="preserve"> </w:t>
            </w:r>
            <w:r>
              <w:rPr>
                <w:rFonts w:ascii="Roboto" w:eastAsia="Roboto" w:hAnsi="Roboto" w:cs="Roboto"/>
                <w:sz w:val="23"/>
                <w:szCs w:val="23"/>
              </w:rPr>
              <w:t xml:space="preserve"> </w:t>
            </w:r>
          </w:p>
          <w:p w14:paraId="3B5231AF" w14:textId="5E20BF5F">
            <w:pPr>
              <w:spacing w:line="276" w:lineRule="auto"/>
              <w:ind w:right="-285" w:firstLine="0"/>
              <w:rPr>
                <w:rFonts w:ascii="Roboto" w:eastAsia="Roboto" w:hAnsi="Roboto" w:cs="Roboto"/>
                <w:b/>
                <w:bCs/>
                <w:sz w:val="23"/>
                <w:szCs w:val="23"/>
                <w:u w:val="single"/>
              </w:rPr>
            </w:pPr>
            <w:r>
              <w:rPr>
                <w:rFonts w:ascii="Roboto" w:eastAsia="Roboto" w:hAnsi="Roboto" w:cs="Roboto"/>
                <w:b/>
                <w:bCs/>
                <w:sz w:val="23"/>
                <w:szCs w:val="23"/>
                <w:u w:val="single"/>
              </w:rPr>
              <w:t xml:space="preserve">RELAÇÃO </w:t>
            </w:r>
            <w:r>
              <w:rPr>
                <w:rFonts w:ascii="Roboto" w:eastAsia="Roboto" w:hAnsi="Roboto" w:cs="Roboto"/>
                <w:b/>
                <w:bCs/>
                <w:sz w:val="23"/>
                <w:szCs w:val="23"/>
                <w:u w:val="single"/>
              </w:rPr>
              <w:t xml:space="preserve">TRIBUTÁRIA </w:t>
            </w:r>
          </w:p>
          <w:p w14:paraId="73381C0D" w14:textId="291B6E9A">
            <w:pPr>
              <w:spacing w:line="276" w:lineRule="auto"/>
              <w:ind w:right="-285" w:firstLine="0"/>
              <w:rPr>
                <w:rFonts w:ascii="Roboto" w:eastAsia="Roboto" w:hAnsi="Roboto" w:cs="Roboto"/>
                <w:b/>
                <w:bCs/>
                <w:sz w:val="23"/>
                <w:szCs w:val="23"/>
                <w:u w:val="single"/>
              </w:rPr>
            </w:pPr>
          </w:p>
          <w:p w14:paraId="24CCC20E" w14:textId="01EF7EE3">
            <w:pPr>
              <w:pStyle w:val="SemEspaamento"/>
              <w:numPr>
                <w:ilvl w:val="0"/>
                <w:numId w:val="1"/>
              </w:numPr>
              <w:rPr>
                <w:rFonts w:ascii="Roboto" w:eastAsia="Roboto" w:hAnsi="Roboto" w:cs="Roboto"/>
                <w:b/>
                <w:bCs/>
                <w:sz w:val="23"/>
                <w:szCs w:val="23"/>
              </w:rPr>
            </w:pPr>
            <w:r>
              <w:rPr>
                <w:rFonts w:ascii="Roboto" w:eastAsia="Roboto" w:hAnsi="Roboto" w:cs="Roboto"/>
                <w:sz w:val="23"/>
                <w:szCs w:val="23"/>
              </w:rPr>
              <w:t xml:space="preserve">Se refere ao </w:t>
            </w:r>
            <w:r>
              <w:rPr>
                <w:rFonts w:ascii="Roboto" w:eastAsia="Roboto" w:hAnsi="Roboto" w:cs="Roboto"/>
                <w:sz w:val="23"/>
                <w:szCs w:val="23"/>
              </w:rPr>
              <w:t xml:space="preserve">período </w:t>
            </w:r>
            <w:r>
              <w:rPr>
                <w:rFonts w:ascii="Roboto" w:eastAsia="Roboto" w:hAnsi="Roboto" w:cs="Roboto"/>
                <w:sz w:val="23"/>
                <w:szCs w:val="23"/>
              </w:rPr>
              <w:t>relativos às</w:t>
            </w:r>
            <w:r>
              <w:rPr>
                <w:rFonts w:ascii="Roboto" w:eastAsia="Roboto" w:hAnsi="Roboto" w:cs="Roboto"/>
                <w:sz w:val="23"/>
                <w:szCs w:val="23"/>
              </w:rPr>
              <w:t xml:space="preserve"> </w:t>
            </w:r>
            <w:r>
              <w:rPr>
                <w:rFonts w:ascii="Roboto" w:eastAsia="Roboto" w:hAnsi="Roboto" w:cs="Roboto"/>
                <w:sz w:val="23"/>
                <w:szCs w:val="23"/>
              </w:rPr>
              <w:t xml:space="preserve">DIRPF/2020 </w:t>
            </w:r>
            <w:r>
              <w:rPr>
                <w:rFonts w:ascii="Roboto" w:eastAsia="Roboto" w:hAnsi="Roboto" w:cs="Roboto"/>
                <w:sz w:val="23"/>
                <w:szCs w:val="23"/>
              </w:rPr>
              <w:t>em diante</w:t>
            </w:r>
            <w:r>
              <w:rPr>
                <w:rFonts w:ascii="Roboto" w:eastAsia="Roboto" w:hAnsi="Roboto" w:cs="Roboto"/>
                <w:sz w:val="23"/>
                <w:szCs w:val="23"/>
              </w:rPr>
              <w:t>,</w:t>
            </w:r>
            <w:r>
              <w:rPr>
                <w:rFonts w:ascii="Roboto" w:eastAsia="Roboto" w:hAnsi="Roboto" w:cs="Roboto"/>
                <w:sz w:val="23"/>
                <w:szCs w:val="23"/>
              </w:rPr>
              <w:t xml:space="preserve"> vide contracheques juntados</w:t>
            </w:r>
            <w:r>
              <w:rPr>
                <w:rFonts w:ascii="Roboto" w:eastAsia="Roboto" w:hAnsi="Roboto" w:cs="Roboto"/>
                <w:sz w:val="23"/>
                <w:szCs w:val="23"/>
              </w:rPr>
              <w:t xml:space="preserve"> - </w:t>
            </w:r>
            <w:r>
              <w:rPr>
                <w:rFonts w:ascii="Roboto" w:eastAsia="Roboto" w:hAnsi="Roboto" w:cs="Roboto"/>
                <w:b/>
                <w:bCs/>
                <w:sz w:val="23"/>
                <w:szCs w:val="23"/>
              </w:rPr>
              <w:t>DOC. 04</w:t>
            </w:r>
            <w:r>
              <w:rPr>
                <w:rFonts w:ascii="Roboto" w:eastAsia="Roboto" w:hAnsi="Roboto" w:cs="Roboto"/>
                <w:sz w:val="23"/>
                <w:szCs w:val="23"/>
              </w:rPr>
              <w:t>.</w:t>
            </w:r>
          </w:p>
          <w:p w14:paraId="10A48828" w14:textId="1D1915D3">
            <w:pPr>
              <w:pStyle w:val="SemEspaamento"/>
              <w:numPr>
                <w:ilvl w:val="0"/>
                <w:numId w:val="1"/>
              </w:numPr>
              <w:rPr>
                <w:rFonts w:ascii="Roboto" w:eastAsia="Roboto" w:hAnsi="Roboto" w:cs="Roboto"/>
                <w:sz w:val="23"/>
                <w:szCs w:val="23"/>
              </w:rPr>
            </w:pPr>
            <w:r>
              <w:rPr>
                <w:rFonts w:ascii="Roboto" w:eastAsia="Roboto" w:hAnsi="Roboto" w:cs="Roboto"/>
                <w:sz w:val="23"/>
                <w:szCs w:val="23"/>
              </w:rPr>
              <w:t>C</w:t>
            </w:r>
            <w:r>
              <w:rPr>
                <w:rFonts w:ascii="Roboto" w:eastAsia="Roboto" w:hAnsi="Roboto" w:cs="Roboto"/>
                <w:sz w:val="23"/>
                <w:szCs w:val="23"/>
              </w:rPr>
              <w:t xml:space="preserve">onvenção Coletiva que prevê pagamento de </w:t>
            </w:r>
            <w:r>
              <w:rPr>
                <w:rFonts w:ascii="Roboto" w:eastAsia="Roboto" w:hAnsi="Roboto" w:cs="Roboto"/>
                <w:sz w:val="23"/>
                <w:szCs w:val="23"/>
              </w:rPr>
              <w:t xml:space="preserve">HRA – </w:t>
            </w:r>
            <w:r>
              <w:rPr>
                <w:rFonts w:ascii="Roboto" w:eastAsia="Roboto" w:hAnsi="Roboto" w:cs="Roboto"/>
                <w:b/>
                <w:bCs/>
                <w:sz w:val="23"/>
                <w:szCs w:val="23"/>
              </w:rPr>
              <w:t>DOC.</w:t>
            </w:r>
            <w:r>
              <w:rPr>
                <w:rFonts w:ascii="Roboto" w:eastAsia="Roboto" w:hAnsi="Roboto" w:cs="Roboto"/>
                <w:b/>
                <w:bCs/>
                <w:sz w:val="23"/>
                <w:szCs w:val="23"/>
              </w:rPr>
              <w:t xml:space="preserve"> 0</w:t>
            </w:r>
            <w:r>
              <w:rPr>
                <w:rFonts w:ascii="Roboto" w:eastAsia="Roboto" w:hAnsi="Roboto" w:cs="Roboto"/>
                <w:b/>
                <w:bCs/>
                <w:sz w:val="23"/>
                <w:szCs w:val="23"/>
              </w:rPr>
              <w:t>5</w:t>
            </w:r>
            <w:r>
              <w:rPr>
                <w:rFonts w:ascii="Roboto" w:eastAsia="Roboto" w:hAnsi="Roboto" w:cs="Roboto"/>
                <w:b/>
                <w:bCs/>
                <w:sz w:val="23"/>
                <w:szCs w:val="23"/>
              </w:rPr>
              <w:t>.</w:t>
            </w:r>
          </w:p>
          <w:p w14:paraId="11906AA8" w14:textId="4FFDB289">
            <w:pPr>
              <w:pStyle w:val="SemEspaamento"/>
              <w:numPr>
                <w:ilvl w:val="0"/>
                <w:numId w:val="1"/>
              </w:numPr>
              <w:rPr>
                <w:rFonts w:ascii="Roboto" w:eastAsia="Roboto" w:hAnsi="Roboto" w:cs="Roboto"/>
                <w:sz w:val="23"/>
                <w:szCs w:val="23"/>
              </w:rPr>
            </w:pPr>
            <w:r>
              <w:rPr>
                <w:rFonts w:ascii="Roboto" w:eastAsia="Roboto" w:hAnsi="Roboto" w:cs="Roboto"/>
                <w:sz w:val="23"/>
                <w:szCs w:val="23"/>
              </w:rPr>
              <w:t>Empresa</w:t>
            </w:r>
            <w:r>
              <w:rPr>
                <w:rFonts w:ascii="Roboto" w:eastAsia="Roboto" w:hAnsi="Roboto" w:cs="Roboto"/>
                <w:sz w:val="23"/>
                <w:szCs w:val="23"/>
              </w:rPr>
              <w:t xml:space="preserve"> (s)</w:t>
            </w:r>
            <w:r>
              <w:rPr>
                <w:rFonts w:ascii="Roboto" w:eastAsia="Roboto" w:hAnsi="Roboto" w:cs="Roboto"/>
                <w:sz w:val="23"/>
                <w:szCs w:val="23"/>
              </w:rPr>
              <w:t xml:space="preserve"> empregadora</w:t>
            </w:r>
            <w:r>
              <w:rPr>
                <w:rFonts w:ascii="Roboto" w:eastAsia="Roboto" w:hAnsi="Roboto" w:cs="Roboto"/>
                <w:sz w:val="23"/>
                <w:szCs w:val="23"/>
              </w:rPr>
              <w:t xml:space="preserve"> (s)</w:t>
            </w:r>
            <w:r>
              <w:rPr>
                <w:rFonts w:ascii="Roboto" w:eastAsia="Roboto" w:hAnsi="Roboto" w:cs="Roboto"/>
                <w:sz w:val="23"/>
                <w:szCs w:val="23"/>
              </w:rPr>
              <w:t xml:space="preserve"> responsáve</w:t>
            </w:r>
            <w:r>
              <w:rPr>
                <w:rFonts w:ascii="Roboto" w:eastAsia="Roboto" w:hAnsi="Roboto" w:cs="Roboto"/>
                <w:sz w:val="23"/>
                <w:szCs w:val="23"/>
              </w:rPr>
              <w:t>l (is)</w:t>
            </w:r>
            <w:r>
              <w:rPr>
                <w:rFonts w:ascii="Roboto" w:eastAsia="Roboto" w:hAnsi="Roboto" w:cs="Roboto"/>
                <w:sz w:val="23"/>
                <w:szCs w:val="23"/>
              </w:rPr>
              <w:t xml:space="preserve"> pela retenção do Imposto de Renda</w:t>
            </w:r>
            <w:r>
              <w:rPr>
                <w:rFonts w:ascii="Roboto" w:eastAsia="Roboto" w:hAnsi="Roboto" w:cs="Roboto"/>
                <w:sz w:val="23"/>
                <w:szCs w:val="23"/>
              </w:rPr>
              <w:t xml:space="preserve"> – Vide Contracheques </w:t>
            </w:r>
          </w:p>
        </w:tc>
      </w:tr>
    </w:tbl>
    <w:p w14:paraId="3F5821FF" w14:textId="5CBB72C7">
      <w:pPr>
        <w:widowControl w:val="0"/>
        <w:spacing w:line="276" w:lineRule="auto"/>
        <w:ind w:right="-285"/>
        <w:jc w:val="both"/>
      </w:pPr>
      <w:r>
        <w:rPr>
          <w:rFonts w:ascii="Roboto" w:eastAsia="Roboto" w:hAnsi="Roboto" w:cs="Roboto"/>
          <w:sz w:val="23"/>
          <w:szCs w:val="23"/>
        </w:rPr>
        <w:t xml:space="preserve"> </w:t>
      </w:r>
    </w:p>
    <w:p w14:paraId="3FE70336" w14:textId="24C9058F">
      <w:pPr>
        <w:widowControl w:val="0"/>
        <w:spacing w:line="276" w:lineRule="auto"/>
        <w:jc w:val="both"/>
      </w:pPr>
    </w:p>
    <w:p w14:paraId="4E8F03FA" w14:textId="1B761686">
      <w:pPr>
        <w:widowControl w:val="0"/>
        <w:spacing w:line="276" w:lineRule="auto"/>
        <w:jc w:val="both"/>
      </w:pPr>
    </w:p>
    <w:p w14:paraId="324F50D5" w14:textId="0A24D42E">
      <w:pPr>
        <w:widowControl w:val="0"/>
        <w:jc w:val="both"/>
        <w:rPr>
          <w:rFonts w:ascii="Roboto" w:hAnsi="Roboto" w:cs="Arial"/>
          <w:b/>
          <w:bCs/>
          <w:sz w:val="23"/>
          <w:szCs w:val="23"/>
          <w:u w:val="single"/>
        </w:rPr>
      </w:pPr>
      <w:r>
        <w:rPr>
          <w:rFonts w:ascii="Roboto" w:hAnsi="Roboto" w:cs="Arial"/>
          <w:b/>
          <w:bCs/>
          <w:sz w:val="23"/>
          <w:szCs w:val="23"/>
          <w:u w:val="single"/>
        </w:rPr>
        <w:t>1 – JULGAMENTO DA MATÉRIA PELA TNU – TEMA 306</w:t>
      </w:r>
    </w:p>
    <w:p w14:paraId="27DCCDBA" w14:textId="77777777">
      <w:pPr>
        <w:widowControl w:val="0"/>
        <w:spacing w:line="276" w:lineRule="auto"/>
        <w:jc w:val="both"/>
        <w:rPr>
          <w:rFonts w:ascii="Roboto" w:hAnsi="Roboto" w:cs="Arial"/>
          <w:b/>
          <w:sz w:val="23"/>
          <w:szCs w:val="23"/>
          <w:u w:val="single"/>
        </w:rPr>
      </w:pPr>
    </w:p>
    <w:p w14:paraId="5CCD23F2" w14:textId="77777777">
      <w:pPr>
        <w:widowControl w:val="0"/>
        <w:spacing w:line="276" w:lineRule="auto"/>
        <w:jc w:val="both"/>
        <w:rPr>
          <w:rFonts w:ascii="Roboto" w:hAnsi="Roboto" w:cs="Arial"/>
          <w:sz w:val="23"/>
          <w:szCs w:val="23"/>
        </w:rPr>
      </w:pPr>
      <w:r>
        <w:rPr>
          <w:rFonts w:ascii="Roboto" w:hAnsi="Roboto" w:cs="Arial"/>
          <w:sz w:val="23"/>
          <w:szCs w:val="23"/>
        </w:rPr>
        <w:t>De início, é de suma importância esclarecer que a Turma Nacional de Uniformização – TNU julgou a matéria em pauta na presente demanda, fixando a seguinte tese para o Tema 306 (</w:t>
      </w:r>
      <w:r>
        <w:rPr>
          <w:rFonts w:ascii="Roboto" w:hAnsi="Roboto" w:cs="Arial"/>
          <w:b/>
          <w:sz w:val="23"/>
          <w:szCs w:val="23"/>
        </w:rPr>
        <w:t>DOC. 02</w:t>
      </w:r>
      <w:r>
        <w:rPr>
          <w:rFonts w:ascii="Roboto" w:hAnsi="Roboto" w:cs="Arial"/>
          <w:sz w:val="23"/>
          <w:szCs w:val="23"/>
        </w:rPr>
        <w:t>):</w:t>
      </w:r>
    </w:p>
    <w:p w14:paraId="44E8F0C7" w14:textId="77777777">
      <w:pPr>
        <w:widowControl w:val="0"/>
        <w:spacing w:line="276" w:lineRule="auto"/>
        <w:jc w:val="both"/>
        <w:rPr>
          <w:rFonts w:ascii="Roboto" w:hAnsi="Roboto" w:cs="Arial"/>
          <w:sz w:val="23"/>
          <w:szCs w:val="23"/>
        </w:rPr>
      </w:pPr>
    </w:p>
    <w:p w14:paraId="7193C884" w14:textId="0A8497B0">
      <w:pPr>
        <w:widowControl w:val="0"/>
        <w:spacing w:line="276" w:lineRule="auto"/>
        <w:ind w:left="2268" w:firstLine="0"/>
        <w:jc w:val="both"/>
        <w:rPr>
          <w:rFonts w:ascii="Roboto" w:hAnsi="Roboto" w:cs="Arial"/>
          <w:sz w:val="23"/>
          <w:szCs w:val="23"/>
        </w:rPr>
      </w:pPr>
      <w:r>
        <w:rPr>
          <w:rFonts w:ascii="Roboto" w:hAnsi="Roboto" w:cs="Arial"/>
          <w:b/>
          <w:sz w:val="23"/>
          <w:szCs w:val="23"/>
        </w:rPr>
        <w:t>Com o advento da Lei nº 13.467, de 13/07/2017, que deu nova redação ao § 4º do art. 71 da CLT e estabeleceu expressamente a natureza indenizatória do pagamento operado pela supressão do intervalo intrajornada, habitualmente conhecido como Adicional Hora de Repouso e Alimentação (AHRA)</w:t>
      </w:r>
      <w:r>
        <w:rPr>
          <w:rFonts w:ascii="Roboto" w:hAnsi="Roboto" w:cs="Arial"/>
          <w:bCs/>
          <w:sz w:val="23"/>
          <w:szCs w:val="23"/>
        </w:rPr>
        <w:t xml:space="preserve">, em conformidade com a proteção constitucional à saúde do trabalhador (arts. 7º, XXII, 194, caput, 197 e 200, II, bem como art. 5º, § 2º c.c. arts. 4o e 5o da Convenção 155 da OIT, incorporada ao direito interno pelo Decreto n. 1.254/94, hoje consolidada no Decreto n. 10.088/2019, e o art. 7º, do Pacto Internacional Relativo aos Direitos Econômicos, Sociais e Culturais, de 1966, incorporado ao direito interno pelo Decreto n. 591/92), </w:t>
      </w:r>
      <w:r>
        <w:rPr>
          <w:rFonts w:ascii="Roboto" w:hAnsi="Roboto" w:cs="Arial"/>
          <w:b/>
          <w:sz w:val="23"/>
          <w:szCs w:val="23"/>
        </w:rPr>
        <w:t>não incide imposto de renda sobre a verba paga a tal título.</w:t>
      </w:r>
      <w:r>
        <w:rPr>
          <w:rFonts w:ascii="Roboto" w:hAnsi="Roboto" w:cs="Arial"/>
          <w:b/>
          <w:sz w:val="23"/>
          <w:szCs w:val="23"/>
        </w:rPr>
        <w:t xml:space="preserve"> </w:t>
      </w:r>
      <w:r>
        <w:rPr>
          <w:rFonts w:ascii="Roboto" w:hAnsi="Roboto" w:cs="Arial"/>
          <w:sz w:val="23"/>
          <w:szCs w:val="23"/>
        </w:rPr>
        <w:t>(PEDIDO DE UNIFORMIZAÇÃO DE INTERPRETAÇÃO DE LEI (TURMA) Nº 0520381-15.2020.4.05.8400/RN. RELATOR: JUIZ FEDERAL FRANCISCO DE ASSIS BASILIO DE MORAES. Data: 7/12/2022)</w:t>
      </w:r>
    </w:p>
    <w:p w14:paraId="4D805734" w14:textId="77777777">
      <w:pPr>
        <w:widowControl w:val="0"/>
        <w:spacing w:line="276" w:lineRule="auto"/>
        <w:ind w:left="2268"/>
        <w:jc w:val="both"/>
        <w:rPr>
          <w:rFonts w:ascii="Roboto" w:hAnsi="Roboto" w:cs="Arial"/>
          <w:sz w:val="23"/>
          <w:szCs w:val="23"/>
        </w:rPr>
      </w:pPr>
    </w:p>
    <w:p w14:paraId="3C44CB51" w14:textId="77777777">
      <w:pPr>
        <w:widowControl w:val="0"/>
        <w:spacing w:line="276" w:lineRule="auto"/>
        <w:jc w:val="both"/>
        <w:rPr>
          <w:rFonts w:ascii="Roboto" w:hAnsi="Roboto" w:cs="Arial"/>
          <w:b/>
          <w:bCs/>
          <w:sz w:val="23"/>
          <w:szCs w:val="23"/>
          <w:u w:val="single"/>
        </w:rPr>
      </w:pPr>
    </w:p>
    <w:p w14:paraId="39F46A5E" w14:textId="158831FF">
      <w:pPr>
        <w:widowControl w:val="0"/>
        <w:spacing w:line="276" w:lineRule="auto"/>
        <w:jc w:val="both"/>
        <w:rPr>
          <w:rFonts w:ascii="Roboto" w:hAnsi="Roboto" w:cs="Arial"/>
          <w:sz w:val="23"/>
          <w:szCs w:val="23"/>
        </w:rPr>
      </w:pPr>
      <w:r>
        <w:rPr>
          <w:rFonts w:ascii="Roboto" w:hAnsi="Roboto" w:cs="Arial"/>
          <w:sz w:val="23"/>
          <w:szCs w:val="23"/>
        </w:rPr>
        <w:t>Cumpre destacar que a referida tese já transitou em julgado</w:t>
      </w:r>
      <w:r>
        <w:rPr>
          <w:rFonts w:ascii="Roboto" w:hAnsi="Roboto" w:cs="Arial"/>
          <w:sz w:val="23"/>
          <w:szCs w:val="23"/>
        </w:rPr>
        <w:t xml:space="preserve"> e já está incorporada ao entendimento das Turmas Recursais do País, conforme precedente em anexo (</w:t>
      </w:r>
      <w:r>
        <w:rPr>
          <w:rFonts w:ascii="Roboto" w:hAnsi="Roboto" w:cs="Arial"/>
          <w:b/>
          <w:bCs/>
          <w:sz w:val="23"/>
          <w:szCs w:val="23"/>
        </w:rPr>
        <w:t>DOC. 03</w:t>
      </w:r>
      <w:r>
        <w:rPr>
          <w:rFonts w:ascii="Roboto" w:hAnsi="Roboto" w:cs="Arial"/>
          <w:sz w:val="23"/>
          <w:szCs w:val="23"/>
        </w:rPr>
        <w:t>) que aplica o entendimento fixado no</w:t>
      </w:r>
      <w:r>
        <w:rPr>
          <w:rFonts w:ascii="Roboto" w:hAnsi="Roboto" w:cs="Arial"/>
          <w:sz w:val="23"/>
          <w:szCs w:val="23"/>
        </w:rPr>
        <w:t xml:space="preserve"> Tema</w:t>
      </w:r>
      <w:r>
        <w:rPr>
          <w:rFonts w:ascii="Roboto" w:hAnsi="Roboto" w:cs="Arial"/>
          <w:sz w:val="23"/>
          <w:szCs w:val="23"/>
        </w:rPr>
        <w:t xml:space="preserve"> 306</w:t>
      </w:r>
      <w:r>
        <w:rPr>
          <w:rFonts w:ascii="Roboto" w:hAnsi="Roboto" w:cs="Arial"/>
          <w:sz w:val="23"/>
          <w:szCs w:val="23"/>
        </w:rPr>
        <w:t>:</w:t>
      </w:r>
    </w:p>
    <w:p w14:paraId="73B32393" w14:textId="77777777">
      <w:pPr>
        <w:widowControl w:val="0"/>
        <w:spacing w:line="276" w:lineRule="auto"/>
        <w:jc w:val="both"/>
        <w:rPr>
          <w:rFonts w:ascii="Roboto" w:hAnsi="Roboto" w:cs="Arial"/>
          <w:sz w:val="23"/>
          <w:szCs w:val="23"/>
        </w:rPr>
      </w:pPr>
    </w:p>
    <w:p w14:paraId="5D5429DA" w14:textId="00D66791">
      <w:pPr>
        <w:widowControl w:val="0"/>
        <w:spacing w:line="276" w:lineRule="auto"/>
        <w:ind w:firstLine="0"/>
        <w:jc w:val="both"/>
        <w:rPr>
          <w:rFonts w:ascii="Roboto" w:hAnsi="Roboto" w:cs="Arial"/>
          <w:sz w:val="23"/>
          <w:szCs w:val="23"/>
        </w:rPr>
      </w:pPr>
      <w:r>
        <w:rPr>
          <w:rFonts w:ascii="Roboto" w:hAnsi="Roboto" w:cs="Arial"/>
          <w:b/>
          <w:noProof/>
          <w:color w:val="FF0000"/>
          <w:sz w:val="20"/>
          <w:szCs w:val="20"/>
        </w:rPr>
        <w:lastRenderedPageBreak/>
        <w:drawing>
          <wp:anchor distT="0" distB="0" distL="114300" distR="114300" simplePos="0" relativeHeight="251658240" behindDoc="0" locked="0" layoutInCell="1" allowOverlap="1" wp14:anchorId="3C4FD136" wp14:editId="1F4230B8">
            <wp:simplePos x="0" y="0"/>
            <wp:positionH relativeFrom="column">
              <wp:posOffset>0</wp:posOffset>
            </wp:positionH>
            <wp:positionV relativeFrom="paragraph">
              <wp:posOffset>199390</wp:posOffset>
            </wp:positionV>
            <wp:extent cx="5644515" cy="2743200"/>
            <wp:effectExtent l="0" t="0" r="0" b="0"/>
            <wp:wrapSquare wrapText="bothSides"/>
            <wp:docPr id="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xt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644515" cy="2743200"/>
                    </a:xfrm>
                    <a:prstGeom prst="rect">
                      <a:avLst/>
                    </a:prstGeom>
                  </pic:spPr>
                </pic:pic>
              </a:graphicData>
            </a:graphic>
            <wp14:sizeRelH relativeFrom="page">
              <wp14:pctWidth>0</wp14:pctWidth>
            </wp14:sizeRelH>
            <wp14:sizeRelV relativeFrom="page">
              <wp14:pctHeight>0</wp14:pctHeight>
            </wp14:sizeRelV>
          </wp:anchor>
        </w:drawing>
      </w:r>
    </w:p>
    <w:p w14:paraId="22A8F40D" w14:textId="77777777">
      <w:pPr>
        <w:widowControl w:val="0"/>
        <w:spacing w:line="276" w:lineRule="auto"/>
        <w:ind w:firstLine="0"/>
        <w:jc w:val="both"/>
        <w:rPr>
          <w:rFonts w:ascii="Roboto" w:eastAsia="Arial" w:hAnsi="Roboto" w:cs="Arial"/>
          <w:sz w:val="23"/>
          <w:szCs w:val="23"/>
        </w:rPr>
      </w:pPr>
    </w:p>
    <w:p w14:paraId="46A76818" w14:textId="6F130799">
      <w:pPr>
        <w:widowControl w:val="0"/>
        <w:spacing w:line="276" w:lineRule="auto"/>
        <w:jc w:val="both"/>
        <w:rPr>
          <w:rFonts w:ascii="Roboto" w:eastAsia="Arial" w:hAnsi="Roboto" w:cs="Arial"/>
          <w:sz w:val="23"/>
          <w:szCs w:val="23"/>
        </w:rPr>
      </w:pPr>
      <w:r>
        <w:rPr>
          <w:rFonts w:ascii="Roboto" w:eastAsia="Arial" w:hAnsi="Roboto" w:cs="Arial"/>
          <w:sz w:val="23"/>
          <w:szCs w:val="23"/>
        </w:rPr>
        <w:t xml:space="preserve">Desse modo, requer-se seja aplicado </w:t>
      </w:r>
      <w:r>
        <w:rPr>
          <w:rFonts w:ascii="Roboto" w:eastAsia="Arial" w:hAnsi="Roboto" w:cs="Arial"/>
          <w:sz w:val="23"/>
          <w:szCs w:val="23"/>
        </w:rPr>
        <w:t xml:space="preserve">nos presentes autos </w:t>
      </w:r>
      <w:r>
        <w:rPr>
          <w:rFonts w:ascii="Roboto" w:eastAsia="Arial" w:hAnsi="Roboto" w:cs="Arial"/>
          <w:sz w:val="23"/>
          <w:szCs w:val="23"/>
        </w:rPr>
        <w:t>o entendimento firmado pela TNU no julgamento do Tema 306</w:t>
      </w:r>
      <w:r>
        <w:rPr>
          <w:rFonts w:ascii="Roboto" w:eastAsia="Arial" w:hAnsi="Roboto" w:cs="Arial"/>
          <w:sz w:val="23"/>
          <w:szCs w:val="23"/>
        </w:rPr>
        <w:t>.</w:t>
      </w:r>
    </w:p>
    <w:p w14:paraId="3E012340" w14:textId="4C151C3D">
      <w:pPr>
        <w:widowControl w:val="0"/>
        <w:spacing w:line="276" w:lineRule="auto"/>
        <w:ind w:firstLine="0"/>
        <w:jc w:val="both"/>
        <w:rPr>
          <w:rFonts w:ascii="Roboto" w:eastAsia="Arial" w:hAnsi="Roboto" w:cs="Arial"/>
          <w:sz w:val="23"/>
          <w:szCs w:val="23"/>
        </w:rPr>
      </w:pPr>
    </w:p>
    <w:p w14:paraId="1F51449A" w14:textId="77777777">
      <w:pPr>
        <w:widowControl w:val="0"/>
        <w:spacing w:line="276" w:lineRule="auto"/>
        <w:jc w:val="both"/>
        <w:rPr>
          <w:rFonts w:ascii="Roboto" w:hAnsi="Roboto" w:cs="Arial"/>
          <w:b/>
          <w:sz w:val="23"/>
          <w:szCs w:val="23"/>
          <w:u w:val="single"/>
        </w:rPr>
      </w:pPr>
    </w:p>
    <w:p w14:paraId="0BC1804B" w14:textId="77777777">
      <w:pPr>
        <w:widowControl w:val="0"/>
        <w:spacing w:line="276" w:lineRule="auto"/>
        <w:jc w:val="both"/>
        <w:rPr>
          <w:rFonts w:ascii="Roboto" w:hAnsi="Roboto" w:cs="Arial"/>
          <w:b/>
          <w:sz w:val="23"/>
          <w:szCs w:val="23"/>
          <w:u w:val="single"/>
        </w:rPr>
      </w:pPr>
    </w:p>
    <w:p w14:paraId="19638781" w14:textId="77777777">
      <w:pPr>
        <w:widowControl w:val="0"/>
        <w:spacing w:line="276" w:lineRule="auto"/>
        <w:jc w:val="both"/>
        <w:rPr>
          <w:rFonts w:ascii="Roboto" w:hAnsi="Roboto" w:cs="Arial"/>
          <w:b/>
          <w:sz w:val="23"/>
          <w:szCs w:val="23"/>
          <w:u w:val="single"/>
        </w:rPr>
      </w:pPr>
      <w:r>
        <w:rPr>
          <w:rFonts w:ascii="Roboto" w:hAnsi="Roboto" w:cs="Arial"/>
          <w:b/>
          <w:sz w:val="23"/>
          <w:szCs w:val="23"/>
          <w:u w:val="single"/>
        </w:rPr>
        <w:t>2 – DA ASSISTÊNCIA JUDICIÁRIA GRATUITA</w:t>
      </w:r>
    </w:p>
    <w:p w14:paraId="1A521391" w14:textId="77777777">
      <w:pPr>
        <w:widowControl w:val="0"/>
        <w:spacing w:line="276" w:lineRule="auto"/>
        <w:jc w:val="both"/>
        <w:rPr>
          <w:rFonts w:ascii="Roboto" w:hAnsi="Roboto" w:cs="Arial"/>
          <w:sz w:val="23"/>
          <w:szCs w:val="23"/>
        </w:rPr>
      </w:pPr>
    </w:p>
    <w:p w14:paraId="59C561E3" w14:textId="77777777">
      <w:pPr>
        <w:widowControl w:val="0"/>
        <w:spacing w:line="276" w:lineRule="auto"/>
        <w:jc w:val="both"/>
        <w:rPr>
          <w:rFonts w:ascii="Roboto" w:hAnsi="Roboto" w:cs="Arial"/>
          <w:sz w:val="23"/>
          <w:szCs w:val="23"/>
        </w:rPr>
      </w:pPr>
      <w:r>
        <w:rPr>
          <w:rFonts w:ascii="Roboto" w:hAnsi="Roboto" w:cs="Arial"/>
          <w:sz w:val="23"/>
          <w:szCs w:val="23"/>
        </w:rPr>
        <w:t>O Autor requer, preliminarmente, lhe seja concedido o benefício da assistência judiciária gratuita, em consonância com os princípios das Leis 9.099/1995 e 10.259/2001.</w:t>
      </w:r>
    </w:p>
    <w:p w14:paraId="044934DC" w14:textId="77777777">
      <w:pPr>
        <w:widowControl w:val="0"/>
        <w:spacing w:line="276" w:lineRule="auto"/>
        <w:jc w:val="both"/>
        <w:rPr>
          <w:rFonts w:ascii="Roboto" w:hAnsi="Roboto" w:cs="Arial"/>
          <w:sz w:val="23"/>
          <w:szCs w:val="23"/>
        </w:rPr>
      </w:pPr>
    </w:p>
    <w:p w14:paraId="077D84E9" w14:textId="77777777">
      <w:pPr>
        <w:widowControl w:val="0"/>
        <w:spacing w:line="276" w:lineRule="auto"/>
        <w:jc w:val="both"/>
        <w:rPr>
          <w:rFonts w:ascii="Roboto" w:hAnsi="Roboto" w:cs="Arial"/>
          <w:sz w:val="23"/>
          <w:szCs w:val="23"/>
        </w:rPr>
      </w:pPr>
    </w:p>
    <w:p w14:paraId="75609FD4" w14:textId="77777777">
      <w:pPr>
        <w:widowControl w:val="0"/>
        <w:spacing w:line="276" w:lineRule="auto"/>
        <w:jc w:val="both"/>
        <w:rPr>
          <w:rFonts w:ascii="Roboto" w:hAnsi="Roboto" w:cs="Arial"/>
          <w:b/>
          <w:sz w:val="23"/>
          <w:szCs w:val="23"/>
          <w:u w:val="single"/>
        </w:rPr>
      </w:pPr>
      <w:r>
        <w:rPr>
          <w:rFonts w:ascii="Roboto" w:hAnsi="Roboto" w:cs="Arial"/>
          <w:b/>
          <w:sz w:val="23"/>
          <w:szCs w:val="23"/>
          <w:u w:val="single"/>
        </w:rPr>
        <w:t>3 – DOS FATOS</w:t>
      </w:r>
    </w:p>
    <w:p w14:paraId="16E08945" w14:textId="77777777">
      <w:pPr>
        <w:widowControl w:val="0"/>
        <w:spacing w:line="276" w:lineRule="auto"/>
        <w:jc w:val="both"/>
        <w:rPr>
          <w:rFonts w:ascii="Roboto" w:hAnsi="Roboto" w:cs="Arial"/>
          <w:sz w:val="23"/>
          <w:szCs w:val="23"/>
        </w:rPr>
      </w:pPr>
    </w:p>
    <w:p w14:paraId="3EFEDC48" w14:textId="317CA7E9">
      <w:pPr>
        <w:widowControl w:val="0"/>
        <w:spacing w:line="276" w:lineRule="auto"/>
        <w:jc w:val="both"/>
        <w:rPr>
          <w:rFonts w:ascii="Roboto" w:hAnsi="Roboto" w:cs="Arial"/>
          <w:sz w:val="23"/>
          <w:szCs w:val="23"/>
        </w:rPr>
      </w:pPr>
      <w:r>
        <w:rPr>
          <w:rFonts w:ascii="Roboto" w:hAnsi="Roboto" w:cs="Arial"/>
          <w:sz w:val="23"/>
          <w:szCs w:val="23"/>
        </w:rPr>
        <w:t xml:space="preserve">O Autor é empregado da </w:t>
      </w:r>
      <w:r>
        <w:rPr>
          <w:rFonts w:ascii="Roboto" w:hAnsi="Roboto" w:cs="Arial"/>
          <w:sz w:val="23"/>
          <w:szCs w:val="23"/>
        </w:rPr>
        <w:t>empresa indicada no Pre</w:t>
      </w:r>
      <w:r>
        <w:rPr>
          <w:rFonts w:ascii="Roboto" w:hAnsi="Roboto" w:cs="Arial"/>
          <w:sz w:val="23"/>
          <w:szCs w:val="23"/>
        </w:rPr>
        <w:t>â</w:t>
      </w:r>
      <w:r>
        <w:rPr>
          <w:rFonts w:ascii="Roboto" w:hAnsi="Roboto" w:cs="Arial"/>
          <w:sz w:val="23"/>
          <w:szCs w:val="23"/>
        </w:rPr>
        <w:t xml:space="preserve">mbulo desta peça </w:t>
      </w:r>
      <w:r>
        <w:rPr>
          <w:rFonts w:ascii="Roboto" w:hAnsi="Roboto" w:cs="Arial"/>
          <w:sz w:val="23"/>
          <w:szCs w:val="23"/>
        </w:rPr>
        <w:t>e sua função na empresa abrange o trabalho em turnos ininterruptos de 8 (oito) horas diárias corridas.</w:t>
      </w:r>
    </w:p>
    <w:p w14:paraId="5255832F" w14:textId="77777777">
      <w:pPr>
        <w:widowControl w:val="0"/>
        <w:spacing w:line="276" w:lineRule="auto"/>
        <w:jc w:val="both"/>
        <w:rPr>
          <w:rFonts w:ascii="Roboto" w:hAnsi="Roboto" w:cs="Arial"/>
          <w:sz w:val="23"/>
          <w:szCs w:val="23"/>
        </w:rPr>
      </w:pPr>
    </w:p>
    <w:p w14:paraId="3596716D" w14:textId="77777777">
      <w:pPr>
        <w:widowControl w:val="0"/>
        <w:spacing w:line="276" w:lineRule="auto"/>
        <w:jc w:val="both"/>
        <w:rPr>
          <w:rFonts w:ascii="Roboto" w:hAnsi="Roboto" w:cs="Arial"/>
          <w:sz w:val="23"/>
          <w:szCs w:val="23"/>
        </w:rPr>
      </w:pPr>
      <w:r>
        <w:rPr>
          <w:rFonts w:ascii="Roboto" w:hAnsi="Roboto" w:cs="Arial"/>
          <w:sz w:val="23"/>
          <w:szCs w:val="23"/>
        </w:rPr>
        <w:t xml:space="preserve">Isso significa que o Autor não pode gozar do intervalo para descanso e alimentação após 6 (seis) horas de trabalho, tal qual previsto no </w:t>
      </w:r>
      <w:r>
        <w:rPr>
          <w:rFonts w:ascii="Roboto" w:hAnsi="Roboto" w:cs="Arial"/>
          <w:i/>
          <w:sz w:val="23"/>
          <w:szCs w:val="23"/>
        </w:rPr>
        <w:t>caput</w:t>
      </w:r>
      <w:r>
        <w:rPr>
          <w:rFonts w:ascii="Roboto" w:hAnsi="Roboto" w:cs="Arial"/>
          <w:sz w:val="23"/>
          <w:szCs w:val="23"/>
        </w:rPr>
        <w:t xml:space="preserve"> do art. 71 da Consolidação das Leis Trabalhistas.</w:t>
      </w:r>
    </w:p>
    <w:p w14:paraId="678A23C8" w14:textId="77777777">
      <w:pPr>
        <w:widowControl w:val="0"/>
        <w:spacing w:line="276" w:lineRule="auto"/>
        <w:jc w:val="both"/>
        <w:rPr>
          <w:rFonts w:ascii="Roboto" w:hAnsi="Roboto" w:cs="Arial"/>
          <w:sz w:val="23"/>
          <w:szCs w:val="23"/>
        </w:rPr>
      </w:pPr>
    </w:p>
    <w:p w14:paraId="398BB0E9" w14:textId="77777777">
      <w:pPr>
        <w:widowControl w:val="0"/>
        <w:spacing w:line="276" w:lineRule="auto"/>
        <w:jc w:val="both"/>
        <w:rPr>
          <w:rFonts w:ascii="Roboto" w:hAnsi="Roboto" w:cs="Arial"/>
          <w:sz w:val="23"/>
          <w:szCs w:val="23"/>
        </w:rPr>
      </w:pPr>
      <w:r>
        <w:rPr>
          <w:rFonts w:ascii="Roboto" w:hAnsi="Roboto" w:cs="Arial"/>
          <w:sz w:val="23"/>
          <w:szCs w:val="23"/>
        </w:rPr>
        <w:t xml:space="preserve">Nesse sentido, recebe a chamada Hora-Repouso-Alimentação (HRA), que corresponde a um pagamento como forma de </w:t>
      </w:r>
      <w:r>
        <w:rPr>
          <w:rFonts w:ascii="Roboto" w:hAnsi="Roboto" w:cs="Arial"/>
          <w:b/>
          <w:sz w:val="23"/>
          <w:szCs w:val="23"/>
        </w:rPr>
        <w:t xml:space="preserve">compensar </w:t>
      </w:r>
      <w:r>
        <w:rPr>
          <w:rFonts w:ascii="Roboto" w:hAnsi="Roboto" w:cs="Arial"/>
          <w:sz w:val="23"/>
          <w:szCs w:val="23"/>
        </w:rPr>
        <w:t>a não fruição do intervalo intrajornada, como previsto no §4º do art. 71 da CLT.</w:t>
      </w:r>
    </w:p>
    <w:p w14:paraId="3F0E9AC9" w14:textId="77777777">
      <w:pPr>
        <w:widowControl w:val="0"/>
        <w:spacing w:line="276" w:lineRule="auto"/>
        <w:jc w:val="both"/>
        <w:rPr>
          <w:rFonts w:ascii="Roboto" w:hAnsi="Roboto" w:cs="Arial"/>
          <w:sz w:val="23"/>
          <w:szCs w:val="23"/>
        </w:rPr>
      </w:pPr>
    </w:p>
    <w:p w14:paraId="2E54D714" w14:textId="77777777">
      <w:pPr>
        <w:widowControl w:val="0"/>
        <w:spacing w:line="276" w:lineRule="auto"/>
        <w:jc w:val="both"/>
        <w:rPr>
          <w:rFonts w:ascii="Roboto" w:hAnsi="Roboto" w:cs="Arial"/>
          <w:sz w:val="23"/>
          <w:szCs w:val="23"/>
        </w:rPr>
      </w:pPr>
      <w:r>
        <w:rPr>
          <w:rFonts w:ascii="Roboto" w:hAnsi="Roboto" w:cs="Arial"/>
          <w:sz w:val="23"/>
          <w:szCs w:val="23"/>
        </w:rPr>
        <w:t>Frise-se, ainda, que, para o setor petroquímico, há legislação específica regulamentando a operação em turnos contínuos de 8 (oito) horas em revezamento e a respectiva compensação via pagamento de HRA. Trata-se da Lei 5.811/1972.</w:t>
      </w:r>
    </w:p>
    <w:p w14:paraId="07CBEDBD" w14:textId="77777777">
      <w:pPr>
        <w:widowControl w:val="0"/>
        <w:spacing w:line="276" w:lineRule="auto"/>
        <w:jc w:val="both"/>
        <w:rPr>
          <w:rFonts w:ascii="Roboto" w:hAnsi="Roboto" w:cs="Arial"/>
          <w:sz w:val="23"/>
          <w:szCs w:val="23"/>
        </w:rPr>
      </w:pPr>
    </w:p>
    <w:p w14:paraId="356C2C79" w14:textId="204776C7">
      <w:pPr>
        <w:widowControl w:val="0"/>
        <w:spacing w:line="276" w:lineRule="auto"/>
        <w:jc w:val="both"/>
        <w:rPr>
          <w:rFonts w:ascii="Roboto" w:hAnsi="Roboto" w:cs="Arial"/>
          <w:sz w:val="23"/>
          <w:szCs w:val="23"/>
        </w:rPr>
      </w:pPr>
      <w:bookmarkStart w:id="0" w:name="art2"/>
      <w:bookmarkEnd w:id="0"/>
      <w:r>
        <w:rPr>
          <w:rFonts w:ascii="Roboto" w:hAnsi="Roboto" w:cs="Arial"/>
          <w:sz w:val="23"/>
          <w:szCs w:val="23"/>
        </w:rPr>
        <w:t xml:space="preserve">Mais ainda, segundo regulamento da Convenção Coletiva de Trabalho da categoria do Autor </w:t>
      </w:r>
      <w:r>
        <w:rPr>
          <w:rFonts w:ascii="Roboto" w:hAnsi="Roboto" w:cs="Arial"/>
          <w:sz w:val="23"/>
          <w:szCs w:val="23"/>
        </w:rPr>
        <w:t>em anexo</w:t>
      </w:r>
      <w:r>
        <w:rPr>
          <w:rFonts w:ascii="Roboto" w:hAnsi="Roboto" w:cs="Arial"/>
          <w:sz w:val="23"/>
          <w:szCs w:val="23"/>
        </w:rPr>
        <w:t>, a empresa lhe paga, a título de HRA, valor equivalente a 30% do salário-base.</w:t>
      </w:r>
    </w:p>
    <w:p w14:paraId="11F2FC5F" w14:textId="77777777">
      <w:pPr>
        <w:widowControl w:val="0"/>
        <w:spacing w:line="276" w:lineRule="auto"/>
        <w:jc w:val="both"/>
        <w:rPr>
          <w:rFonts w:ascii="Roboto" w:hAnsi="Roboto" w:cs="Arial"/>
          <w:sz w:val="23"/>
          <w:szCs w:val="23"/>
        </w:rPr>
      </w:pPr>
    </w:p>
    <w:p w14:paraId="31C876E5" w14:textId="2360ED25">
      <w:pPr>
        <w:widowControl w:val="0"/>
        <w:spacing w:line="276" w:lineRule="auto"/>
        <w:jc w:val="both"/>
        <w:rPr>
          <w:rFonts w:ascii="Roboto" w:hAnsi="Roboto" w:cs="Arial"/>
          <w:sz w:val="23"/>
          <w:szCs w:val="23"/>
        </w:rPr>
      </w:pPr>
      <w:r>
        <w:rPr>
          <w:rFonts w:ascii="Roboto" w:hAnsi="Roboto" w:cs="Arial"/>
          <w:sz w:val="23"/>
          <w:szCs w:val="23"/>
        </w:rPr>
        <w:t xml:space="preserve">Nesse sentido, o Autor procede à juntada, desde já, de todos os seus contracheques referentes ao período </w:t>
      </w:r>
      <w:r>
        <w:rPr>
          <w:rFonts w:ascii="Roboto" w:hAnsi="Roboto" w:cs="Arial"/>
          <w:sz w:val="23"/>
          <w:szCs w:val="23"/>
        </w:rPr>
        <w:t>postulado</w:t>
      </w:r>
      <w:r>
        <w:rPr>
          <w:rFonts w:ascii="Roboto" w:hAnsi="Roboto" w:cs="Arial"/>
          <w:sz w:val="23"/>
          <w:szCs w:val="23"/>
        </w:rPr>
        <w:t>.</w:t>
      </w:r>
    </w:p>
    <w:p w14:paraId="7285F360" w14:textId="77777777">
      <w:pPr>
        <w:widowControl w:val="0"/>
        <w:spacing w:line="276" w:lineRule="auto"/>
        <w:jc w:val="both"/>
        <w:rPr>
          <w:rFonts w:ascii="Roboto" w:hAnsi="Roboto" w:cs="Arial"/>
          <w:sz w:val="23"/>
          <w:szCs w:val="23"/>
        </w:rPr>
      </w:pPr>
    </w:p>
    <w:p w14:paraId="17D68EF5" w14:textId="77777777">
      <w:pPr>
        <w:widowControl w:val="0"/>
        <w:spacing w:line="276" w:lineRule="auto"/>
        <w:jc w:val="both"/>
        <w:rPr>
          <w:rFonts w:ascii="Roboto" w:hAnsi="Roboto" w:cs="Arial"/>
          <w:sz w:val="23"/>
          <w:szCs w:val="23"/>
        </w:rPr>
      </w:pPr>
      <w:r>
        <w:rPr>
          <w:rFonts w:ascii="Roboto" w:hAnsi="Roboto" w:cs="Arial"/>
          <w:sz w:val="23"/>
          <w:szCs w:val="23"/>
        </w:rPr>
        <w:t>De todo modo, faz-se evidente que as verbas recebidas a título de HRA tem natureza jurídica indenizatória, e visam compensar o prejuízo causado ao Autor por não gozar do intervalo ao qual faz jus para descanso e alimentação, como previsto pela legislação trabalhista.</w:t>
      </w:r>
    </w:p>
    <w:p w14:paraId="1D3701D5" w14:textId="77777777">
      <w:pPr>
        <w:widowControl w:val="0"/>
        <w:spacing w:line="276" w:lineRule="auto"/>
        <w:jc w:val="both"/>
        <w:rPr>
          <w:rFonts w:ascii="Roboto" w:hAnsi="Roboto" w:cs="Arial"/>
          <w:sz w:val="23"/>
          <w:szCs w:val="23"/>
        </w:rPr>
      </w:pPr>
    </w:p>
    <w:p w14:paraId="624DFE07" w14:textId="77777777">
      <w:pPr>
        <w:widowControl w:val="0"/>
        <w:spacing w:line="276" w:lineRule="auto"/>
        <w:jc w:val="both"/>
        <w:rPr>
          <w:rFonts w:ascii="Roboto" w:hAnsi="Roboto" w:cs="Arial"/>
          <w:sz w:val="23"/>
          <w:szCs w:val="23"/>
        </w:rPr>
      </w:pPr>
      <w:r>
        <w:rPr>
          <w:rFonts w:ascii="Roboto" w:hAnsi="Roboto" w:cs="Arial"/>
          <w:sz w:val="23"/>
          <w:szCs w:val="23"/>
        </w:rPr>
        <w:t>Ocorre que, ainda assim, a Ré indevidamente inclui dada parcela na base de cálculo para incidência do Imposto de Renda do Autor.</w:t>
      </w:r>
    </w:p>
    <w:p w14:paraId="65172E7A" w14:textId="77777777">
      <w:pPr>
        <w:widowControl w:val="0"/>
        <w:spacing w:line="276" w:lineRule="auto"/>
        <w:jc w:val="both"/>
        <w:rPr>
          <w:rFonts w:ascii="Roboto" w:hAnsi="Roboto" w:cs="Arial"/>
          <w:sz w:val="23"/>
          <w:szCs w:val="23"/>
        </w:rPr>
      </w:pPr>
    </w:p>
    <w:p w14:paraId="455EF9A7" w14:textId="5AA64761">
      <w:pPr>
        <w:widowControl w:val="0"/>
        <w:spacing w:line="276" w:lineRule="auto"/>
        <w:jc w:val="both"/>
        <w:rPr>
          <w:rFonts w:ascii="Roboto" w:hAnsi="Roboto" w:cs="Arial"/>
          <w:sz w:val="23"/>
          <w:szCs w:val="23"/>
        </w:rPr>
      </w:pPr>
      <w:r>
        <w:rPr>
          <w:rFonts w:ascii="Roboto" w:hAnsi="Roboto" w:cs="Arial"/>
          <w:sz w:val="23"/>
          <w:szCs w:val="23"/>
        </w:rPr>
        <w:t>Todavia, uma vez que a HRA ostenta nítido caráter compensatório, não se adéqua ao conceito de renda e, portanto, jamais poderia ser onerada pelo referido tributo</w:t>
      </w:r>
      <w:r>
        <w:rPr>
          <w:rFonts w:ascii="Roboto" w:hAnsi="Roboto" w:cs="Arial"/>
          <w:sz w:val="23"/>
          <w:szCs w:val="23"/>
        </w:rPr>
        <w:t>, nos termos do Tema 306 fixado pela TNU.</w:t>
      </w:r>
    </w:p>
    <w:p w14:paraId="679C54C1" w14:textId="77777777">
      <w:pPr>
        <w:widowControl w:val="0"/>
        <w:spacing w:line="276" w:lineRule="auto"/>
        <w:jc w:val="both"/>
        <w:rPr>
          <w:rFonts w:ascii="Roboto" w:hAnsi="Roboto" w:cs="Arial"/>
          <w:sz w:val="23"/>
          <w:szCs w:val="23"/>
        </w:rPr>
      </w:pPr>
    </w:p>
    <w:p w14:paraId="736C6F30" w14:textId="77777777">
      <w:pPr>
        <w:spacing w:line="276" w:lineRule="auto"/>
        <w:jc w:val="both"/>
        <w:rPr>
          <w:rFonts w:ascii="Roboto" w:hAnsi="Roboto" w:cs="Arial"/>
          <w:sz w:val="23"/>
          <w:szCs w:val="23"/>
        </w:rPr>
      </w:pPr>
      <w:r>
        <w:rPr>
          <w:rFonts w:ascii="Roboto" w:hAnsi="Roboto" w:cs="Arial"/>
          <w:sz w:val="23"/>
          <w:szCs w:val="23"/>
        </w:rPr>
        <w:t>Dessa forma, o Autor lança mão da presente ação a fim de fazer cessar a ilícita arrecadação tributária feita pela Ré, bem como obter a restituição de todos os valores pagos a título de IR sobre HRA, observado o quinquênio prescricional.</w:t>
      </w:r>
    </w:p>
    <w:p w14:paraId="21F2870A" w14:textId="77777777">
      <w:pPr>
        <w:spacing w:line="276" w:lineRule="auto"/>
        <w:jc w:val="both"/>
        <w:rPr>
          <w:rFonts w:ascii="Roboto" w:hAnsi="Roboto" w:cs="Arial"/>
          <w:sz w:val="23"/>
          <w:szCs w:val="23"/>
        </w:rPr>
      </w:pPr>
    </w:p>
    <w:p w14:paraId="7033552F" w14:textId="77777777">
      <w:pPr>
        <w:spacing w:line="276" w:lineRule="auto"/>
        <w:jc w:val="both"/>
        <w:rPr>
          <w:rFonts w:ascii="Roboto" w:hAnsi="Roboto" w:cs="Arial"/>
          <w:sz w:val="23"/>
          <w:szCs w:val="23"/>
        </w:rPr>
      </w:pPr>
    </w:p>
    <w:p w14:paraId="7C57E202" w14:textId="77777777">
      <w:pPr>
        <w:spacing w:line="276" w:lineRule="auto"/>
        <w:jc w:val="both"/>
        <w:rPr>
          <w:rFonts w:ascii="Roboto" w:hAnsi="Roboto" w:cs="Arial"/>
          <w:b/>
          <w:bCs/>
          <w:sz w:val="23"/>
          <w:szCs w:val="23"/>
          <w:u w:val="single"/>
        </w:rPr>
      </w:pPr>
      <w:r>
        <w:rPr>
          <w:rFonts w:ascii="Roboto" w:hAnsi="Roboto" w:cs="Arial"/>
          <w:b/>
          <w:bCs/>
          <w:sz w:val="23"/>
          <w:szCs w:val="23"/>
          <w:u w:val="single"/>
        </w:rPr>
        <w:t>4 – DO TERMO INICIAL DA CONTAGEM DA PRESCRIÇÃO QUINQUENAL</w:t>
      </w:r>
    </w:p>
    <w:p w14:paraId="52866355" w14:textId="77777777">
      <w:pPr>
        <w:spacing w:line="276" w:lineRule="auto"/>
        <w:jc w:val="both"/>
        <w:rPr>
          <w:rFonts w:ascii="Roboto" w:hAnsi="Roboto" w:cs="Arial"/>
          <w:sz w:val="23"/>
          <w:szCs w:val="23"/>
        </w:rPr>
      </w:pPr>
    </w:p>
    <w:p w14:paraId="089D906B" w14:textId="77777777">
      <w:pPr>
        <w:widowControl w:val="0"/>
        <w:spacing w:line="276" w:lineRule="auto"/>
        <w:jc w:val="both"/>
        <w:rPr>
          <w:rFonts w:ascii="Roboto" w:hAnsi="Roboto" w:cs="Arial"/>
          <w:sz w:val="23"/>
          <w:szCs w:val="23"/>
        </w:rPr>
      </w:pPr>
      <w:r>
        <w:rPr>
          <w:rFonts w:ascii="Roboto" w:hAnsi="Roboto" w:cs="Arial"/>
          <w:sz w:val="23"/>
          <w:szCs w:val="23"/>
        </w:rPr>
        <w:t xml:space="preserve">Como se sabe, a entrega da declaração de ajuste do Imposto de Renda da Pessoa Física ocorre sempre no ano seguinte em relação ao ano calendários em </w:t>
      </w:r>
      <w:r>
        <w:rPr>
          <w:rFonts w:ascii="Roboto" w:hAnsi="Roboto" w:cs="Arial"/>
          <w:sz w:val="23"/>
          <w:szCs w:val="23"/>
        </w:rPr>
        <w:lastRenderedPageBreak/>
        <w:t>que os rendimentos foram pagos e as retenções foram realizadas. Em outras palavras, a DIRPF 2023, por exemplo, se refere ao ano calendário 2022.</w:t>
      </w:r>
    </w:p>
    <w:p w14:paraId="1FBA18DD" w14:textId="77777777">
      <w:pPr>
        <w:spacing w:line="276" w:lineRule="auto"/>
        <w:jc w:val="both"/>
        <w:rPr>
          <w:rFonts w:ascii="Roboto" w:hAnsi="Roboto" w:cs="Arial"/>
          <w:sz w:val="23"/>
          <w:szCs w:val="23"/>
        </w:rPr>
      </w:pPr>
    </w:p>
    <w:p w14:paraId="7D5C077D" w14:textId="77777777">
      <w:pPr>
        <w:spacing w:line="276" w:lineRule="auto"/>
        <w:jc w:val="both"/>
        <w:rPr>
          <w:rFonts w:ascii="Roboto" w:hAnsi="Roboto" w:cs="Arial"/>
          <w:sz w:val="23"/>
          <w:szCs w:val="23"/>
        </w:rPr>
      </w:pPr>
      <w:r>
        <w:rPr>
          <w:rFonts w:ascii="Roboto" w:hAnsi="Roboto" w:cs="Arial"/>
          <w:sz w:val="23"/>
          <w:szCs w:val="23"/>
        </w:rPr>
        <w:t>Nesse diapasão, a jurisprudência dos Tribunais pátrios pacificou o entendimento de que a contagem da prescrição quinquenal para o contribuinte pleitear a restituição tributária, em se tratando de retenção do Imposto de Renda Pessoa Física em determinado ano calendário se inicia na data de entrega da DIRPF</w:t>
      </w:r>
      <w:r>
        <w:rPr>
          <w:rStyle w:val="Refdenotaderodap"/>
          <w:rFonts w:ascii="Roboto" w:hAnsi="Roboto" w:cs="Arial"/>
          <w:sz w:val="23"/>
          <w:szCs w:val="23"/>
        </w:rPr>
        <w:footnoteReference w:id="2"/>
      </w:r>
      <w:r>
        <w:rPr>
          <w:rFonts w:ascii="Roboto" w:hAnsi="Roboto" w:cs="Arial"/>
          <w:sz w:val="23"/>
          <w:szCs w:val="23"/>
        </w:rPr>
        <w:t>.</w:t>
      </w:r>
    </w:p>
    <w:p w14:paraId="4E985333" w14:textId="77777777">
      <w:pPr>
        <w:spacing w:line="276" w:lineRule="auto"/>
        <w:jc w:val="both"/>
        <w:rPr>
          <w:rFonts w:ascii="Roboto" w:hAnsi="Roboto" w:cs="Arial"/>
          <w:sz w:val="23"/>
          <w:szCs w:val="23"/>
        </w:rPr>
      </w:pPr>
      <w:r>
        <w:rPr>
          <w:rFonts w:ascii="Roboto" w:hAnsi="Roboto" w:cs="Arial"/>
          <w:sz w:val="23"/>
          <w:szCs w:val="23"/>
        </w:rPr>
        <w:lastRenderedPageBreak/>
        <w:t>Até porque, conforme se colhe dos referidos precedente, a retenção feita pela fonte pagadora NÃO se assimila a pagamento antecipado do IRPF, vez que necessariamente terá de ser submetida a ajuste por ocasião da entrega da declaração.</w:t>
      </w:r>
    </w:p>
    <w:p w14:paraId="44BCB10E" w14:textId="77777777">
      <w:pPr>
        <w:spacing w:line="276" w:lineRule="auto"/>
        <w:jc w:val="both"/>
        <w:rPr>
          <w:rFonts w:ascii="Roboto" w:hAnsi="Roboto" w:cs="Arial"/>
          <w:sz w:val="23"/>
          <w:szCs w:val="23"/>
        </w:rPr>
      </w:pPr>
    </w:p>
    <w:p w14:paraId="15E144A6" w14:textId="379F0295">
      <w:pPr>
        <w:widowControl w:val="0"/>
        <w:spacing w:line="276" w:lineRule="auto"/>
        <w:jc w:val="both"/>
        <w:rPr>
          <w:rFonts w:ascii="Roboto" w:hAnsi="Roboto" w:cs="Arial"/>
          <w:sz w:val="23"/>
          <w:szCs w:val="23"/>
        </w:rPr>
      </w:pPr>
      <w:r>
        <w:rPr>
          <w:rFonts w:ascii="Roboto" w:hAnsi="Roboto" w:cs="Arial"/>
          <w:sz w:val="23"/>
          <w:szCs w:val="23"/>
        </w:rPr>
        <w:t xml:space="preserve">Por conseguinte, a prescrição, in casu, não atinge retenções realizadas no ano calendário </w:t>
      </w:r>
      <w:r>
        <w:rPr>
          <w:rFonts w:ascii="Roboto" w:hAnsi="Roboto" w:cs="Arial"/>
          <w:sz w:val="23"/>
          <w:szCs w:val="23"/>
        </w:rPr>
        <w:t>anterior ao período da relação tributária destacada no preâmbulo</w:t>
      </w:r>
      <w:r>
        <w:rPr>
          <w:rFonts w:ascii="Roboto" w:hAnsi="Roboto" w:cs="Arial"/>
          <w:sz w:val="23"/>
          <w:szCs w:val="23"/>
        </w:rPr>
        <w:t xml:space="preserve"> vez que a respectiva DIRPF só foi entregue a partir de</w:t>
      </w:r>
      <w:r>
        <w:rPr>
          <w:rFonts w:ascii="Roboto" w:hAnsi="Roboto" w:cs="Arial"/>
          <w:sz w:val="23"/>
          <w:szCs w:val="23"/>
        </w:rPr>
        <w:t xml:space="preserve"> abril do ano </w:t>
      </w:r>
      <w:r>
        <w:rPr>
          <w:rFonts w:ascii="Roboto" w:hAnsi="Roboto" w:cs="Arial"/>
          <w:sz w:val="23"/>
          <w:szCs w:val="23"/>
        </w:rPr>
        <w:t>calendário</w:t>
      </w:r>
      <w:r>
        <w:rPr>
          <w:rFonts w:ascii="Roboto" w:hAnsi="Roboto" w:cs="Arial"/>
          <w:sz w:val="23"/>
          <w:szCs w:val="23"/>
        </w:rPr>
        <w:t xml:space="preserve"> seguindo,</w:t>
      </w:r>
      <w:r>
        <w:rPr>
          <w:rFonts w:ascii="Roboto" w:hAnsi="Roboto" w:cs="Arial"/>
          <w:sz w:val="23"/>
          <w:szCs w:val="23"/>
        </w:rPr>
        <w:t xml:space="preserve"> portanto, há menos de 05 (cinco) anos.</w:t>
      </w:r>
    </w:p>
    <w:p w14:paraId="7E13509E" w14:textId="77777777">
      <w:pPr>
        <w:widowControl w:val="0"/>
        <w:spacing w:line="276" w:lineRule="auto"/>
        <w:jc w:val="both"/>
        <w:rPr>
          <w:rFonts w:ascii="Roboto" w:hAnsi="Roboto" w:cs="Arial"/>
          <w:sz w:val="23"/>
          <w:szCs w:val="23"/>
        </w:rPr>
      </w:pPr>
    </w:p>
    <w:p w14:paraId="4608C611" w14:textId="77777777">
      <w:pPr>
        <w:widowControl w:val="0"/>
        <w:spacing w:line="276" w:lineRule="auto"/>
        <w:jc w:val="both"/>
        <w:rPr>
          <w:rFonts w:ascii="Roboto" w:hAnsi="Roboto" w:cs="Arial"/>
          <w:sz w:val="23"/>
          <w:szCs w:val="23"/>
        </w:rPr>
      </w:pPr>
    </w:p>
    <w:p w14:paraId="59A36001" w14:textId="77777777">
      <w:pPr>
        <w:widowControl w:val="0"/>
        <w:spacing w:line="276" w:lineRule="auto"/>
        <w:jc w:val="both"/>
        <w:rPr>
          <w:rFonts w:ascii="Roboto" w:hAnsi="Roboto" w:cs="Arial"/>
          <w:b/>
          <w:sz w:val="23"/>
          <w:szCs w:val="23"/>
          <w:u w:val="single"/>
        </w:rPr>
      </w:pPr>
      <w:r>
        <w:rPr>
          <w:rFonts w:ascii="Roboto" w:hAnsi="Roboto" w:cs="Arial"/>
          <w:b/>
          <w:sz w:val="23"/>
          <w:szCs w:val="23"/>
          <w:u w:val="single"/>
        </w:rPr>
        <w:t>5 – DO DIREITO</w:t>
      </w:r>
    </w:p>
    <w:p w14:paraId="6BA6DA6E" w14:textId="77777777">
      <w:pPr>
        <w:widowControl w:val="0"/>
        <w:spacing w:line="276" w:lineRule="auto"/>
        <w:jc w:val="both"/>
        <w:rPr>
          <w:rFonts w:ascii="Roboto" w:hAnsi="Roboto" w:cs="Arial"/>
          <w:sz w:val="23"/>
          <w:szCs w:val="23"/>
        </w:rPr>
      </w:pPr>
    </w:p>
    <w:p w14:paraId="7B16A684" w14:textId="77777777">
      <w:pPr>
        <w:widowControl w:val="0"/>
        <w:spacing w:line="276" w:lineRule="auto"/>
        <w:jc w:val="both"/>
        <w:rPr>
          <w:rFonts w:ascii="Roboto" w:hAnsi="Roboto" w:cs="Arial"/>
          <w:b/>
          <w:sz w:val="23"/>
          <w:szCs w:val="23"/>
        </w:rPr>
      </w:pPr>
      <w:r>
        <w:rPr>
          <w:rFonts w:ascii="Roboto" w:hAnsi="Roboto" w:cs="Arial"/>
          <w:b/>
          <w:sz w:val="23"/>
          <w:szCs w:val="23"/>
        </w:rPr>
        <w:t>5.1 – O CARÁTER INDENIZATÓRIO DA HRA E A NÃO INCIDÊNCIA DO IMPOSTO DE RENDA SOBRE TAL PARCELA</w:t>
      </w:r>
    </w:p>
    <w:p w14:paraId="2EFF2032" w14:textId="77777777">
      <w:pPr>
        <w:widowControl w:val="0"/>
        <w:spacing w:line="276" w:lineRule="auto"/>
        <w:jc w:val="both"/>
        <w:rPr>
          <w:rFonts w:ascii="Roboto" w:hAnsi="Roboto" w:cs="Arial"/>
          <w:b/>
          <w:sz w:val="23"/>
          <w:szCs w:val="23"/>
        </w:rPr>
      </w:pPr>
    </w:p>
    <w:p w14:paraId="0C82FCF4" w14:textId="77777777">
      <w:pPr>
        <w:spacing w:line="276" w:lineRule="auto"/>
        <w:jc w:val="both"/>
        <w:rPr>
          <w:rFonts w:ascii="Roboto" w:hAnsi="Roboto" w:cs="Arial"/>
          <w:sz w:val="23"/>
          <w:szCs w:val="23"/>
        </w:rPr>
      </w:pPr>
      <w:r>
        <w:rPr>
          <w:rFonts w:ascii="Roboto" w:hAnsi="Roboto" w:cs="Arial"/>
          <w:sz w:val="23"/>
          <w:szCs w:val="23"/>
        </w:rPr>
        <w:t xml:space="preserve">Como se sabe, o Imposto de Renda é tributo que tem como hipótese de incidência e base de cálculo, em linhas gerais, o </w:t>
      </w:r>
      <w:r>
        <w:rPr>
          <w:rFonts w:ascii="Roboto" w:hAnsi="Roboto" w:cs="Arial"/>
          <w:b/>
          <w:bCs/>
          <w:sz w:val="23"/>
          <w:szCs w:val="23"/>
        </w:rPr>
        <w:t>acréscimo patrimonial</w:t>
      </w:r>
      <w:r>
        <w:rPr>
          <w:rFonts w:ascii="Roboto" w:hAnsi="Roboto" w:cs="Arial"/>
          <w:sz w:val="23"/>
          <w:szCs w:val="23"/>
        </w:rPr>
        <w:t xml:space="preserve"> auferido pelo sujeito passivo, conforme art. 43 do CTN</w:t>
      </w:r>
      <w:r>
        <w:rPr>
          <w:rStyle w:val="Refdenotaderodap"/>
          <w:rFonts w:ascii="Roboto" w:hAnsi="Roboto" w:cs="Arial"/>
          <w:sz w:val="23"/>
          <w:szCs w:val="23"/>
        </w:rPr>
        <w:footnoteReference w:id="3"/>
      </w:r>
      <w:r>
        <w:rPr>
          <w:rFonts w:ascii="Roboto" w:hAnsi="Roboto" w:cs="Arial"/>
          <w:sz w:val="23"/>
          <w:szCs w:val="23"/>
        </w:rPr>
        <w:t xml:space="preserve">. </w:t>
      </w:r>
    </w:p>
    <w:p w14:paraId="182EC781" w14:textId="77777777">
      <w:pPr>
        <w:spacing w:line="276" w:lineRule="auto"/>
        <w:jc w:val="both"/>
        <w:rPr>
          <w:rFonts w:ascii="Roboto" w:hAnsi="Roboto" w:cs="Arial"/>
          <w:sz w:val="23"/>
          <w:szCs w:val="23"/>
        </w:rPr>
      </w:pPr>
    </w:p>
    <w:p w14:paraId="55A84F71" w14:textId="77777777">
      <w:pPr>
        <w:widowControl w:val="0"/>
        <w:spacing w:line="276" w:lineRule="auto"/>
        <w:jc w:val="both"/>
        <w:rPr>
          <w:rFonts w:ascii="Roboto" w:hAnsi="Roboto" w:cs="Arial"/>
          <w:sz w:val="23"/>
          <w:szCs w:val="23"/>
        </w:rPr>
      </w:pPr>
      <w:r>
        <w:rPr>
          <w:rFonts w:ascii="Roboto" w:hAnsi="Roboto" w:cs="Arial"/>
          <w:sz w:val="23"/>
          <w:szCs w:val="23"/>
        </w:rPr>
        <w:t>Ocorre que, à toda evidência, a Hora-Repouso-Alimentação (HRA) não se enquadra no conceito de acréscimo patrimonial – pelo que não configura fato gerador nem poderia compor a base de cálculo do referido tributo.</w:t>
      </w:r>
    </w:p>
    <w:p w14:paraId="34FC8901" w14:textId="77777777">
      <w:pPr>
        <w:widowControl w:val="0"/>
        <w:spacing w:line="276" w:lineRule="auto"/>
        <w:jc w:val="both"/>
        <w:rPr>
          <w:rFonts w:ascii="Roboto" w:hAnsi="Roboto" w:cs="Arial"/>
          <w:sz w:val="23"/>
          <w:szCs w:val="23"/>
        </w:rPr>
      </w:pPr>
    </w:p>
    <w:p w14:paraId="5720B4DE" w14:textId="77777777">
      <w:pPr>
        <w:widowControl w:val="0"/>
        <w:spacing w:line="276" w:lineRule="auto"/>
        <w:jc w:val="both"/>
        <w:rPr>
          <w:rFonts w:ascii="Roboto" w:hAnsi="Roboto" w:cs="Arial"/>
          <w:sz w:val="23"/>
          <w:szCs w:val="23"/>
        </w:rPr>
      </w:pPr>
      <w:r>
        <w:rPr>
          <w:rFonts w:ascii="Roboto" w:hAnsi="Roboto" w:cs="Arial"/>
          <w:sz w:val="23"/>
          <w:szCs w:val="23"/>
        </w:rPr>
        <w:t xml:space="preserve">Em outras palavras, o valor pago a título de HRA não constitui renda do empregado, que já tem seu serviço remunerado através do salário e das horas extras; se presta, isso sim, a indenizá-lo pela não fruição de um direito legalmente </w:t>
      </w:r>
      <w:r>
        <w:rPr>
          <w:rFonts w:ascii="Roboto" w:hAnsi="Roboto" w:cs="Arial"/>
          <w:sz w:val="23"/>
          <w:szCs w:val="23"/>
        </w:rPr>
        <w:lastRenderedPageBreak/>
        <w:t xml:space="preserve">estabelecido. </w:t>
      </w:r>
    </w:p>
    <w:p w14:paraId="1CC789C2" w14:textId="77777777">
      <w:pPr>
        <w:widowControl w:val="0"/>
        <w:spacing w:line="276" w:lineRule="auto"/>
        <w:jc w:val="both"/>
        <w:rPr>
          <w:rFonts w:ascii="Roboto" w:hAnsi="Roboto" w:cs="Arial"/>
          <w:sz w:val="23"/>
          <w:szCs w:val="23"/>
        </w:rPr>
      </w:pPr>
    </w:p>
    <w:p w14:paraId="2DFC9A8A" w14:textId="77777777">
      <w:pPr>
        <w:widowControl w:val="0"/>
        <w:spacing w:line="276" w:lineRule="auto"/>
        <w:jc w:val="both"/>
        <w:rPr>
          <w:rFonts w:ascii="Roboto" w:hAnsi="Roboto" w:cs="Arial"/>
          <w:sz w:val="23"/>
          <w:szCs w:val="23"/>
        </w:rPr>
      </w:pPr>
      <w:r>
        <w:rPr>
          <w:rFonts w:ascii="Roboto" w:hAnsi="Roboto" w:cs="Arial"/>
          <w:sz w:val="23"/>
          <w:szCs w:val="23"/>
        </w:rPr>
        <w:t xml:space="preserve">Com efeito, a Consolidação das Leis do Trabalho (CLT), no </w:t>
      </w:r>
      <w:r>
        <w:rPr>
          <w:rFonts w:ascii="Roboto" w:hAnsi="Roboto" w:cs="Arial"/>
          <w:i/>
          <w:iCs/>
          <w:sz w:val="23"/>
          <w:szCs w:val="23"/>
        </w:rPr>
        <w:t>caput</w:t>
      </w:r>
      <w:r>
        <w:rPr>
          <w:rFonts w:ascii="Roboto" w:hAnsi="Roboto" w:cs="Arial"/>
          <w:sz w:val="23"/>
          <w:szCs w:val="23"/>
        </w:rPr>
        <w:t xml:space="preserve"> de seu art. 71, dá ao trabalhador o direito de gozar de intervalo para repouso e alimentação quando exercer trabalho que exceda 6 (seis) horas contínuas</w:t>
      </w:r>
      <w:r>
        <w:rPr>
          <w:rStyle w:val="Refdenotaderodap"/>
          <w:rFonts w:ascii="Roboto" w:hAnsi="Roboto" w:cs="Arial"/>
          <w:sz w:val="23"/>
          <w:szCs w:val="23"/>
        </w:rPr>
        <w:footnoteReference w:id="4"/>
      </w:r>
      <w:r>
        <w:rPr>
          <w:rFonts w:ascii="Roboto" w:hAnsi="Roboto" w:cs="Arial"/>
          <w:sz w:val="23"/>
          <w:szCs w:val="23"/>
        </w:rPr>
        <w:t>.</w:t>
      </w:r>
    </w:p>
    <w:p w14:paraId="4EC16969" w14:textId="77777777">
      <w:pPr>
        <w:widowControl w:val="0"/>
        <w:spacing w:line="276" w:lineRule="auto"/>
        <w:jc w:val="both"/>
        <w:rPr>
          <w:rFonts w:ascii="Roboto" w:hAnsi="Roboto" w:cs="Arial"/>
          <w:sz w:val="23"/>
          <w:szCs w:val="23"/>
        </w:rPr>
      </w:pPr>
    </w:p>
    <w:p w14:paraId="6CF5D3B5" w14:textId="77777777">
      <w:pPr>
        <w:widowControl w:val="0"/>
        <w:spacing w:line="276" w:lineRule="auto"/>
        <w:jc w:val="both"/>
        <w:rPr>
          <w:rFonts w:ascii="Roboto" w:hAnsi="Roboto" w:cs="Arial"/>
          <w:sz w:val="23"/>
          <w:szCs w:val="23"/>
        </w:rPr>
      </w:pPr>
      <w:r>
        <w:rPr>
          <w:rFonts w:ascii="Roboto" w:hAnsi="Roboto" w:cs="Arial"/>
          <w:sz w:val="23"/>
          <w:szCs w:val="23"/>
        </w:rPr>
        <w:t>Além disso, na forma do §2º do mencionado artigo, determina a CLT que os intervalos de descanso não serão computados na hora de trabalho</w:t>
      </w:r>
      <w:r>
        <w:rPr>
          <w:rStyle w:val="Refdenotaderodap"/>
          <w:rFonts w:ascii="Roboto" w:hAnsi="Roboto" w:cs="Arial"/>
          <w:sz w:val="23"/>
          <w:szCs w:val="23"/>
        </w:rPr>
        <w:footnoteReference w:id="5"/>
      </w:r>
      <w:r>
        <w:rPr>
          <w:rFonts w:ascii="Roboto" w:hAnsi="Roboto" w:cs="Arial"/>
          <w:sz w:val="23"/>
          <w:szCs w:val="23"/>
        </w:rPr>
        <w:t>.</w:t>
      </w:r>
    </w:p>
    <w:p w14:paraId="2DC7BC8B" w14:textId="77777777">
      <w:pPr>
        <w:widowControl w:val="0"/>
        <w:spacing w:line="276" w:lineRule="auto"/>
        <w:jc w:val="both"/>
        <w:rPr>
          <w:rFonts w:ascii="Roboto" w:hAnsi="Roboto" w:cs="Arial"/>
          <w:sz w:val="23"/>
          <w:szCs w:val="23"/>
        </w:rPr>
      </w:pPr>
    </w:p>
    <w:p w14:paraId="6298E8A6" w14:textId="77777777">
      <w:pPr>
        <w:widowControl w:val="0"/>
        <w:spacing w:line="276" w:lineRule="auto"/>
        <w:jc w:val="both"/>
        <w:rPr>
          <w:rFonts w:ascii="Roboto" w:hAnsi="Roboto" w:cs="Arial"/>
          <w:sz w:val="23"/>
          <w:szCs w:val="23"/>
        </w:rPr>
      </w:pPr>
      <w:r>
        <w:rPr>
          <w:rFonts w:ascii="Roboto" w:hAnsi="Roboto" w:cs="Arial"/>
          <w:sz w:val="23"/>
          <w:szCs w:val="23"/>
        </w:rPr>
        <w:t>Sendo os intervalos para descanso e alimentação uma prerrogativa do empregado, mas antevendo o legislador que em algumas hipóteses, em função da natureza do ofício exercido, ela haverá de ser suprimida, o §4º estipula de logo uma forma de compensar o trabalhador pela supressão do referido direito, através do pagamento de um adicional de 50% sobre o período</w:t>
      </w:r>
      <w:r>
        <w:rPr>
          <w:rStyle w:val="Refdenotaderodap"/>
          <w:rFonts w:ascii="Roboto" w:hAnsi="Roboto" w:cs="Arial"/>
          <w:sz w:val="23"/>
          <w:szCs w:val="23"/>
        </w:rPr>
        <w:footnoteReference w:id="6"/>
      </w:r>
      <w:r>
        <w:rPr>
          <w:rFonts w:ascii="Roboto" w:hAnsi="Roboto" w:cs="Arial"/>
          <w:sz w:val="23"/>
          <w:szCs w:val="23"/>
        </w:rPr>
        <w:t xml:space="preserve"> – justamente o que se convencionou chamar de HRA.</w:t>
      </w:r>
    </w:p>
    <w:p w14:paraId="1F222570" w14:textId="77777777">
      <w:pPr>
        <w:widowControl w:val="0"/>
        <w:spacing w:line="276" w:lineRule="auto"/>
        <w:jc w:val="both"/>
        <w:rPr>
          <w:rFonts w:ascii="Roboto" w:hAnsi="Roboto" w:cs="Arial"/>
          <w:sz w:val="23"/>
          <w:szCs w:val="23"/>
        </w:rPr>
      </w:pPr>
    </w:p>
    <w:p w14:paraId="7C02FA33" w14:textId="5A1F2232">
      <w:pPr>
        <w:widowControl w:val="0"/>
        <w:spacing w:line="276" w:lineRule="auto"/>
        <w:jc w:val="both"/>
        <w:rPr>
          <w:rFonts w:ascii="Roboto" w:hAnsi="Roboto" w:cs="Arial"/>
          <w:sz w:val="23"/>
          <w:szCs w:val="23"/>
        </w:rPr>
      </w:pPr>
      <w:r>
        <w:rPr>
          <w:rFonts w:ascii="Roboto" w:hAnsi="Roboto" w:cs="Arial"/>
          <w:sz w:val="23"/>
          <w:szCs w:val="23"/>
        </w:rPr>
        <w:t>No caso em pauta, o Autor labora em turnos ininterruptos de 8 (oito) horas e, por força de Convenção Coletiva de Trabalho específica, recebe como compensação pela supressão do descanso intrajornada valor equivalente a 30% do seu salário-base (</w:t>
      </w:r>
      <w:r>
        <w:rPr>
          <w:rFonts w:ascii="Roboto" w:hAnsi="Roboto" w:cs="Arial"/>
          <w:b/>
          <w:bCs/>
          <w:sz w:val="23"/>
          <w:szCs w:val="23"/>
        </w:rPr>
        <w:t>DOCS. 0</w:t>
      </w:r>
      <w:r>
        <w:rPr>
          <w:rFonts w:ascii="Roboto" w:hAnsi="Roboto" w:cs="Arial"/>
          <w:b/>
          <w:bCs/>
          <w:sz w:val="23"/>
          <w:szCs w:val="23"/>
        </w:rPr>
        <w:t>4</w:t>
      </w:r>
      <w:r>
        <w:rPr>
          <w:rFonts w:ascii="Roboto" w:hAnsi="Roboto" w:cs="Arial"/>
          <w:b/>
          <w:bCs/>
          <w:sz w:val="23"/>
          <w:szCs w:val="23"/>
        </w:rPr>
        <w:t xml:space="preserve"> e 0</w:t>
      </w:r>
      <w:r>
        <w:rPr>
          <w:rFonts w:ascii="Roboto" w:hAnsi="Roboto" w:cs="Arial"/>
          <w:b/>
          <w:bCs/>
          <w:sz w:val="23"/>
          <w:szCs w:val="23"/>
        </w:rPr>
        <w:t>5</w:t>
      </w:r>
      <w:r>
        <w:rPr>
          <w:rFonts w:ascii="Roboto" w:hAnsi="Roboto" w:cs="Arial"/>
          <w:sz w:val="23"/>
          <w:szCs w:val="23"/>
        </w:rPr>
        <w:t>).</w:t>
      </w:r>
    </w:p>
    <w:p w14:paraId="19455F6E" w14:textId="77777777">
      <w:pPr>
        <w:widowControl w:val="0"/>
        <w:spacing w:line="276" w:lineRule="auto"/>
        <w:jc w:val="both"/>
        <w:rPr>
          <w:rFonts w:ascii="Roboto" w:hAnsi="Roboto" w:cs="Arial"/>
          <w:sz w:val="23"/>
          <w:szCs w:val="23"/>
        </w:rPr>
      </w:pPr>
    </w:p>
    <w:p w14:paraId="156ABDD4" w14:textId="77777777">
      <w:pPr>
        <w:widowControl w:val="0"/>
        <w:spacing w:line="276" w:lineRule="auto"/>
        <w:jc w:val="both"/>
        <w:rPr>
          <w:rFonts w:ascii="Roboto" w:hAnsi="Roboto" w:cs="Arial"/>
          <w:sz w:val="23"/>
          <w:szCs w:val="23"/>
        </w:rPr>
      </w:pPr>
      <w:r>
        <w:rPr>
          <w:rFonts w:ascii="Roboto" w:hAnsi="Roboto" w:cs="Arial"/>
          <w:sz w:val="23"/>
          <w:szCs w:val="23"/>
        </w:rPr>
        <w:t>Tal, aliás, é comum no setor de atuação do Autor (indústria petroquímica), tanto que há legislação específica disciplinando o trabalho em tais condições – e a conseguinte compensação via pagamento de HRA –, qual seja a Lei 5.811/1972</w:t>
      </w:r>
      <w:r>
        <w:rPr>
          <w:rStyle w:val="Refdenotaderodap"/>
          <w:rFonts w:ascii="Roboto" w:hAnsi="Roboto" w:cs="Arial"/>
          <w:sz w:val="23"/>
          <w:szCs w:val="23"/>
        </w:rPr>
        <w:footnoteReference w:id="7"/>
      </w:r>
      <w:r>
        <w:rPr>
          <w:rFonts w:ascii="Roboto" w:hAnsi="Roboto" w:cs="Arial"/>
          <w:sz w:val="23"/>
          <w:szCs w:val="23"/>
        </w:rPr>
        <w:t>.</w:t>
      </w:r>
    </w:p>
    <w:p w14:paraId="3B0130B4" w14:textId="77777777">
      <w:pPr>
        <w:widowControl w:val="0"/>
        <w:spacing w:line="276" w:lineRule="auto"/>
        <w:jc w:val="both"/>
        <w:rPr>
          <w:rFonts w:ascii="Roboto" w:hAnsi="Roboto" w:cs="Arial"/>
          <w:sz w:val="23"/>
          <w:szCs w:val="23"/>
        </w:rPr>
      </w:pPr>
    </w:p>
    <w:p w14:paraId="37B63631" w14:textId="77777777">
      <w:pPr>
        <w:widowControl w:val="0"/>
        <w:spacing w:line="276" w:lineRule="auto"/>
        <w:jc w:val="both"/>
        <w:rPr>
          <w:rFonts w:ascii="Roboto" w:hAnsi="Roboto" w:cs="Arial"/>
          <w:sz w:val="23"/>
          <w:szCs w:val="23"/>
        </w:rPr>
      </w:pPr>
      <w:r>
        <w:rPr>
          <w:rFonts w:ascii="Roboto" w:hAnsi="Roboto" w:cs="Arial"/>
          <w:sz w:val="23"/>
          <w:szCs w:val="23"/>
        </w:rPr>
        <w:t>É importante que se observe, nesse diapasão, a nítida distinção entre HRA e hora extra, já que esta última corresponde à hora trabalhada além do máximo constitucional permitido, que é de 8 (oito) horas diárias e 44 (quarenta e quatro) semanais, na forma do art. 7º da CF/88</w:t>
      </w:r>
      <w:r>
        <w:rPr>
          <w:rStyle w:val="Refdenotaderodap"/>
          <w:rFonts w:ascii="Roboto" w:hAnsi="Roboto" w:cs="Arial"/>
          <w:sz w:val="23"/>
          <w:szCs w:val="23"/>
        </w:rPr>
        <w:footnoteReference w:id="8"/>
      </w:r>
      <w:r>
        <w:rPr>
          <w:rFonts w:ascii="Roboto" w:hAnsi="Roboto" w:cs="Arial"/>
          <w:sz w:val="23"/>
          <w:szCs w:val="23"/>
        </w:rPr>
        <w:t xml:space="preserve"> e do art. 59 da CLT</w:t>
      </w:r>
      <w:r>
        <w:rPr>
          <w:rStyle w:val="Refdenotaderodap"/>
          <w:rFonts w:ascii="Roboto" w:hAnsi="Roboto" w:cs="Arial"/>
          <w:sz w:val="23"/>
          <w:szCs w:val="23"/>
        </w:rPr>
        <w:footnoteReference w:id="9"/>
      </w:r>
      <w:r>
        <w:rPr>
          <w:rFonts w:ascii="Roboto" w:hAnsi="Roboto" w:cs="Arial"/>
          <w:sz w:val="23"/>
          <w:szCs w:val="23"/>
        </w:rPr>
        <w:t>.</w:t>
      </w:r>
    </w:p>
    <w:p w14:paraId="6449D69B" w14:textId="77777777">
      <w:pPr>
        <w:widowControl w:val="0"/>
        <w:spacing w:line="276" w:lineRule="auto"/>
        <w:jc w:val="both"/>
        <w:rPr>
          <w:rFonts w:ascii="Roboto" w:hAnsi="Roboto" w:cs="Arial"/>
          <w:sz w:val="23"/>
          <w:szCs w:val="23"/>
        </w:rPr>
      </w:pPr>
    </w:p>
    <w:p w14:paraId="7FBAEC38" w14:textId="77777777">
      <w:pPr>
        <w:widowControl w:val="0"/>
        <w:spacing w:line="276" w:lineRule="auto"/>
        <w:jc w:val="both"/>
        <w:rPr>
          <w:rFonts w:ascii="Roboto" w:hAnsi="Roboto" w:cs="Arial"/>
          <w:sz w:val="23"/>
          <w:szCs w:val="23"/>
        </w:rPr>
      </w:pPr>
      <w:r>
        <w:rPr>
          <w:rFonts w:ascii="Roboto" w:hAnsi="Roboto" w:cs="Arial"/>
          <w:sz w:val="23"/>
          <w:szCs w:val="23"/>
        </w:rPr>
        <w:t>Nesse sentido, todo acréscimo na jornada além do máximo constitucional é hora trabalhada de forma extraordinária;</w:t>
      </w:r>
      <w:r>
        <w:rPr>
          <w:rFonts w:ascii="Roboto" w:hAnsi="Roboto" w:cs="Arial"/>
          <w:b/>
          <w:sz w:val="23"/>
          <w:szCs w:val="23"/>
        </w:rPr>
        <w:t xml:space="preserve"> </w:t>
      </w:r>
      <w:r>
        <w:rPr>
          <w:rFonts w:ascii="Roboto" w:hAnsi="Roboto" w:cs="Arial"/>
          <w:sz w:val="23"/>
          <w:szCs w:val="23"/>
        </w:rPr>
        <w:t xml:space="preserve">assim, a respectiva remuneração é verba de natureza salarial, </w:t>
      </w:r>
      <w:r>
        <w:rPr>
          <w:rFonts w:ascii="Roboto" w:hAnsi="Roboto" w:cs="Arial"/>
          <w:sz w:val="23"/>
          <w:szCs w:val="23"/>
          <w:u w:val="single"/>
        </w:rPr>
        <w:t>uma vez que visa retribuir a hora trabalhada a mais pelo empregado.</w:t>
      </w:r>
    </w:p>
    <w:p w14:paraId="41052079" w14:textId="77777777">
      <w:pPr>
        <w:widowControl w:val="0"/>
        <w:spacing w:line="276" w:lineRule="auto"/>
        <w:jc w:val="both"/>
        <w:rPr>
          <w:rFonts w:ascii="Roboto" w:hAnsi="Roboto" w:cs="Arial"/>
          <w:sz w:val="23"/>
          <w:szCs w:val="23"/>
        </w:rPr>
      </w:pPr>
    </w:p>
    <w:p w14:paraId="7CBB8CCF" w14:textId="77777777">
      <w:pPr>
        <w:widowControl w:val="0"/>
        <w:spacing w:line="276" w:lineRule="auto"/>
        <w:jc w:val="both"/>
        <w:rPr>
          <w:rFonts w:ascii="Roboto" w:hAnsi="Roboto" w:cs="Arial"/>
          <w:sz w:val="23"/>
          <w:szCs w:val="23"/>
        </w:rPr>
      </w:pPr>
      <w:r>
        <w:rPr>
          <w:rFonts w:ascii="Roboto" w:hAnsi="Roboto" w:cs="Arial"/>
          <w:sz w:val="23"/>
          <w:szCs w:val="23"/>
        </w:rPr>
        <w:t>No caso da HRA, pelo contrário, tem-se a atuação do empregado em turno ininterrupto de revezamento, obedecida a jornada diária de 8 (oito) horas, devidamente remuneradas, havendo apenas uma supressão do intervalo para repouso e alimentação.</w:t>
      </w:r>
    </w:p>
    <w:p w14:paraId="4215CCA6" w14:textId="77777777">
      <w:pPr>
        <w:widowControl w:val="0"/>
        <w:spacing w:line="276" w:lineRule="auto"/>
        <w:jc w:val="both"/>
        <w:rPr>
          <w:rFonts w:ascii="Roboto" w:hAnsi="Roboto" w:cs="Arial"/>
          <w:sz w:val="23"/>
          <w:szCs w:val="23"/>
        </w:rPr>
      </w:pPr>
    </w:p>
    <w:p w14:paraId="5958C210" w14:textId="77777777">
      <w:pPr>
        <w:widowControl w:val="0"/>
        <w:spacing w:line="276" w:lineRule="auto"/>
        <w:jc w:val="both"/>
        <w:rPr>
          <w:rFonts w:ascii="Roboto" w:hAnsi="Roboto" w:cs="Arial"/>
          <w:sz w:val="23"/>
          <w:szCs w:val="23"/>
        </w:rPr>
      </w:pPr>
      <w:r>
        <w:rPr>
          <w:rFonts w:ascii="Roboto" w:hAnsi="Roboto" w:cs="Arial"/>
          <w:sz w:val="23"/>
          <w:szCs w:val="23"/>
        </w:rPr>
        <w:t xml:space="preserve">Tanto assim que nos contracheques já mencionados há indiscutível segregação entre a HRA indenizada e as horas extras trabalhadas (vide </w:t>
      </w:r>
      <w:r>
        <w:rPr>
          <w:rFonts w:ascii="Roboto" w:hAnsi="Roboto" w:cs="Arial"/>
          <w:b/>
          <w:sz w:val="23"/>
          <w:szCs w:val="23"/>
        </w:rPr>
        <w:t>DOC. 04</w:t>
      </w:r>
      <w:r>
        <w:rPr>
          <w:rFonts w:ascii="Roboto" w:hAnsi="Roboto" w:cs="Arial"/>
          <w:sz w:val="23"/>
          <w:szCs w:val="23"/>
        </w:rPr>
        <w:t>).</w:t>
      </w:r>
    </w:p>
    <w:p w14:paraId="3D19BDC6" w14:textId="77777777">
      <w:pPr>
        <w:widowControl w:val="0"/>
        <w:spacing w:line="276" w:lineRule="auto"/>
        <w:jc w:val="both"/>
        <w:rPr>
          <w:rFonts w:ascii="Roboto" w:hAnsi="Roboto" w:cs="Arial"/>
          <w:sz w:val="23"/>
          <w:szCs w:val="23"/>
        </w:rPr>
      </w:pPr>
    </w:p>
    <w:p w14:paraId="1F92263B" w14:textId="77777777">
      <w:pPr>
        <w:widowControl w:val="0"/>
        <w:spacing w:line="276" w:lineRule="auto"/>
        <w:jc w:val="both"/>
        <w:rPr>
          <w:rFonts w:ascii="Roboto" w:hAnsi="Roboto" w:cs="Arial"/>
          <w:sz w:val="23"/>
          <w:szCs w:val="23"/>
        </w:rPr>
      </w:pPr>
      <w:r>
        <w:rPr>
          <w:rFonts w:ascii="Roboto" w:hAnsi="Roboto" w:cs="Arial"/>
          <w:sz w:val="23"/>
          <w:szCs w:val="23"/>
        </w:rPr>
        <w:t xml:space="preserve">Destarte, a HRA constitui-se apenas verba indenizatória, uma vez que </w:t>
      </w:r>
      <w:r>
        <w:rPr>
          <w:rFonts w:ascii="Roboto" w:hAnsi="Roboto" w:cs="Arial"/>
          <w:sz w:val="23"/>
          <w:szCs w:val="23"/>
        </w:rPr>
        <w:lastRenderedPageBreak/>
        <w:t xml:space="preserve">consiste na recomposição pela perda do bem jurídico </w:t>
      </w:r>
      <w:r>
        <w:rPr>
          <w:rFonts w:ascii="Roboto" w:hAnsi="Roboto" w:cs="Arial"/>
          <w:i/>
          <w:sz w:val="23"/>
          <w:szCs w:val="23"/>
        </w:rPr>
        <w:t>repouso</w:t>
      </w:r>
      <w:r>
        <w:rPr>
          <w:rFonts w:ascii="Roboto" w:hAnsi="Roboto" w:cs="Arial"/>
          <w:sz w:val="23"/>
          <w:szCs w:val="23"/>
        </w:rPr>
        <w:t>.</w:t>
      </w:r>
    </w:p>
    <w:p w14:paraId="44D15BFB" w14:textId="77777777">
      <w:pPr>
        <w:widowControl w:val="0"/>
        <w:spacing w:line="276" w:lineRule="auto"/>
        <w:jc w:val="both"/>
        <w:rPr>
          <w:rFonts w:ascii="Roboto" w:hAnsi="Roboto" w:cs="Arial"/>
          <w:sz w:val="23"/>
          <w:szCs w:val="23"/>
        </w:rPr>
      </w:pPr>
    </w:p>
    <w:p w14:paraId="2EC28F04" w14:textId="77777777">
      <w:pPr>
        <w:spacing w:line="276" w:lineRule="auto"/>
        <w:jc w:val="both"/>
        <w:rPr>
          <w:rFonts w:ascii="Roboto" w:hAnsi="Roboto" w:cs="Arial"/>
          <w:sz w:val="23"/>
          <w:szCs w:val="23"/>
        </w:rPr>
      </w:pPr>
      <w:r>
        <w:rPr>
          <w:rFonts w:ascii="Roboto" w:hAnsi="Roboto" w:cs="Arial"/>
          <w:sz w:val="23"/>
          <w:szCs w:val="23"/>
        </w:rPr>
        <w:t xml:space="preserve">Ora, e se o pagamento em questão não é acréscimo patrimonial, mas compensação pela lesão a bem jurídico, não pode se encaixar no conceito de fato gerador do Imposto de Renda; e, não sendo fato gerador, não surge a obrigação tributária, numa interpretação a </w:t>
      </w:r>
      <w:bookmarkStart w:id="2" w:name="_Int_vbaASJvE"/>
      <w:r>
        <w:rPr>
          <w:rFonts w:ascii="Roboto" w:hAnsi="Roboto" w:cs="Arial"/>
          <w:i/>
          <w:iCs/>
          <w:sz w:val="23"/>
          <w:szCs w:val="23"/>
        </w:rPr>
        <w:t>contrario</w:t>
      </w:r>
      <w:bookmarkEnd w:id="2"/>
      <w:r>
        <w:rPr>
          <w:rFonts w:ascii="Roboto" w:hAnsi="Roboto" w:cs="Arial"/>
          <w:i/>
          <w:iCs/>
          <w:sz w:val="23"/>
          <w:szCs w:val="23"/>
        </w:rPr>
        <w:t xml:space="preserve"> sensu</w:t>
      </w:r>
      <w:r>
        <w:rPr>
          <w:rFonts w:ascii="Roboto" w:hAnsi="Roboto" w:cs="Arial"/>
          <w:sz w:val="23"/>
          <w:szCs w:val="23"/>
        </w:rPr>
        <w:t xml:space="preserve"> do art. 113, §1º do CTN</w:t>
      </w:r>
      <w:r>
        <w:rPr>
          <w:rStyle w:val="Refdenotaderodap"/>
          <w:rFonts w:ascii="Roboto" w:hAnsi="Roboto" w:cs="Arial"/>
          <w:sz w:val="23"/>
          <w:szCs w:val="23"/>
        </w:rPr>
        <w:footnoteReference w:id="10"/>
      </w:r>
      <w:r>
        <w:rPr>
          <w:rFonts w:ascii="Roboto" w:hAnsi="Roboto" w:cs="Arial"/>
          <w:sz w:val="23"/>
          <w:szCs w:val="23"/>
        </w:rPr>
        <w:t>.</w:t>
      </w:r>
    </w:p>
    <w:p w14:paraId="78F55654" w14:textId="77777777">
      <w:pPr>
        <w:widowControl w:val="0"/>
        <w:spacing w:line="276" w:lineRule="auto"/>
        <w:jc w:val="both"/>
        <w:rPr>
          <w:rFonts w:ascii="Roboto" w:hAnsi="Roboto" w:cs="Arial"/>
          <w:sz w:val="23"/>
          <w:szCs w:val="23"/>
        </w:rPr>
      </w:pPr>
    </w:p>
    <w:p w14:paraId="76FDD876" w14:textId="77777777">
      <w:pPr>
        <w:spacing w:line="276" w:lineRule="auto"/>
        <w:jc w:val="both"/>
        <w:rPr>
          <w:rFonts w:ascii="Roboto" w:hAnsi="Roboto" w:cs="Arial"/>
          <w:sz w:val="23"/>
          <w:szCs w:val="23"/>
        </w:rPr>
      </w:pPr>
      <w:r>
        <w:rPr>
          <w:rFonts w:ascii="Roboto" w:hAnsi="Roboto" w:cs="Arial"/>
          <w:sz w:val="23"/>
          <w:szCs w:val="23"/>
        </w:rPr>
        <w:t xml:space="preserve">Frise-se, ademais, que, para espancar qualquer dúvida que pudesse remanescer, a nova legislação trabalhista tratou de abordar a matéria de forma mais precisa, </w:t>
      </w:r>
      <w:r>
        <w:rPr>
          <w:rFonts w:ascii="Roboto" w:hAnsi="Roboto" w:cs="Arial"/>
          <w:b/>
          <w:sz w:val="23"/>
          <w:szCs w:val="23"/>
        </w:rPr>
        <w:t>esclarecendo de uma vez por todas a natureza COMPENSATÓRIA da HRA</w:t>
      </w:r>
      <w:r>
        <w:rPr>
          <w:rFonts w:ascii="Roboto" w:hAnsi="Roboto" w:cs="Arial"/>
          <w:sz w:val="23"/>
          <w:szCs w:val="23"/>
        </w:rPr>
        <w:t>. Nesse sentido, é ler o novo art. 59-A da CLT, incluído pela Lei 13467/2017:</w:t>
      </w:r>
    </w:p>
    <w:p w14:paraId="47F77204" w14:textId="77777777">
      <w:pPr>
        <w:spacing w:line="276" w:lineRule="auto"/>
        <w:ind w:left="2268" w:firstLine="0"/>
        <w:jc w:val="both"/>
        <w:rPr>
          <w:rFonts w:ascii="Roboto" w:hAnsi="Roboto" w:cs="Arial"/>
          <w:sz w:val="23"/>
          <w:szCs w:val="23"/>
        </w:rPr>
      </w:pPr>
    </w:p>
    <w:p w14:paraId="0037F7D3" w14:textId="706403EC">
      <w:pPr>
        <w:spacing w:line="276" w:lineRule="auto"/>
        <w:ind w:left="2268" w:firstLine="0"/>
        <w:jc w:val="both"/>
        <w:rPr>
          <w:rFonts w:ascii="Roboto" w:hAnsi="Roboto" w:cs="Arial"/>
          <w:b/>
          <w:sz w:val="21"/>
          <w:szCs w:val="21"/>
        </w:rPr>
      </w:pPr>
      <w:r>
        <w:rPr>
          <w:rFonts w:ascii="Roboto" w:hAnsi="Roboto" w:cs="Arial"/>
          <w:sz w:val="21"/>
          <w:szCs w:val="21"/>
        </w:rPr>
        <w:t xml:space="preserve">Art. 59-A.  Em exceção ao disposto no art. 59 desta Consolidação, é facultado às partes, mediante acordo individual escrito, convenção coletiva ou acordo coletivo de trabalho, </w:t>
      </w:r>
      <w:r>
        <w:rPr>
          <w:rFonts w:ascii="Roboto" w:hAnsi="Roboto" w:cs="Arial"/>
          <w:b/>
          <w:sz w:val="21"/>
          <w:szCs w:val="21"/>
        </w:rPr>
        <w:t xml:space="preserve">estabelecer horário de trabalho de doze horas seguidas </w:t>
      </w:r>
      <w:r>
        <w:rPr>
          <w:rFonts w:ascii="Roboto" w:hAnsi="Roboto" w:cs="Arial"/>
          <w:sz w:val="21"/>
          <w:szCs w:val="21"/>
        </w:rPr>
        <w:t>por trinta e seis horas ininterruptas de descanso,</w:t>
      </w:r>
      <w:r>
        <w:rPr>
          <w:rFonts w:ascii="Roboto" w:hAnsi="Roboto" w:cs="Arial"/>
          <w:b/>
          <w:sz w:val="21"/>
          <w:szCs w:val="21"/>
        </w:rPr>
        <w:t xml:space="preserve"> observados ou </w:t>
      </w:r>
      <w:r>
        <w:rPr>
          <w:rFonts w:ascii="Roboto" w:hAnsi="Roboto" w:cs="Arial"/>
          <w:b/>
          <w:sz w:val="21"/>
          <w:szCs w:val="21"/>
          <w:u w:val="single"/>
        </w:rPr>
        <w:t>indenizados os intervalos para repouso e alimentação.</w:t>
      </w:r>
      <w:r>
        <w:rPr>
          <w:rFonts w:ascii="Roboto" w:hAnsi="Roboto" w:cs="Arial"/>
          <w:b/>
          <w:sz w:val="21"/>
          <w:szCs w:val="21"/>
        </w:rPr>
        <w:t xml:space="preserve">  </w:t>
      </w:r>
    </w:p>
    <w:p w14:paraId="2ACA6B94" w14:textId="77777777">
      <w:pPr>
        <w:spacing w:line="276" w:lineRule="auto"/>
        <w:ind w:left="2268"/>
        <w:jc w:val="both"/>
        <w:rPr>
          <w:rFonts w:ascii="Roboto" w:hAnsi="Roboto" w:cs="Arial"/>
          <w:b/>
          <w:sz w:val="21"/>
          <w:szCs w:val="21"/>
        </w:rPr>
      </w:pPr>
    </w:p>
    <w:p w14:paraId="5621CB76" w14:textId="7ADDD1E6">
      <w:pPr>
        <w:spacing w:line="276" w:lineRule="auto"/>
        <w:ind w:left="2268" w:firstLine="0"/>
        <w:jc w:val="both"/>
        <w:rPr>
          <w:rFonts w:ascii="Roboto" w:hAnsi="Roboto" w:cs="Arial"/>
          <w:sz w:val="21"/>
          <w:szCs w:val="21"/>
        </w:rPr>
      </w:pPr>
      <w:r>
        <w:rPr>
          <w:rFonts w:ascii="Roboto" w:hAnsi="Roboto" w:cs="Arial"/>
          <w:sz w:val="21"/>
          <w:szCs w:val="21"/>
        </w:rPr>
        <w:t>(</w:t>
      </w:r>
      <w:r>
        <w:rPr>
          <w:rFonts w:ascii="Roboto" w:hAnsi="Roboto" w:cs="Arial"/>
          <w:b/>
          <w:sz w:val="21"/>
          <w:szCs w:val="21"/>
        </w:rPr>
        <w:t>negritos</w:t>
      </w:r>
      <w:r>
        <w:rPr>
          <w:rFonts w:ascii="Roboto" w:hAnsi="Roboto" w:cs="Arial"/>
          <w:sz w:val="21"/>
          <w:szCs w:val="21"/>
        </w:rPr>
        <w:t xml:space="preserve"> e </w:t>
      </w:r>
      <w:r>
        <w:rPr>
          <w:rFonts w:ascii="Roboto" w:hAnsi="Roboto" w:cs="Arial"/>
          <w:sz w:val="21"/>
          <w:szCs w:val="21"/>
          <w:u w:val="single"/>
        </w:rPr>
        <w:t>sublinhados</w:t>
      </w:r>
      <w:r>
        <w:rPr>
          <w:rFonts w:ascii="Roboto" w:hAnsi="Roboto" w:cs="Arial"/>
          <w:sz w:val="21"/>
          <w:szCs w:val="21"/>
        </w:rPr>
        <w:t xml:space="preserve"> não originais)</w:t>
      </w:r>
    </w:p>
    <w:p w14:paraId="69874AB3" w14:textId="77777777">
      <w:pPr>
        <w:spacing w:line="276" w:lineRule="auto"/>
        <w:ind w:left="2268"/>
        <w:jc w:val="both"/>
        <w:rPr>
          <w:rFonts w:ascii="Roboto" w:hAnsi="Roboto" w:cs="Arial"/>
          <w:sz w:val="23"/>
          <w:szCs w:val="23"/>
        </w:rPr>
      </w:pPr>
    </w:p>
    <w:p w14:paraId="2FF2923F" w14:textId="328DCC88">
      <w:pPr>
        <w:spacing w:line="276" w:lineRule="auto"/>
        <w:jc w:val="both"/>
        <w:rPr>
          <w:rFonts w:ascii="Roboto" w:hAnsi="Roboto" w:cs="Arial"/>
          <w:sz w:val="23"/>
          <w:szCs w:val="23"/>
        </w:rPr>
      </w:pPr>
      <w:r>
        <w:rPr>
          <w:rFonts w:ascii="Roboto" w:hAnsi="Roboto" w:cs="Arial"/>
          <w:sz w:val="23"/>
          <w:szCs w:val="23"/>
        </w:rPr>
        <w:t>Ainda mais importante, alterou-se a redação do próprio §4º do art. 70 para, novamente, tornar indiscutível o caráter de indenização da HRA. Veja-se:</w:t>
      </w:r>
    </w:p>
    <w:p w14:paraId="24312BD5" w14:textId="77777777">
      <w:pPr>
        <w:spacing w:line="276" w:lineRule="auto"/>
        <w:ind w:left="2268" w:firstLine="0"/>
        <w:jc w:val="both"/>
        <w:rPr>
          <w:rFonts w:ascii="Roboto" w:hAnsi="Roboto" w:cs="Arial"/>
          <w:sz w:val="23"/>
          <w:szCs w:val="23"/>
        </w:rPr>
      </w:pPr>
    </w:p>
    <w:p w14:paraId="07E1533B" w14:textId="636A3165">
      <w:pPr>
        <w:spacing w:line="276" w:lineRule="auto"/>
        <w:ind w:left="2268" w:firstLine="0"/>
        <w:jc w:val="both"/>
        <w:rPr>
          <w:rFonts w:ascii="Roboto" w:hAnsi="Roboto" w:cs="Arial"/>
          <w:sz w:val="21"/>
          <w:szCs w:val="21"/>
        </w:rPr>
      </w:pPr>
      <w:r>
        <w:rPr>
          <w:rFonts w:ascii="Roboto" w:hAnsi="Roboto" w:cs="Arial"/>
          <w:sz w:val="21"/>
          <w:szCs w:val="21"/>
        </w:rPr>
        <w:t>§ 4</w:t>
      </w:r>
      <w:r>
        <w:rPr>
          <w:rFonts w:ascii="Roboto" w:hAnsi="Roboto" w:cs="Arial"/>
          <w:sz w:val="21"/>
          <w:szCs w:val="21"/>
          <w:u w:val="single"/>
          <w:vertAlign w:val="superscript"/>
        </w:rPr>
        <w:t>o</w:t>
      </w:r>
      <w:r>
        <w:rPr>
          <w:rFonts w:ascii="Roboto" w:hAnsi="Roboto" w:cs="Arial"/>
          <w:sz w:val="21"/>
          <w:szCs w:val="21"/>
        </w:rPr>
        <w:t> </w:t>
      </w:r>
      <w:r>
        <w:rPr>
          <w:rFonts w:ascii="Roboto" w:hAnsi="Roboto" w:cs="Arial"/>
          <w:b/>
          <w:sz w:val="21"/>
          <w:szCs w:val="21"/>
        </w:rPr>
        <w:t>A não concessão ou a concessão parcial do intervalo intrajornada mínimo, para repouso e alimentação</w:t>
      </w:r>
      <w:r>
        <w:rPr>
          <w:rFonts w:ascii="Roboto" w:hAnsi="Roboto" w:cs="Arial"/>
          <w:sz w:val="21"/>
          <w:szCs w:val="21"/>
        </w:rPr>
        <w:t xml:space="preserve">, a empregados urbanos e rurais, implica o pagamento, de </w:t>
      </w:r>
      <w:r>
        <w:rPr>
          <w:rFonts w:ascii="Roboto" w:hAnsi="Roboto" w:cs="Arial"/>
          <w:b/>
          <w:sz w:val="21"/>
          <w:szCs w:val="21"/>
          <w:u w:val="single"/>
        </w:rPr>
        <w:t>natureza indenizatória</w:t>
      </w:r>
      <w:r>
        <w:rPr>
          <w:rFonts w:ascii="Roboto" w:hAnsi="Roboto" w:cs="Arial"/>
          <w:sz w:val="21"/>
          <w:szCs w:val="21"/>
        </w:rPr>
        <w:t>, apenas do período suprimido, com acréscimo de 50% (cinquenta por cento) sobre o valor da remuneração da hora normal de trabalho.</w:t>
      </w:r>
    </w:p>
    <w:p w14:paraId="695E47A1" w14:textId="77777777">
      <w:pPr>
        <w:spacing w:line="276" w:lineRule="auto"/>
        <w:ind w:left="2268" w:firstLine="0"/>
        <w:jc w:val="both"/>
        <w:rPr>
          <w:rFonts w:ascii="Roboto" w:hAnsi="Roboto" w:cs="Arial"/>
          <w:b/>
          <w:sz w:val="21"/>
          <w:szCs w:val="21"/>
        </w:rPr>
      </w:pPr>
    </w:p>
    <w:p w14:paraId="1C931F1A" w14:textId="0D6B5310">
      <w:pPr>
        <w:spacing w:line="276" w:lineRule="auto"/>
        <w:ind w:left="2268" w:firstLine="0"/>
        <w:jc w:val="both"/>
        <w:rPr>
          <w:rFonts w:ascii="Roboto" w:hAnsi="Roboto" w:cs="Arial"/>
          <w:sz w:val="21"/>
          <w:szCs w:val="21"/>
        </w:rPr>
      </w:pPr>
      <w:r>
        <w:rPr>
          <w:rFonts w:ascii="Roboto" w:hAnsi="Roboto" w:cs="Arial"/>
          <w:sz w:val="21"/>
          <w:szCs w:val="21"/>
        </w:rPr>
        <w:t>(</w:t>
      </w:r>
      <w:r>
        <w:rPr>
          <w:rFonts w:ascii="Roboto" w:hAnsi="Roboto" w:cs="Arial"/>
          <w:b/>
          <w:sz w:val="21"/>
          <w:szCs w:val="21"/>
        </w:rPr>
        <w:t>negritos</w:t>
      </w:r>
      <w:r>
        <w:rPr>
          <w:rFonts w:ascii="Roboto" w:hAnsi="Roboto" w:cs="Arial"/>
          <w:sz w:val="21"/>
          <w:szCs w:val="21"/>
        </w:rPr>
        <w:t xml:space="preserve"> e </w:t>
      </w:r>
      <w:r>
        <w:rPr>
          <w:rFonts w:ascii="Roboto" w:hAnsi="Roboto" w:cs="Arial"/>
          <w:sz w:val="21"/>
          <w:szCs w:val="21"/>
          <w:u w:val="single"/>
        </w:rPr>
        <w:t>sublinhados</w:t>
      </w:r>
      <w:r>
        <w:rPr>
          <w:rFonts w:ascii="Roboto" w:hAnsi="Roboto" w:cs="Arial"/>
          <w:sz w:val="21"/>
          <w:szCs w:val="21"/>
        </w:rPr>
        <w:t xml:space="preserve"> não originais)</w:t>
      </w:r>
    </w:p>
    <w:p w14:paraId="531CEF2D" w14:textId="77777777">
      <w:pPr>
        <w:spacing w:line="276" w:lineRule="auto"/>
        <w:ind w:left="2268"/>
        <w:jc w:val="both"/>
        <w:rPr>
          <w:rFonts w:ascii="Roboto" w:hAnsi="Roboto" w:cs="Arial"/>
          <w:sz w:val="23"/>
          <w:szCs w:val="23"/>
        </w:rPr>
      </w:pPr>
    </w:p>
    <w:p w14:paraId="4B9EC312" w14:textId="77777777">
      <w:pPr>
        <w:spacing w:line="276" w:lineRule="auto"/>
        <w:jc w:val="both"/>
        <w:rPr>
          <w:rFonts w:ascii="Roboto" w:hAnsi="Roboto" w:cs="Arial"/>
          <w:sz w:val="23"/>
          <w:szCs w:val="23"/>
        </w:rPr>
      </w:pPr>
      <w:r>
        <w:rPr>
          <w:rFonts w:ascii="Roboto" w:hAnsi="Roboto" w:cs="Arial"/>
          <w:sz w:val="23"/>
          <w:szCs w:val="23"/>
        </w:rPr>
        <w:t>Portanto, a nova legislação aclara de forma definitiva que a HRA tem natureza INDENIZATÓRIA, ou seja, apenas COMPENSA o prejuízo que o Autor sofre por não gozar do intervalo para o seu repouso.</w:t>
      </w:r>
    </w:p>
    <w:p w14:paraId="24AE6B53" w14:textId="77777777">
      <w:pPr>
        <w:widowControl w:val="0"/>
        <w:spacing w:line="276" w:lineRule="auto"/>
        <w:jc w:val="both"/>
        <w:rPr>
          <w:rFonts w:ascii="Roboto" w:hAnsi="Roboto" w:cs="Arial"/>
          <w:sz w:val="23"/>
          <w:szCs w:val="23"/>
        </w:rPr>
      </w:pPr>
    </w:p>
    <w:p w14:paraId="52580433" w14:textId="77777777">
      <w:pPr>
        <w:tabs>
          <w:tab w:val="left" w:pos="5460"/>
        </w:tabs>
        <w:spacing w:line="276" w:lineRule="auto"/>
        <w:jc w:val="both"/>
        <w:rPr>
          <w:rFonts w:ascii="Roboto" w:hAnsi="Roboto" w:cs="Arial"/>
          <w:sz w:val="23"/>
          <w:szCs w:val="23"/>
        </w:rPr>
      </w:pPr>
      <w:r>
        <w:rPr>
          <w:rFonts w:ascii="Roboto" w:hAnsi="Roboto" w:cs="Arial"/>
          <w:sz w:val="23"/>
          <w:szCs w:val="23"/>
        </w:rPr>
        <w:t xml:space="preserve">Ora, e se o recebimento de HRA visa compensar prejuízo causado ao empregado, não representa remuneração pelo serviço prestado nem acréscimo patrimonial, nada agregando ao patrimônio do Autor em termos de riqueza nova, consequentemente, não pode ser considerado fato gerador do IR. </w:t>
      </w:r>
    </w:p>
    <w:p w14:paraId="15A60972" w14:textId="77777777">
      <w:pPr>
        <w:tabs>
          <w:tab w:val="left" w:pos="5460"/>
        </w:tabs>
        <w:spacing w:line="276" w:lineRule="auto"/>
        <w:jc w:val="both"/>
        <w:rPr>
          <w:rFonts w:ascii="Roboto" w:hAnsi="Roboto" w:cs="Arial"/>
          <w:sz w:val="23"/>
          <w:szCs w:val="23"/>
        </w:rPr>
      </w:pPr>
    </w:p>
    <w:p w14:paraId="7AE6DD35" w14:textId="16A793F0">
      <w:pPr>
        <w:spacing w:line="276" w:lineRule="auto"/>
        <w:jc w:val="both"/>
        <w:rPr>
          <w:rFonts w:ascii="Roboto" w:hAnsi="Roboto" w:cs="Arial"/>
          <w:sz w:val="23"/>
          <w:szCs w:val="23"/>
        </w:rPr>
      </w:pPr>
      <w:r>
        <w:rPr>
          <w:rFonts w:ascii="Roboto" w:hAnsi="Roboto" w:cs="Arial"/>
          <w:sz w:val="23"/>
          <w:szCs w:val="23"/>
        </w:rPr>
        <w:t xml:space="preserve">Seguindo a linha de raciocínio ora esposada, a </w:t>
      </w:r>
      <w:r>
        <w:rPr>
          <w:rFonts w:ascii="Roboto" w:hAnsi="Roboto" w:cs="Arial"/>
          <w:sz w:val="23"/>
          <w:szCs w:val="23"/>
        </w:rPr>
        <w:t>Turma Nacional de Uniformização</w:t>
      </w:r>
      <w:r>
        <w:rPr>
          <w:rFonts w:ascii="Roboto" w:hAnsi="Roboto" w:cs="Arial"/>
          <w:sz w:val="23"/>
          <w:szCs w:val="23"/>
        </w:rPr>
        <w:t xml:space="preserve"> já reconheceu a ilegalidade da incidência de Imposto de Renda sobre HRA e a natureza indenizatória desta verba por meio do julgamento do </w:t>
      </w:r>
      <w:r>
        <w:rPr>
          <w:rFonts w:ascii="Roboto" w:hAnsi="Roboto" w:cs="Arial"/>
          <w:sz w:val="23"/>
          <w:szCs w:val="23"/>
        </w:rPr>
        <w:t>Tema 306, representativo de controvérsia</w:t>
      </w:r>
      <w:r>
        <w:rPr>
          <w:rFonts w:ascii="Roboto" w:hAnsi="Roboto" w:cs="Arial"/>
          <w:sz w:val="23"/>
          <w:szCs w:val="23"/>
        </w:rPr>
        <w:t xml:space="preserve"> (</w:t>
      </w:r>
      <w:r>
        <w:rPr>
          <w:rFonts w:ascii="Roboto" w:hAnsi="Roboto" w:cs="Arial"/>
          <w:b/>
          <w:bCs/>
          <w:sz w:val="23"/>
          <w:szCs w:val="23"/>
        </w:rPr>
        <w:t>DOC. 0</w:t>
      </w:r>
      <w:r>
        <w:rPr>
          <w:rFonts w:ascii="Roboto" w:hAnsi="Roboto" w:cs="Arial"/>
          <w:b/>
          <w:bCs/>
          <w:sz w:val="23"/>
          <w:szCs w:val="23"/>
        </w:rPr>
        <w:t>2</w:t>
      </w:r>
      <w:r>
        <w:rPr>
          <w:rFonts w:ascii="Roboto" w:hAnsi="Roboto" w:cs="Arial"/>
          <w:sz w:val="23"/>
          <w:szCs w:val="23"/>
        </w:rPr>
        <w:t xml:space="preserve">), conforme já salientado anteriormente. </w:t>
      </w:r>
    </w:p>
    <w:p w14:paraId="05C14300" w14:textId="77777777">
      <w:pPr>
        <w:pStyle w:val="PargrafodaLista"/>
        <w:spacing w:line="276" w:lineRule="auto"/>
        <w:ind w:left="2268"/>
        <w:jc w:val="both"/>
        <w:rPr>
          <w:rFonts w:ascii="Roboto" w:hAnsi="Roboto" w:cs="Arial"/>
          <w:sz w:val="23"/>
          <w:szCs w:val="23"/>
        </w:rPr>
      </w:pPr>
    </w:p>
    <w:p w14:paraId="045CDB26" w14:textId="63491701">
      <w:pPr>
        <w:pStyle w:val="PargrafodaLista"/>
        <w:spacing w:line="276" w:lineRule="auto"/>
        <w:ind w:left="0" w:right="-1" w:firstLine="1418"/>
        <w:jc w:val="both"/>
        <w:rPr>
          <w:rFonts w:ascii="Roboto" w:hAnsi="Roboto" w:cs="Arial"/>
          <w:sz w:val="23"/>
          <w:szCs w:val="23"/>
        </w:rPr>
      </w:pPr>
      <w:r>
        <w:rPr>
          <w:rFonts w:ascii="Roboto" w:hAnsi="Roboto" w:cs="Arial"/>
          <w:sz w:val="23"/>
          <w:szCs w:val="23"/>
        </w:rPr>
        <w:t>Nesse sentido também entendeu a 15ª Turma Recursal da Seção Judiciária de São Paulo por meio do julgamento do processo nº 0001278-95.2020.4.03.6311</w:t>
      </w:r>
      <w:r>
        <w:rPr>
          <w:rFonts w:ascii="Roboto" w:hAnsi="Roboto" w:cs="Arial"/>
          <w:sz w:val="23"/>
          <w:szCs w:val="23"/>
        </w:rPr>
        <w:t>:</w:t>
      </w:r>
    </w:p>
    <w:p w14:paraId="794FE8E3" w14:textId="77777777">
      <w:pPr>
        <w:pStyle w:val="PargrafodaLista"/>
        <w:spacing w:line="276" w:lineRule="auto"/>
        <w:ind w:left="0" w:right="-1" w:firstLine="1418"/>
        <w:jc w:val="both"/>
        <w:rPr>
          <w:rFonts w:ascii="Roboto" w:hAnsi="Roboto" w:cs="Arial"/>
          <w:sz w:val="23"/>
          <w:szCs w:val="23"/>
        </w:rPr>
      </w:pPr>
    </w:p>
    <w:p w14:paraId="09A6537D" w14:textId="77777777">
      <w:pPr>
        <w:pStyle w:val="PargrafodaLista"/>
        <w:spacing w:line="276" w:lineRule="auto"/>
        <w:ind w:left="2268" w:right="-1"/>
        <w:jc w:val="both"/>
        <w:rPr>
          <w:rFonts w:ascii="Roboto" w:hAnsi="Roboto" w:cs="Arial"/>
          <w:sz w:val="21"/>
          <w:szCs w:val="21"/>
        </w:rPr>
      </w:pPr>
      <w:r>
        <w:rPr>
          <w:rFonts w:ascii="Roboto" w:hAnsi="Roboto" w:cs="Arial"/>
          <w:sz w:val="21"/>
          <w:szCs w:val="21"/>
        </w:rPr>
        <w:t>O Superior Tribunal de Justiça, em embargos de divergência, reconheceu o caráter remuneratório da Hora Repouso Alimentação – HRA apenas até a entrada em vigor da Lei 13.467/2017 (EREsp 1619117/BA, Rel. Ministro Herman Benjamin, Primeira Seção, julgado em 27/11/2019, DJe 08/05/2020).</w:t>
      </w:r>
    </w:p>
    <w:p w14:paraId="4CDDA22C" w14:textId="77777777">
      <w:pPr>
        <w:pStyle w:val="PargrafodaLista"/>
        <w:spacing w:line="276" w:lineRule="auto"/>
        <w:ind w:left="2268" w:right="-1"/>
        <w:jc w:val="both"/>
        <w:rPr>
          <w:rFonts w:ascii="Roboto" w:hAnsi="Roboto" w:cs="Arial"/>
          <w:sz w:val="21"/>
          <w:szCs w:val="21"/>
        </w:rPr>
      </w:pPr>
      <w:r>
        <w:rPr>
          <w:rFonts w:ascii="Roboto" w:hAnsi="Roboto" w:cs="Arial"/>
          <w:sz w:val="21"/>
          <w:szCs w:val="21"/>
        </w:rPr>
        <w:t>Isso porque, com a modificação da CLT pela Lei 13.467/17, a HRA passa a ter caráter indenizatório por expressa determinação legal.</w:t>
      </w:r>
    </w:p>
    <w:p w14:paraId="6DA361ED" w14:textId="77777777">
      <w:pPr>
        <w:pStyle w:val="PargrafodaLista"/>
        <w:spacing w:line="276" w:lineRule="auto"/>
        <w:ind w:left="2268" w:right="-1"/>
        <w:jc w:val="both"/>
        <w:rPr>
          <w:rFonts w:ascii="Roboto" w:hAnsi="Roboto" w:cs="Arial"/>
          <w:sz w:val="21"/>
          <w:szCs w:val="21"/>
        </w:rPr>
      </w:pPr>
      <w:r>
        <w:rPr>
          <w:rFonts w:ascii="Roboto" w:hAnsi="Roboto" w:cs="Arial"/>
          <w:sz w:val="21"/>
          <w:szCs w:val="21"/>
        </w:rPr>
        <w:t>Destarte, o autor faz jus à não incidência do IR sobre a verba em questão a partir da vigência da Lei 13.467/2017.</w:t>
      </w:r>
    </w:p>
    <w:p w14:paraId="2FF0A92D" w14:textId="77777777">
      <w:pPr>
        <w:pStyle w:val="PargrafodaLista"/>
        <w:spacing w:line="276" w:lineRule="auto"/>
        <w:ind w:left="2268" w:right="-1"/>
        <w:jc w:val="both"/>
        <w:rPr>
          <w:rFonts w:ascii="Roboto" w:hAnsi="Roboto" w:cs="Arial"/>
          <w:sz w:val="21"/>
          <w:szCs w:val="21"/>
        </w:rPr>
      </w:pPr>
      <w:r>
        <w:rPr>
          <w:rFonts w:ascii="Roboto" w:hAnsi="Roboto" w:cs="Arial"/>
          <w:sz w:val="21"/>
          <w:szCs w:val="21"/>
        </w:rPr>
        <w:t>3- Diante do exposto, atribuo efeitos infringentes aos embargos de declaração para modificar a parte dispositiva nos seguintes termos:</w:t>
      </w:r>
    </w:p>
    <w:p w14:paraId="3E96E25D" w14:textId="77777777">
      <w:pPr>
        <w:pStyle w:val="PargrafodaLista"/>
        <w:spacing w:line="276" w:lineRule="auto"/>
        <w:ind w:left="2268" w:right="-1"/>
        <w:jc w:val="both"/>
        <w:rPr>
          <w:rFonts w:ascii="Roboto" w:hAnsi="Roboto" w:cs="Arial"/>
          <w:sz w:val="21"/>
          <w:szCs w:val="21"/>
        </w:rPr>
      </w:pPr>
      <w:r>
        <w:rPr>
          <w:rFonts w:ascii="Roboto" w:hAnsi="Roboto" w:cs="Arial"/>
          <w:b/>
          <w:sz w:val="21"/>
          <w:szCs w:val="21"/>
        </w:rPr>
        <w:t>“Ante o exposto, dou parcial provimento ao recurso da parte autora para excluir a incidência do Imposto de Renda Pessoa Física sobre a Hora Remunerada Alimentação paga a partir da vigência da Lei 13.467/2017 e, via de consequência, condenar a União Federal a restituir os valores cobrados a maior a título de IRPF, devidamente atualizados pela taxa Selic.</w:t>
      </w:r>
      <w:r>
        <w:rPr>
          <w:rFonts w:ascii="Roboto" w:hAnsi="Roboto" w:cs="Arial"/>
          <w:sz w:val="21"/>
          <w:szCs w:val="21"/>
        </w:rPr>
        <w:t xml:space="preserve"> Sem condenação ao pagamento de honorários advocatícios tendo em vista que o art. 55 da Lei nº 9.099/95 prevê que só poderá haver condenação do recorrente vencido. Incide na hipótese o Enunciado nº. 97 do FONAJEF: “O provimento, ainda que parcial, de recurso inominado afasta a possibilidade de condenação do recorrente ao pagamento de honorários de sucumbência.” [...]</w:t>
      </w:r>
    </w:p>
    <w:p w14:paraId="3D76DA69" w14:textId="77777777">
      <w:pPr>
        <w:pStyle w:val="PargrafodaLista"/>
        <w:spacing w:line="276" w:lineRule="auto"/>
        <w:ind w:left="2268" w:right="-1"/>
        <w:jc w:val="both"/>
        <w:rPr>
          <w:rFonts w:ascii="Roboto" w:hAnsi="Roboto" w:cs="Arial"/>
          <w:b/>
          <w:bCs/>
          <w:sz w:val="21"/>
          <w:szCs w:val="21"/>
        </w:rPr>
      </w:pPr>
    </w:p>
    <w:p w14:paraId="13A5B2B5" w14:textId="77777777">
      <w:pPr>
        <w:pStyle w:val="PargrafodaLista"/>
        <w:spacing w:line="276" w:lineRule="auto"/>
        <w:ind w:left="2268" w:right="-1"/>
        <w:jc w:val="both"/>
        <w:rPr>
          <w:rFonts w:ascii="Roboto" w:hAnsi="Roboto" w:cs="Arial"/>
          <w:b/>
          <w:bCs/>
          <w:sz w:val="21"/>
          <w:szCs w:val="21"/>
        </w:rPr>
      </w:pPr>
      <w:r>
        <w:rPr>
          <w:rFonts w:ascii="Roboto" w:hAnsi="Roboto" w:cs="Arial"/>
          <w:b/>
          <w:bCs/>
          <w:sz w:val="21"/>
          <w:szCs w:val="21"/>
        </w:rPr>
        <w:t>(negritos não originais)</w:t>
      </w:r>
    </w:p>
    <w:p w14:paraId="56C584F2" w14:textId="77777777">
      <w:pPr>
        <w:pStyle w:val="PargrafodaLista"/>
        <w:spacing w:line="276" w:lineRule="auto"/>
        <w:ind w:left="2268" w:right="-1"/>
        <w:jc w:val="both"/>
        <w:rPr>
          <w:rFonts w:ascii="Roboto" w:hAnsi="Roboto" w:cs="Arial"/>
          <w:sz w:val="23"/>
          <w:szCs w:val="23"/>
        </w:rPr>
      </w:pPr>
    </w:p>
    <w:p w14:paraId="21340AA4" w14:textId="77777777">
      <w:pPr>
        <w:spacing w:line="276" w:lineRule="auto"/>
        <w:jc w:val="both"/>
        <w:rPr>
          <w:rFonts w:ascii="Roboto" w:hAnsi="Roboto" w:cs="Arial"/>
          <w:sz w:val="23"/>
          <w:szCs w:val="23"/>
        </w:rPr>
      </w:pPr>
    </w:p>
    <w:p w14:paraId="6488EFDF" w14:textId="592FD03E">
      <w:pPr>
        <w:spacing w:line="276" w:lineRule="auto"/>
        <w:jc w:val="both"/>
        <w:rPr>
          <w:rFonts w:ascii="Roboto" w:hAnsi="Roboto" w:cs="Arial"/>
          <w:sz w:val="23"/>
          <w:szCs w:val="23"/>
        </w:rPr>
      </w:pPr>
      <w:r>
        <w:rPr>
          <w:rFonts w:ascii="Roboto" w:hAnsi="Roboto" w:cs="Arial"/>
          <w:sz w:val="23"/>
          <w:szCs w:val="23"/>
        </w:rPr>
        <w:t>A 1ª Turma Recursal do Paraná também entende que a HRA passou a ter caráter indenizatório a partir da alteração do art. 71, §4º da CLT</w:t>
      </w:r>
      <w:r>
        <w:rPr>
          <w:rFonts w:ascii="Roboto" w:hAnsi="Roboto" w:cs="Arial"/>
          <w:sz w:val="23"/>
          <w:szCs w:val="23"/>
        </w:rPr>
        <w:t>:</w:t>
      </w:r>
    </w:p>
    <w:p w14:paraId="54456E58" w14:textId="77777777">
      <w:pPr>
        <w:spacing w:line="276" w:lineRule="auto"/>
        <w:ind w:left="2268" w:firstLine="0"/>
        <w:jc w:val="both"/>
        <w:rPr>
          <w:rFonts w:ascii="Roboto" w:hAnsi="Roboto" w:cs="Arial"/>
          <w:sz w:val="23"/>
          <w:szCs w:val="23"/>
        </w:rPr>
      </w:pPr>
    </w:p>
    <w:p w14:paraId="33DC82EB" w14:textId="39F70346">
      <w:pPr>
        <w:spacing w:line="276" w:lineRule="auto"/>
        <w:ind w:left="2268" w:firstLine="0"/>
        <w:jc w:val="both"/>
        <w:rPr>
          <w:rFonts w:ascii="Roboto" w:hAnsi="Roboto" w:cs="Arial"/>
          <w:sz w:val="21"/>
          <w:szCs w:val="21"/>
        </w:rPr>
      </w:pPr>
      <w:r>
        <w:rPr>
          <w:rFonts w:ascii="Roboto" w:hAnsi="Roboto" w:cs="Arial"/>
          <w:sz w:val="21"/>
          <w:szCs w:val="21"/>
        </w:rPr>
        <w:t>TRIBUTÁRIO. RECURSO INOMINADO. IMPOSTO DE RENDA. HORA REPOUSO ALIMENTAÇÃO - HRA. NATUREZA REMUNERATÓRIA. JURISPRUDÊNCIA DO STJ. RECURSO NÃO PROVIDO.</w:t>
      </w:r>
    </w:p>
    <w:p w14:paraId="2D973B54" w14:textId="77777777">
      <w:pPr>
        <w:spacing w:line="276" w:lineRule="auto"/>
        <w:ind w:left="2268" w:firstLine="0"/>
        <w:jc w:val="both"/>
        <w:rPr>
          <w:rFonts w:ascii="Roboto" w:hAnsi="Roboto" w:cs="Arial"/>
          <w:sz w:val="21"/>
          <w:szCs w:val="21"/>
        </w:rPr>
      </w:pPr>
      <w:r>
        <w:rPr>
          <w:rFonts w:ascii="Roboto" w:hAnsi="Roboto" w:cs="Arial"/>
          <w:sz w:val="21"/>
          <w:szCs w:val="21"/>
        </w:rPr>
        <w:t>1. A jurisprudência do Superior Tribunal de Justiça reconhece a natureza remuneratória da HRA - Hora Repouso Alimentação e, por conseguinte, a incidência da contribuição previdenciária e do imposto de renda sobre a referida verba, tão-somente até a entrada em vigor da Lei nº 13.467/2017, que alterou o art. 71, § 4º, da CLT. Precedente.</w:t>
      </w:r>
    </w:p>
    <w:p w14:paraId="1DCBC3B5" w14:textId="77777777">
      <w:pPr>
        <w:spacing w:line="276" w:lineRule="auto"/>
        <w:ind w:left="850"/>
        <w:jc w:val="both"/>
        <w:rPr>
          <w:rFonts w:ascii="Roboto" w:hAnsi="Roboto" w:cs="Arial"/>
          <w:sz w:val="21"/>
          <w:szCs w:val="21"/>
        </w:rPr>
      </w:pPr>
      <w:r>
        <w:rPr>
          <w:rFonts w:ascii="Roboto" w:hAnsi="Roboto" w:cs="Arial"/>
          <w:sz w:val="21"/>
          <w:szCs w:val="21"/>
        </w:rPr>
        <w:t>2. Recurso não provido.</w:t>
      </w:r>
    </w:p>
    <w:p w14:paraId="2D1FC774" w14:textId="77777777">
      <w:pPr>
        <w:spacing w:line="276" w:lineRule="auto"/>
        <w:ind w:left="2268" w:firstLine="0"/>
        <w:jc w:val="both"/>
        <w:rPr>
          <w:rFonts w:ascii="Roboto" w:hAnsi="Roboto" w:cs="Arial"/>
          <w:sz w:val="21"/>
          <w:szCs w:val="21"/>
        </w:rPr>
      </w:pPr>
      <w:r>
        <w:rPr>
          <w:rFonts w:ascii="Roboto" w:hAnsi="Roboto" w:cs="Arial"/>
          <w:sz w:val="21"/>
          <w:szCs w:val="21"/>
        </w:rPr>
        <w:t>(RECURSO CÍVEL Nº 5008905-71.2021.4.04.7000/PR. 1ª Turma Recursal do Paraná. RELATOR: JUIZ FEDERAL GERSON LUIZ ROCHA. Data: 3/12/2021)</w:t>
      </w:r>
    </w:p>
    <w:p w14:paraId="4CA9158E" w14:textId="77777777">
      <w:pPr>
        <w:spacing w:line="276" w:lineRule="auto"/>
        <w:ind w:left="2268"/>
        <w:jc w:val="both"/>
        <w:rPr>
          <w:rFonts w:ascii="Roboto" w:hAnsi="Roboto" w:cs="Arial"/>
          <w:sz w:val="23"/>
          <w:szCs w:val="23"/>
        </w:rPr>
      </w:pPr>
    </w:p>
    <w:p w14:paraId="0DACD5D6" w14:textId="4380967F">
      <w:pPr>
        <w:widowControl w:val="0"/>
        <w:spacing w:line="276" w:lineRule="auto"/>
        <w:jc w:val="both"/>
        <w:rPr>
          <w:rFonts w:ascii="Roboto" w:hAnsi="Roboto" w:cs="Arial"/>
          <w:sz w:val="23"/>
          <w:szCs w:val="23"/>
        </w:rPr>
      </w:pPr>
      <w:r>
        <w:rPr>
          <w:rFonts w:ascii="Roboto" w:hAnsi="Roboto" w:cs="Arial"/>
          <w:sz w:val="23"/>
          <w:szCs w:val="23"/>
        </w:rPr>
        <w:t>Importa ainda destacar o entendimento da Turma Regional de Uniformização de Jurisprudência da 2ª Região:</w:t>
      </w:r>
    </w:p>
    <w:p w14:paraId="3A941FC6" w14:textId="77777777">
      <w:pPr>
        <w:widowControl w:val="0"/>
        <w:spacing w:line="276" w:lineRule="auto"/>
        <w:jc w:val="both"/>
        <w:rPr>
          <w:rFonts w:ascii="Roboto" w:hAnsi="Roboto" w:cs="Arial"/>
          <w:sz w:val="23"/>
          <w:szCs w:val="23"/>
        </w:rPr>
      </w:pPr>
    </w:p>
    <w:p w14:paraId="5F93CF23" w14:textId="77777777">
      <w:pPr>
        <w:widowControl w:val="0"/>
        <w:spacing w:line="276" w:lineRule="auto"/>
        <w:ind w:left="2268" w:firstLine="0"/>
        <w:jc w:val="both"/>
        <w:rPr>
          <w:rFonts w:ascii="Roboto" w:hAnsi="Roboto" w:cs="Arial"/>
          <w:sz w:val="21"/>
          <w:szCs w:val="21"/>
        </w:rPr>
      </w:pPr>
      <w:r>
        <w:rPr>
          <w:rFonts w:ascii="Roboto" w:hAnsi="Roboto" w:cs="Arial"/>
          <w:sz w:val="21"/>
          <w:szCs w:val="21"/>
        </w:rPr>
        <w:t xml:space="preserve">PEDIDO DE UNIFORMIZAÇÃO REGIONAL DE JURISPRUDÊNCIA. CONTROVÉRSIA JURÍDICA SOBRE A NATUREZA DA VERBA TRABALHISTA DENOMINADA “ADICIONAL DE HORA DE REPOUSO E ALIMENTAÇÃO” OU “HORA REPOUSO ALIMENTAÇÃO”, PREVISTA NO ART. 3º, II, DA LEI 5.811/1972, SE REMUNERATÓRIA OU INDENIZATÓRIA, PARA EFEITO DE INCIDÊNCIA, OU NÃO, DO IMPOSTO DE RENDA, APÓS A ENTRADA EM VIGOR DA LEI 13.467/2017, A QUAL ALTEROU A REDAÇÃO DO ART. 71, § 4º, DA CONSOLIDAÇÃO DAS LEIS DO TRABALHO. FIRMOU-SE O ENTENDIMENTO, NO SUPERIOR TRIBUNAL DE JUSTIÇA, DE QUE A VERBA “ADICIONAL DE HORA DE REPOUSO E ALIMENTAÇÃO” OU “HORA REPOUSO ALIMENTAÇÃO” TEM NATUREZA REMUNERATÓRIA ATÉ A ENTRADA EM VIGOR DA LEI 13.467/2017. O INTERVALO INTRAJORNADA PARA DESCANSO E ALIMENTAÇÃO É DIREITO DO TRABALHADOR DESDE A ENTRADA EM VIGOR DA CONSOLIDAÇÃO DAS LEIS DO TRABALHO, EM 1943 (DECRETO-LEI 5.452, DE 1º DE MAIO DE 1943), ANTE O DISPOSTO NO SEU ART. 71, CAPUT, QUE MANTEVE A SUA REDAÇÃO ORIGINAL ATÉ A PRESENTE DATA. TODO SER HUMANO TEM NECESSIDADE DE </w:t>
      </w:r>
      <w:r>
        <w:rPr>
          <w:rFonts w:ascii="Roboto" w:hAnsi="Roboto" w:cs="Arial"/>
          <w:sz w:val="21"/>
          <w:szCs w:val="21"/>
        </w:rPr>
        <w:lastRenderedPageBreak/>
        <w:t>ALIMENTAR-SE CORRETAMENTE E DESCANSAR DURANTE A JORNADA DE TRABALHO PARA RECOMPOR O SEU VIGOR FÍSICO E MENTAL. TAL DIREITO DIZ RESPEITO, DIRETAMENTE, À SAÚDE DO TRABALHADOR E À SUA PRÓPRIA DIGNIDADE COMO PESSOA HUMANA. SE O INTERVALO INTRAJORNADA PARA DESCANSO E ALIMENTAÇÃO É UM DIREITO DO TRABALHADOR, A VIOLAÇÃO DE TAL DIREITO CAUSA A ELE UM DANO E, EM CONSEQUÊNCIA, GERA O DEVER DE INDENIZAR. A DESPEITO DA NATUREZA INDENIZATÓRIA DA VERBA “ADICIONAL DE HORA DE REPOUSO E ALIMENTAÇÃO” OU “HORA REPOUSO ALIMENTAÇÃO”, CASO SE ENTENDESSE QUE SUA NATUREZA ERA REMUNERATÓRIA, A SE CONSIDERAR QUE O PRÓPRIO LEGISLADOR ESTABELECEU, EXPRESSAMENTE, A NATUREZA INDENIZATÓRIA DA VERBA, AO ALTERAR A REDAÇÃO DO § 4º DO ART. 71 DA CONSOLIDAÇÃO DAS LEIS DO TRABALHO (LEI 13.467/2017), SEGUNDO O PRINCÍPIO DA PRESUNÇÃO DE CONSTITUCIONALIDADE DAS LEIS, O REFERIDO ATO NORMATIVO TERIA QUE SER DECLARADO INCONSTITUCIONAL PARA SE AFASTAR A SUA APLICAÇÃO AOS CASOS CONCRETOS. O PAGAMENTO DA VERBA “ADICIONAL DE HORA DE REPOUSO E ALIMENTAÇÃO” OU “HORA REPOUSO ALIMENTAÇÃO” NÃO CARACTERIZA ACRÉSCIMO PATRIMONIAL PARA EFEITO DE INCIDÊNCIA DO IMPOSTO DE RENDA (ART. 43, II, DO CÓDIGO TRIBUTÁRIO NACIONAL), POIS, UMA VEZ RECONHECIDA A NATUREZA INDENIZATÓRIA DA VERBA, O SEU PAGAMENTO VISA À REPARAÇÃO DE DANO, MEDIANTE COMPENSAÇÃO POR NÃO TER HAVIDO FRUIÇÃO DE DIREITO ASSEGURADO POR LEI (FRUIÇÃO DE INTERVALO INTRAJORNADA). NÃO HÁ RAZÃO JURÍDICA PARA SE RESTRINGIR AO ÂMBITO TRABALHISTA A ALTERAÇÃO DO § 4º DO ART. 71 DA CONSOLIDAÇÃO DAS LEIS DO TRABALHO PELA LEI 13.467/2017. PEDIDO DE UNIFORMIZAÇÃO REGIONAL DE JURISPRUDÊNCIA CONHECIDO E NÃO PROVIDO PARA SE MANTER O ACÓRDÃO PROFERIDO PELA 1ª TURMA RECURSAL DOS JUIZADOS ESPECIAIS FEDERAIS DA SEÇÃO JUDICIÁRIA DO ESPÍRITO SANTO, NA LINHA DO ENTENDIMENTO DE QUE NÃO DEVE HAVER A INCIDÊNCIA DO IMPOSTO DE RENDA SOBRE A VERBA DENOMINADA “ADICIONAL DE HORA DE REPOUSO E ALIMENTAÇÃO” (AHRA) OU “HORA REPOUSO ALIMENTAÇÃO” (HRA), PREVISTA NO ART. 3º, II, DA LEI 5.811/1972, ANTE A SUA NATUREZA INDENIZATÓRIA (ART. 71, § 4º, DA CONSOLIDAÇÃO DAS LEIS DO TRABALHO; § 4º COM REDAÇÃO DADA PELA LEI 13.467/2017).</w:t>
      </w:r>
    </w:p>
    <w:p w14:paraId="447E543F" w14:textId="77777777">
      <w:pPr>
        <w:widowControl w:val="0"/>
        <w:spacing w:line="276" w:lineRule="auto"/>
        <w:ind w:left="2268" w:firstLine="0"/>
        <w:jc w:val="both"/>
        <w:rPr>
          <w:rFonts w:ascii="Roboto" w:hAnsi="Roboto" w:cs="Arial"/>
          <w:sz w:val="21"/>
          <w:szCs w:val="21"/>
        </w:rPr>
      </w:pPr>
      <w:r>
        <w:rPr>
          <w:rFonts w:ascii="Roboto" w:hAnsi="Roboto" w:cs="Arial"/>
          <w:sz w:val="21"/>
          <w:szCs w:val="21"/>
        </w:rPr>
        <w:t xml:space="preserve">(TRF2. PEDIDO DE UNIFORMIZAÇÃO DE INTERPRETAÇÃO DE LEI </w:t>
      </w:r>
      <w:r>
        <w:rPr>
          <w:rFonts w:ascii="Roboto" w:hAnsi="Roboto" w:cs="Arial"/>
          <w:sz w:val="21"/>
          <w:szCs w:val="21"/>
        </w:rPr>
        <w:lastRenderedPageBreak/>
        <w:t>(TRU) Nº 5000699-90.2021.4.02.5006/ES RELATOR: JUIZ FEDERAL CARLOS ALEXANDRE BENJAMIN. Data: 9/12/2021)</w:t>
      </w:r>
    </w:p>
    <w:p w14:paraId="779FB0AE" w14:textId="77777777">
      <w:pPr>
        <w:widowControl w:val="0"/>
        <w:spacing w:line="276" w:lineRule="auto"/>
        <w:ind w:left="2268"/>
        <w:jc w:val="both"/>
        <w:rPr>
          <w:rFonts w:ascii="Roboto" w:hAnsi="Roboto" w:cs="Arial"/>
          <w:sz w:val="23"/>
          <w:szCs w:val="23"/>
        </w:rPr>
      </w:pPr>
    </w:p>
    <w:p w14:paraId="0A1A48E9" w14:textId="77777777">
      <w:pPr>
        <w:widowControl w:val="0"/>
        <w:spacing w:line="276" w:lineRule="auto"/>
        <w:ind w:left="2268"/>
        <w:jc w:val="both"/>
        <w:rPr>
          <w:rFonts w:ascii="Roboto" w:hAnsi="Roboto" w:cs="Arial"/>
          <w:sz w:val="23"/>
          <w:szCs w:val="23"/>
        </w:rPr>
      </w:pPr>
    </w:p>
    <w:p w14:paraId="4449FCE5" w14:textId="627878D7">
      <w:pPr>
        <w:widowControl w:val="0"/>
        <w:spacing w:line="276" w:lineRule="auto"/>
        <w:jc w:val="both"/>
        <w:rPr>
          <w:rFonts w:ascii="Roboto" w:hAnsi="Roboto" w:cs="Arial"/>
          <w:sz w:val="23"/>
          <w:szCs w:val="23"/>
        </w:rPr>
      </w:pPr>
      <w:r>
        <w:rPr>
          <w:rFonts w:ascii="Roboto" w:hAnsi="Roboto" w:cs="Arial"/>
          <w:sz w:val="23"/>
          <w:szCs w:val="23"/>
        </w:rPr>
        <w:t>Portanto, tais precedentes, de diversas Seções Judiciárias</w:t>
      </w:r>
      <w:r>
        <w:rPr>
          <w:rFonts w:ascii="Roboto" w:hAnsi="Roboto" w:cs="Arial"/>
          <w:sz w:val="23"/>
          <w:szCs w:val="23"/>
        </w:rPr>
        <w:t xml:space="preserve"> e da Turma Nacional de Uniformização</w:t>
      </w:r>
      <w:r>
        <w:rPr>
          <w:rFonts w:ascii="Roboto" w:hAnsi="Roboto" w:cs="Arial"/>
          <w:sz w:val="23"/>
          <w:szCs w:val="23"/>
        </w:rPr>
        <w:t xml:space="preserve"> são categóricos ao definirem que a HRA é indenização, e não acréscimo patrimonial.</w:t>
      </w:r>
    </w:p>
    <w:p w14:paraId="27B8DB08" w14:textId="77777777">
      <w:pPr>
        <w:spacing w:line="276" w:lineRule="auto"/>
        <w:jc w:val="both"/>
        <w:rPr>
          <w:rFonts w:ascii="Roboto" w:hAnsi="Roboto" w:cs="Arial"/>
          <w:sz w:val="23"/>
          <w:szCs w:val="23"/>
        </w:rPr>
      </w:pPr>
    </w:p>
    <w:p w14:paraId="79B78D22" w14:textId="77777777">
      <w:pPr>
        <w:spacing w:line="276" w:lineRule="auto"/>
        <w:jc w:val="both"/>
        <w:rPr>
          <w:rFonts w:ascii="Roboto" w:hAnsi="Roboto" w:cs="Arial"/>
          <w:b/>
          <w:bCs/>
          <w:sz w:val="23"/>
          <w:szCs w:val="23"/>
        </w:rPr>
      </w:pPr>
      <w:r>
        <w:rPr>
          <w:rFonts w:ascii="Roboto" w:hAnsi="Roboto" w:cs="Arial"/>
          <w:b/>
          <w:bCs/>
          <w:sz w:val="23"/>
          <w:szCs w:val="23"/>
        </w:rPr>
        <w:t>Portanto, havendo a TNU consolidado o posicionamento ora defendido, a questão não comporta maiores digressões, pelo que as verbas recebidas pelo Autor a título de HRA devem ser excluídas da base de cálculo do Imposto de Renda, ante o seu caráter nitidamente indenizatório, impondo-se o acolhimento da pretensão ora delineada.</w:t>
      </w:r>
    </w:p>
    <w:p w14:paraId="11AE3948" w14:textId="77777777">
      <w:pPr>
        <w:spacing w:line="276" w:lineRule="auto"/>
        <w:jc w:val="both"/>
        <w:rPr>
          <w:rFonts w:ascii="Roboto" w:hAnsi="Roboto" w:cs="Arial"/>
          <w:b/>
          <w:bCs/>
          <w:sz w:val="23"/>
          <w:szCs w:val="23"/>
        </w:rPr>
      </w:pPr>
    </w:p>
    <w:p w14:paraId="63D8303C" w14:textId="77777777">
      <w:pPr>
        <w:widowControl w:val="0"/>
        <w:spacing w:line="276" w:lineRule="auto"/>
        <w:jc w:val="both"/>
        <w:rPr>
          <w:rFonts w:ascii="Roboto" w:hAnsi="Roboto" w:cs="Arial"/>
          <w:b/>
          <w:sz w:val="23"/>
          <w:szCs w:val="23"/>
        </w:rPr>
      </w:pPr>
      <w:r>
        <w:rPr>
          <w:rFonts w:ascii="Roboto" w:hAnsi="Roboto" w:cs="Arial"/>
          <w:b/>
          <w:sz w:val="23"/>
          <w:szCs w:val="23"/>
        </w:rPr>
        <w:t>5.2 – DO DIREITO DO AUTOR À RESTITUIÇÃO DOS VALORES PAGOS A TÍTULO DE IR SOBRE HRA A PARTIR DA VIGÊNCIA DA LEI 13.467/2017</w:t>
      </w:r>
    </w:p>
    <w:p w14:paraId="77BF46A9" w14:textId="77777777">
      <w:pPr>
        <w:widowControl w:val="0"/>
        <w:spacing w:line="276" w:lineRule="auto"/>
        <w:jc w:val="both"/>
        <w:rPr>
          <w:rFonts w:ascii="Roboto" w:hAnsi="Roboto" w:cs="Arial"/>
          <w:b/>
          <w:sz w:val="23"/>
          <w:szCs w:val="23"/>
        </w:rPr>
      </w:pPr>
    </w:p>
    <w:p w14:paraId="0006AB92" w14:textId="4834B47F">
      <w:pPr>
        <w:widowControl w:val="0"/>
        <w:spacing w:line="276" w:lineRule="auto"/>
        <w:jc w:val="both"/>
        <w:rPr>
          <w:rFonts w:ascii="Roboto" w:hAnsi="Roboto" w:cs="Arial"/>
          <w:sz w:val="23"/>
          <w:szCs w:val="23"/>
        </w:rPr>
      </w:pPr>
      <w:r>
        <w:rPr>
          <w:rFonts w:ascii="Roboto" w:hAnsi="Roboto" w:cs="Arial"/>
          <w:sz w:val="23"/>
          <w:szCs w:val="23"/>
        </w:rPr>
        <w:t>Como consectário lógico da desconstituição da ilícita tributação em apreço, o Autor requer a restituição dos valores pagos a título de Imposto de Renda sobre HRA</w:t>
      </w:r>
      <w:r>
        <w:rPr>
          <w:rFonts w:ascii="Roboto" w:hAnsi="Roboto" w:cs="Arial"/>
          <w:sz w:val="23"/>
          <w:szCs w:val="23"/>
        </w:rPr>
        <w:t>, conforme preâmbulo da petição,</w:t>
      </w:r>
      <w:r>
        <w:rPr>
          <w:rFonts w:ascii="Roboto" w:hAnsi="Roboto" w:cs="Arial"/>
          <w:sz w:val="23"/>
          <w:szCs w:val="23"/>
        </w:rPr>
        <w:t xml:space="preserve"> ou seja, após a vigência da Lei 13.467/2017, em 11 de novembro de 2017, que alterou o art. 71, § 4º, da CLT, passando a prever expressamente que as verbas recebidas pelos trabalhadores a título de HRA possuem natureza jurídica indenizatória </w:t>
      </w:r>
    </w:p>
    <w:p w14:paraId="1AF0C25A" w14:textId="77777777">
      <w:pPr>
        <w:widowControl w:val="0"/>
        <w:spacing w:line="276" w:lineRule="auto"/>
        <w:jc w:val="both"/>
        <w:rPr>
          <w:rFonts w:ascii="Roboto" w:hAnsi="Roboto" w:cs="Arial"/>
          <w:sz w:val="23"/>
          <w:szCs w:val="23"/>
        </w:rPr>
      </w:pPr>
    </w:p>
    <w:p w14:paraId="215CC706" w14:textId="4B53CE30">
      <w:pPr>
        <w:widowControl w:val="0"/>
        <w:spacing w:line="276" w:lineRule="auto"/>
        <w:jc w:val="both"/>
        <w:rPr>
          <w:rFonts w:ascii="Roboto" w:hAnsi="Roboto" w:cs="Arial"/>
          <w:sz w:val="23"/>
          <w:szCs w:val="23"/>
        </w:rPr>
      </w:pPr>
      <w:r>
        <w:rPr>
          <w:rFonts w:ascii="Roboto" w:hAnsi="Roboto" w:cs="Arial"/>
          <w:sz w:val="23"/>
          <w:szCs w:val="23"/>
        </w:rPr>
        <w:t>Frisa, nesse diapasão, que tais pagamentos indevidos restam atestados pelos contracheques referentes ao período, ora acostados em sua integralidade (</w:t>
      </w:r>
      <w:r>
        <w:rPr>
          <w:rFonts w:ascii="Roboto" w:hAnsi="Roboto" w:cs="Arial"/>
          <w:b/>
          <w:sz w:val="23"/>
          <w:szCs w:val="23"/>
        </w:rPr>
        <w:t>DOC. 0</w:t>
      </w:r>
      <w:r>
        <w:rPr>
          <w:rFonts w:ascii="Roboto" w:hAnsi="Roboto" w:cs="Arial"/>
          <w:b/>
          <w:sz w:val="23"/>
          <w:szCs w:val="23"/>
        </w:rPr>
        <w:t>4</w:t>
      </w:r>
      <w:r>
        <w:rPr>
          <w:rFonts w:ascii="Roboto" w:hAnsi="Roboto" w:cs="Arial"/>
          <w:sz w:val="23"/>
          <w:szCs w:val="23"/>
        </w:rPr>
        <w:t>), os quais indicam a incidência do mencionado tributo sobre a verba em pauta.</w:t>
      </w:r>
    </w:p>
    <w:p w14:paraId="7F4BE780" w14:textId="77777777">
      <w:pPr>
        <w:widowControl w:val="0"/>
        <w:spacing w:line="276" w:lineRule="auto"/>
        <w:jc w:val="both"/>
        <w:rPr>
          <w:rFonts w:ascii="Roboto" w:hAnsi="Roboto" w:cs="Arial"/>
          <w:sz w:val="23"/>
          <w:szCs w:val="23"/>
        </w:rPr>
      </w:pPr>
    </w:p>
    <w:p w14:paraId="1DFD0DCB" w14:textId="77777777">
      <w:pPr>
        <w:widowControl w:val="0"/>
        <w:spacing w:line="276" w:lineRule="auto"/>
        <w:jc w:val="both"/>
        <w:rPr>
          <w:rFonts w:ascii="Roboto" w:hAnsi="Roboto" w:cs="Arial"/>
          <w:sz w:val="23"/>
          <w:szCs w:val="23"/>
        </w:rPr>
      </w:pPr>
      <w:r>
        <w:rPr>
          <w:rFonts w:ascii="Roboto" w:hAnsi="Roboto" w:cs="Arial"/>
          <w:sz w:val="23"/>
          <w:szCs w:val="23"/>
        </w:rPr>
        <w:t>Com efeito, percebe-se nos referidos contracheques que a base de cálculo do IR foi obtida mediante soma de todos os proventos auferidos, descontada a contribuição para o INSS.</w:t>
      </w:r>
    </w:p>
    <w:p w14:paraId="1006D4A1" w14:textId="77777777">
      <w:pPr>
        <w:widowControl w:val="0"/>
        <w:spacing w:line="276" w:lineRule="auto"/>
        <w:jc w:val="both"/>
        <w:rPr>
          <w:rFonts w:ascii="Roboto" w:hAnsi="Roboto" w:cs="Arial"/>
          <w:sz w:val="23"/>
          <w:szCs w:val="23"/>
        </w:rPr>
      </w:pPr>
    </w:p>
    <w:p w14:paraId="7117DA95" w14:textId="58A05062">
      <w:pPr>
        <w:widowControl w:val="0"/>
        <w:spacing w:line="276" w:lineRule="auto"/>
        <w:jc w:val="both"/>
        <w:rPr>
          <w:rFonts w:ascii="Roboto" w:hAnsi="Roboto" w:cs="Arial"/>
          <w:sz w:val="23"/>
          <w:szCs w:val="23"/>
        </w:rPr>
      </w:pPr>
      <w:r>
        <w:rPr>
          <w:rFonts w:ascii="Roboto" w:hAnsi="Roboto" w:cs="Arial"/>
          <w:sz w:val="23"/>
          <w:szCs w:val="23"/>
        </w:rPr>
        <w:t xml:space="preserve">Requer, assim, que, ao final da lide lhe sejam restituídos os valores pagos a título de IR sobre HRA devidamente atualizados desde </w:t>
      </w:r>
      <w:r>
        <w:rPr>
          <w:rFonts w:ascii="Roboto" w:hAnsi="Roboto" w:cs="Arial"/>
          <w:sz w:val="23"/>
          <w:szCs w:val="23"/>
        </w:rPr>
        <w:t>a data do primeiro contracheque acostado, vide preâmbulo da petição</w:t>
      </w:r>
      <w:r>
        <w:rPr>
          <w:rFonts w:ascii="Roboto" w:hAnsi="Roboto" w:cs="Arial"/>
          <w:sz w:val="23"/>
          <w:szCs w:val="23"/>
        </w:rPr>
        <w:t>, sem prejuízo da restituição atualizada também das quantias que vierem a ser pagas após o ajuizamento desta ação – cujos comprovantes serão juntados no momento da liquidação.</w:t>
      </w:r>
    </w:p>
    <w:p w14:paraId="3B298BE0" w14:textId="77777777">
      <w:pPr>
        <w:widowControl w:val="0"/>
        <w:spacing w:line="276" w:lineRule="auto"/>
        <w:jc w:val="both"/>
        <w:rPr>
          <w:rFonts w:ascii="Roboto" w:hAnsi="Roboto" w:cs="Arial"/>
          <w:sz w:val="23"/>
          <w:szCs w:val="23"/>
        </w:rPr>
      </w:pPr>
    </w:p>
    <w:p w14:paraId="43E7F30E" w14:textId="5B476B0B">
      <w:pPr>
        <w:widowControl w:val="0"/>
        <w:spacing w:line="276" w:lineRule="auto"/>
        <w:jc w:val="both"/>
        <w:rPr>
          <w:rFonts w:ascii="Roboto" w:hAnsi="Roboto" w:cs="Arial"/>
          <w:color w:val="FF0000"/>
          <w:sz w:val="23"/>
          <w:szCs w:val="23"/>
        </w:rPr>
      </w:pPr>
      <w:r>
        <w:rPr>
          <w:rFonts w:ascii="Roboto" w:hAnsi="Roboto" w:cs="Arial"/>
          <w:sz w:val="23"/>
          <w:szCs w:val="23"/>
        </w:rPr>
        <w:t>Reitera, ademais, a inocorrência de prescrição para repetição dos referidos valores, eis que, como demonstrado no item 4, o prazo prescricional, no caso de retenção de IRPF, conta-se apenas a partir da data de entrega da DIRPF.</w:t>
      </w:r>
    </w:p>
    <w:p w14:paraId="34644265" w14:textId="77777777">
      <w:pPr>
        <w:widowControl w:val="0"/>
        <w:spacing w:line="276" w:lineRule="auto"/>
        <w:jc w:val="both"/>
        <w:rPr>
          <w:rFonts w:ascii="Roboto" w:hAnsi="Roboto" w:cs="Arial"/>
          <w:sz w:val="23"/>
          <w:szCs w:val="23"/>
        </w:rPr>
      </w:pPr>
    </w:p>
    <w:p w14:paraId="0553DC29" w14:textId="77777777">
      <w:pPr>
        <w:widowControl w:val="0"/>
        <w:spacing w:line="276" w:lineRule="auto"/>
        <w:jc w:val="both"/>
        <w:rPr>
          <w:rFonts w:ascii="Roboto" w:hAnsi="Roboto" w:cs="Arial"/>
          <w:sz w:val="23"/>
          <w:szCs w:val="23"/>
        </w:rPr>
      </w:pPr>
    </w:p>
    <w:p w14:paraId="7D31BE99" w14:textId="77777777">
      <w:pPr>
        <w:widowControl w:val="0"/>
        <w:spacing w:line="276" w:lineRule="auto"/>
        <w:jc w:val="both"/>
        <w:rPr>
          <w:rFonts w:ascii="Roboto" w:hAnsi="Roboto" w:cs="Arial"/>
          <w:b/>
          <w:sz w:val="23"/>
          <w:szCs w:val="23"/>
          <w:u w:val="single"/>
        </w:rPr>
      </w:pPr>
      <w:r>
        <w:rPr>
          <w:rFonts w:ascii="Roboto" w:hAnsi="Roboto" w:cs="Arial"/>
          <w:b/>
          <w:sz w:val="23"/>
          <w:szCs w:val="23"/>
          <w:u w:val="single"/>
        </w:rPr>
        <w:t>4 – DA CONCLUSÃO E DOS PEDIDOS</w:t>
      </w:r>
    </w:p>
    <w:p w14:paraId="7869EC23" w14:textId="77777777">
      <w:pPr>
        <w:widowControl w:val="0"/>
        <w:spacing w:line="276" w:lineRule="auto"/>
        <w:jc w:val="both"/>
        <w:rPr>
          <w:rFonts w:ascii="Roboto" w:hAnsi="Roboto" w:cs="Arial"/>
          <w:sz w:val="23"/>
          <w:szCs w:val="23"/>
        </w:rPr>
      </w:pPr>
    </w:p>
    <w:p w14:paraId="129504F6" w14:textId="71407594">
      <w:pPr>
        <w:widowControl w:val="0"/>
        <w:spacing w:line="276" w:lineRule="auto"/>
        <w:jc w:val="both"/>
        <w:rPr>
          <w:rFonts w:ascii="Roboto" w:hAnsi="Roboto" w:cs="Arial"/>
          <w:sz w:val="23"/>
          <w:szCs w:val="23"/>
        </w:rPr>
      </w:pPr>
      <w:r>
        <w:rPr>
          <w:rFonts w:ascii="Roboto" w:hAnsi="Roboto" w:cs="Arial"/>
          <w:sz w:val="23"/>
          <w:szCs w:val="23"/>
        </w:rPr>
        <w:t xml:space="preserve">Ante todo o exposto, </w:t>
      </w:r>
      <w:r>
        <w:rPr>
          <w:rFonts w:ascii="Roboto" w:hAnsi="Roboto" w:cs="Arial"/>
          <w:b/>
          <w:bCs/>
          <w:sz w:val="23"/>
          <w:szCs w:val="23"/>
        </w:rPr>
        <w:t>requer o Autor seja julgada INTEIRAMENTE PROCEDENTE a pretensão ora delineada</w:t>
      </w:r>
      <w:r>
        <w:rPr>
          <w:rFonts w:ascii="Roboto" w:hAnsi="Roboto" w:cs="Arial"/>
          <w:sz w:val="23"/>
          <w:szCs w:val="23"/>
        </w:rPr>
        <w:t xml:space="preserve">, para que, ante o caráter notadamente indenizatório da HRA, seja determinada a sua exclusão da base de cálculo do Imposto de Renda, nos termos firmados pela TNU no julgamento do Tema 306; por conseguinte, pede a restituição de todos os valores retidos a tal título desde </w:t>
      </w:r>
      <w:r>
        <w:rPr>
          <w:rFonts w:ascii="Roboto" w:hAnsi="Roboto" w:cs="Arial"/>
          <w:sz w:val="23"/>
          <w:szCs w:val="23"/>
        </w:rPr>
        <w:t>a data da primeira retenção realizada nos contracheques colacionados (vide preâmbulo da petição)</w:t>
      </w:r>
      <w:r>
        <w:rPr>
          <w:rFonts w:ascii="Roboto" w:hAnsi="Roboto" w:cs="Arial"/>
          <w:color w:val="FF0000"/>
          <w:sz w:val="23"/>
          <w:szCs w:val="23"/>
        </w:rPr>
        <w:t xml:space="preserve"> </w:t>
      </w:r>
      <w:r>
        <w:rPr>
          <w:rFonts w:ascii="Roboto" w:hAnsi="Roboto" w:cs="Arial"/>
          <w:sz w:val="23"/>
          <w:szCs w:val="23"/>
        </w:rPr>
        <w:t>sem prejuízo da restituição atualizada também das quantias que vierem a ser pagas após o ajuizamento desta ação.</w:t>
      </w:r>
    </w:p>
    <w:p w14:paraId="79EC09C9" w14:textId="77777777">
      <w:pPr>
        <w:widowControl w:val="0"/>
        <w:spacing w:line="276" w:lineRule="auto"/>
        <w:jc w:val="both"/>
        <w:rPr>
          <w:rFonts w:ascii="Roboto" w:hAnsi="Roboto" w:cs="Arial"/>
          <w:sz w:val="23"/>
          <w:szCs w:val="23"/>
        </w:rPr>
      </w:pPr>
    </w:p>
    <w:p w14:paraId="6F405B9A" w14:textId="77777777">
      <w:pPr>
        <w:pStyle w:val="PargrafodaLista"/>
        <w:widowControl w:val="0"/>
        <w:spacing w:line="276" w:lineRule="auto"/>
        <w:ind w:firstLine="1418"/>
        <w:jc w:val="both"/>
        <w:rPr>
          <w:rFonts w:ascii="Roboto" w:hAnsi="Roboto" w:cs="Arial"/>
          <w:sz w:val="23"/>
          <w:szCs w:val="23"/>
        </w:rPr>
      </w:pPr>
      <w:r>
        <w:rPr>
          <w:rFonts w:ascii="Roboto" w:hAnsi="Roboto" w:cs="Arial"/>
          <w:sz w:val="23"/>
          <w:szCs w:val="23"/>
        </w:rPr>
        <w:t>Outrossim, pede ainda:</w:t>
      </w:r>
    </w:p>
    <w:p w14:paraId="13071F41" w14:textId="77777777">
      <w:pPr>
        <w:pStyle w:val="PargrafodaLista"/>
        <w:widowControl w:val="0"/>
        <w:spacing w:line="276" w:lineRule="auto"/>
        <w:ind w:firstLine="1418"/>
        <w:jc w:val="both"/>
        <w:rPr>
          <w:rFonts w:ascii="Roboto" w:hAnsi="Roboto" w:cs="Arial"/>
          <w:sz w:val="23"/>
          <w:szCs w:val="23"/>
        </w:rPr>
      </w:pPr>
    </w:p>
    <w:p w14:paraId="1346C148" w14:textId="77777777">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rPr>
          <w:rFonts w:ascii="Roboto" w:hAnsi="Roboto" w:cs="Arial"/>
          <w:sz w:val="23"/>
          <w:szCs w:val="23"/>
        </w:rPr>
        <w:tab/>
        <w:t>o deferimento da assistência judiciária gratuita, nos termos das Leis 9.099/95 e 10.259/2001;</w:t>
      </w:r>
    </w:p>
    <w:p w14:paraId="1C719145" w14:textId="77777777">
      <w:pPr>
        <w:pStyle w:val="PargrafodaLista"/>
        <w:widowControl w:val="0"/>
        <w:spacing w:line="276" w:lineRule="auto"/>
        <w:ind w:left="2410" w:hanging="272"/>
        <w:jc w:val="both"/>
        <w:rPr>
          <w:rFonts w:ascii="Roboto" w:hAnsi="Roboto" w:cs="Arial"/>
          <w:sz w:val="23"/>
          <w:szCs w:val="23"/>
        </w:rPr>
      </w:pPr>
    </w:p>
    <w:p w14:paraId="4BDEBAB0" w14:textId="77777777">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rPr>
          <w:rFonts w:ascii="Roboto" w:hAnsi="Roboto" w:cs="Arial"/>
          <w:sz w:val="23"/>
          <w:szCs w:val="23"/>
        </w:rPr>
        <w:tab/>
        <w:t>a produção de todo tipo de prova admitido, sobretudo a documental e a pericial, no que se inclui a remessa dos autos ao SECAJ para apuração do valor a restituir atualizado;</w:t>
      </w:r>
    </w:p>
    <w:p w14:paraId="3AACDBBD" w14:textId="77777777">
      <w:pPr>
        <w:pStyle w:val="PargrafodaLista"/>
        <w:widowControl w:val="0"/>
        <w:spacing w:line="276" w:lineRule="auto"/>
        <w:ind w:left="2410" w:hanging="272"/>
        <w:jc w:val="both"/>
        <w:rPr>
          <w:rFonts w:ascii="Roboto" w:hAnsi="Roboto" w:cs="Arial"/>
          <w:sz w:val="23"/>
          <w:szCs w:val="23"/>
        </w:rPr>
      </w:pPr>
    </w:p>
    <w:p w14:paraId="1476A76C" w14:textId="7442B8AF">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tab/>
      </w:r>
      <w:r>
        <w:rPr>
          <w:rFonts w:ascii="Roboto" w:hAnsi="Roboto" w:cs="Arial"/>
          <w:sz w:val="23"/>
          <w:szCs w:val="23"/>
        </w:rPr>
        <w:t xml:space="preserve">a citação da União através de sua Nobre Procuradoria da Fazenda Nacional, com endereço </w:t>
      </w:r>
      <w:r>
        <w:rPr>
          <w:rFonts w:ascii="Arial" w:hAnsi="Arial" w:cs="Arial"/>
          <w:sz w:val="21"/>
          <w:szCs w:val="21"/>
        </w:rPr>
        <w:t>indicado na qualificação das partes,</w:t>
      </w:r>
      <w:r>
        <w:rPr>
          <w:rFonts w:ascii="Arial" w:hAnsi="Arial" w:cs="Arial"/>
          <w:sz w:val="21"/>
          <w:szCs w:val="21"/>
        </w:rPr>
        <w:t xml:space="preserve"> </w:t>
      </w:r>
      <w:r>
        <w:rPr>
          <w:rFonts w:ascii="Roboto" w:hAnsi="Roboto" w:cs="Arial"/>
          <w:sz w:val="23"/>
          <w:szCs w:val="23"/>
        </w:rPr>
        <w:t>para, querendo, apresentar a defesa que entender cabível; e</w:t>
      </w:r>
    </w:p>
    <w:p w14:paraId="270191D5" w14:textId="77777777">
      <w:pPr>
        <w:pStyle w:val="PargrafodaLista"/>
        <w:widowControl w:val="0"/>
        <w:spacing w:line="276" w:lineRule="auto"/>
        <w:ind w:left="2410" w:hanging="272"/>
        <w:jc w:val="both"/>
        <w:rPr>
          <w:rFonts w:ascii="Roboto" w:hAnsi="Roboto" w:cs="Arial"/>
          <w:sz w:val="23"/>
          <w:szCs w:val="23"/>
        </w:rPr>
      </w:pPr>
    </w:p>
    <w:p w14:paraId="024469AE" w14:textId="77777777">
      <w:pPr>
        <w:pStyle w:val="PargrafodaLista"/>
        <w:widowControl w:val="0"/>
        <w:spacing w:line="276" w:lineRule="auto"/>
        <w:ind w:left="2410" w:hanging="272"/>
        <w:jc w:val="both"/>
        <w:rPr>
          <w:rFonts w:ascii="Roboto" w:hAnsi="Roboto" w:cs="Arial"/>
          <w:sz w:val="23"/>
          <w:szCs w:val="23"/>
        </w:rPr>
      </w:pPr>
      <w:r>
        <w:rPr>
          <w:rFonts w:ascii="Roboto" w:hAnsi="Roboto" w:cs="Arial"/>
          <w:sz w:val="23"/>
          <w:szCs w:val="23"/>
        </w:rPr>
        <w:t>•</w:t>
      </w:r>
      <w:r>
        <w:rPr>
          <w:rFonts w:ascii="Roboto" w:hAnsi="Roboto" w:cs="Arial"/>
          <w:sz w:val="23"/>
          <w:szCs w:val="23"/>
        </w:rPr>
        <w:tab/>
        <w:t>a condenação da Ré ao ressarcimento das custas e ao pagamento dos honorários sucumbenciais nos termos do art. 85 do CPC, se houver recurso à instância superior.</w:t>
      </w:r>
    </w:p>
    <w:p w14:paraId="1596EEC3" w14:textId="77777777">
      <w:pPr>
        <w:widowControl w:val="0"/>
        <w:spacing w:line="276" w:lineRule="auto"/>
        <w:jc w:val="both"/>
        <w:rPr>
          <w:rFonts w:ascii="Roboto" w:hAnsi="Roboto" w:cs="Arial"/>
          <w:sz w:val="23"/>
          <w:szCs w:val="23"/>
        </w:rPr>
      </w:pPr>
    </w:p>
    <w:p w14:paraId="26EB9695" w14:textId="40F937E9">
      <w:pPr>
        <w:widowControl w:val="0"/>
        <w:spacing w:line="276" w:lineRule="auto"/>
        <w:jc w:val="both"/>
        <w:rPr>
          <w:rFonts w:ascii="Roboto" w:hAnsi="Roboto" w:cs="Arial"/>
          <w:sz w:val="23"/>
          <w:szCs w:val="23"/>
        </w:rPr>
      </w:pPr>
      <w:r>
        <w:rPr>
          <w:rFonts w:ascii="Roboto" w:hAnsi="Roboto" w:cs="Arial"/>
          <w:sz w:val="23"/>
          <w:szCs w:val="23"/>
        </w:rPr>
        <w:t xml:space="preserve">Por fim, pede ainda o Autor que – sob pena de nulidade, e na forma do </w:t>
      </w:r>
      <w:r>
        <w:rPr>
          <w:rFonts w:ascii="Roboto" w:hAnsi="Roboto" w:cs="Arial"/>
          <w:sz w:val="23"/>
          <w:szCs w:val="23"/>
        </w:rPr>
        <w:lastRenderedPageBreak/>
        <w:t xml:space="preserve">art. 272 §2º do CPC – as intimações e publicações referentes ao presente feito passem a ser realizadas exclusivamente em nome de LUIZ FERNANDO GARCIA LANDEIRO, </w:t>
      </w:r>
      <w:r>
        <w:rPr>
          <w:rFonts w:ascii="Roboto" w:hAnsi="Roboto" w:cs="Arial"/>
          <w:sz w:val="23"/>
          <w:szCs w:val="23"/>
          <w:highlight w:val="yellow"/>
        </w:rPr>
        <w:t>OAB/</w:t>
      </w:r>
      <w:r>
        <w:rPr>
          <w:rFonts w:ascii="Roboto" w:hAnsi="Roboto" w:cs="Arial"/>
          <w:sz w:val="23"/>
          <w:szCs w:val="23"/>
          <w:highlight w:val="yellow"/>
        </w:rPr>
        <w:t>SP 459.099</w:t>
      </w:r>
    </w:p>
    <w:p w14:paraId="770F4879" w14:textId="77777777">
      <w:pPr>
        <w:widowControl w:val="0"/>
        <w:spacing w:line="276" w:lineRule="auto"/>
        <w:jc w:val="both"/>
        <w:rPr>
          <w:rFonts w:ascii="Roboto" w:hAnsi="Roboto" w:cs="Arial"/>
          <w:sz w:val="23"/>
          <w:szCs w:val="23"/>
        </w:rPr>
      </w:pPr>
    </w:p>
    <w:p w14:paraId="159203F3" w14:textId="4519CD19">
      <w:pPr>
        <w:tabs>
          <w:tab w:val="left" w:pos="1134"/>
          <w:tab w:val="left" w:pos="1560"/>
        </w:tabs>
        <w:spacing w:line="276" w:lineRule="auto"/>
        <w:jc w:val="both"/>
        <w:rPr>
          <w:rFonts w:ascii="Roboto" w:hAnsi="Roboto" w:cs="Arial"/>
          <w:sz w:val="23"/>
          <w:szCs w:val="23"/>
        </w:rPr>
      </w:pPr>
      <w:r>
        <w:rPr>
          <w:rFonts w:ascii="Roboto" w:hAnsi="Roboto" w:cs="Arial"/>
          <w:sz w:val="23"/>
          <w:szCs w:val="23"/>
        </w:rPr>
        <w:t xml:space="preserve">Dá-se à causa o valor de </w:t>
      </w:r>
      <w:r>
        <w:rPr>
          <w:rFonts w:ascii="Roboto" w:hAnsi="Roboto" w:cs="Arial"/>
          <w:sz w:val="23"/>
          <w:szCs w:val="23"/>
          <w:highlight w:val="yellow"/>
        </w:rPr>
        <w:t>R$</w:t>
      </w:r>
      <w:r>
        <w:rPr>
          <w:rFonts w:ascii="Roboto" w:hAnsi="Roboto" w:cs="Arial"/>
          <w:sz w:val="23"/>
          <w:szCs w:val="23"/>
        </w:rPr>
        <w:t xml:space="preserve"> </w:t>
      </w:r>
    </w:p>
    <w:p w14:paraId="18F80188" w14:textId="77777777">
      <w:pPr>
        <w:tabs>
          <w:tab w:val="left" w:pos="1134"/>
          <w:tab w:val="left" w:pos="1560"/>
        </w:tabs>
        <w:spacing w:line="276" w:lineRule="auto"/>
        <w:jc w:val="both"/>
        <w:rPr>
          <w:rFonts w:ascii="Roboto" w:hAnsi="Roboto" w:cs="Arial"/>
          <w:sz w:val="23"/>
          <w:szCs w:val="23"/>
        </w:rPr>
      </w:pPr>
    </w:p>
    <w:p w14:paraId="1DAE4C5C" w14:textId="1E7EDF9C">
      <w:pPr>
        <w:widowControl w:val="0"/>
        <w:tabs>
          <w:tab w:val="left" w:pos="7290"/>
        </w:tabs>
        <w:spacing w:line="276" w:lineRule="auto"/>
        <w:jc w:val="both"/>
        <w:rPr>
          <w:rFonts w:ascii="Roboto" w:hAnsi="Roboto" w:cs="Arial"/>
          <w:sz w:val="23"/>
          <w:szCs w:val="23"/>
        </w:rPr>
      </w:pPr>
      <w:r>
        <w:rPr>
          <w:rFonts w:ascii="Roboto" w:hAnsi="Roboto" w:cs="Arial"/>
          <w:sz w:val="23"/>
          <w:szCs w:val="23"/>
        </w:rPr>
        <w:t>Termos em que</w:t>
      </w:r>
      <w:r>
        <w:rPr>
          <w:rFonts w:ascii="Roboto" w:hAnsi="Roboto" w:cs="Arial"/>
          <w:sz w:val="23"/>
          <w:szCs w:val="23"/>
        </w:rPr>
        <w:tab/>
      </w:r>
    </w:p>
    <w:p w14:paraId="42B4190C" w14:textId="77777777">
      <w:pPr>
        <w:widowControl w:val="0"/>
        <w:spacing w:line="276" w:lineRule="auto"/>
        <w:jc w:val="both"/>
        <w:rPr>
          <w:rFonts w:ascii="Roboto" w:hAnsi="Roboto" w:cs="Arial"/>
          <w:sz w:val="23"/>
          <w:szCs w:val="23"/>
        </w:rPr>
      </w:pPr>
      <w:r>
        <w:rPr>
          <w:rFonts w:ascii="Roboto" w:hAnsi="Roboto" w:cs="Arial"/>
          <w:sz w:val="23"/>
          <w:szCs w:val="23"/>
        </w:rPr>
        <w:t>Pede deferimento.</w:t>
      </w:r>
    </w:p>
    <w:p w14:paraId="1231C0F9" w14:textId="77777777">
      <w:pPr>
        <w:widowControl w:val="0"/>
        <w:spacing w:line="276" w:lineRule="auto"/>
        <w:jc w:val="both"/>
        <w:rPr>
          <w:rFonts w:ascii="Roboto" w:hAnsi="Roboto" w:cs="Arial"/>
          <w:sz w:val="23"/>
          <w:szCs w:val="23"/>
        </w:rPr>
      </w:pPr>
    </w:p>
    <w:p w14:paraId="19C4BB3E" w14:textId="254BB476">
      <w:pPr>
        <w:widowControl w:val="0"/>
        <w:spacing w:line="276" w:lineRule="auto"/>
        <w:jc w:val="both"/>
        <w:rPr>
          <w:rFonts w:ascii="Roboto" w:hAnsi="Roboto" w:cs="Arial"/>
          <w:sz w:val="23"/>
          <w:szCs w:val="23"/>
        </w:rPr>
      </w:pPr>
      <w:r>
        <w:rPr>
          <w:rFonts w:ascii="Roboto" w:hAnsi="Roboto" w:cs="Arial"/>
          <w:sz w:val="23"/>
          <w:szCs w:val="23"/>
          <w:highlight w:val="yellow"/>
        </w:rPr>
        <w:t>Salvador</w:t>
      </w:r>
      <w:r>
        <w:rPr>
          <w:rFonts w:ascii="Roboto" w:hAnsi="Roboto" w:cs="Arial"/>
          <w:sz w:val="23"/>
          <w:szCs w:val="23"/>
          <w:highlight w:val="yellow"/>
        </w:rPr>
        <w:t>/BA</w:t>
      </w:r>
      <w:r>
        <w:rPr>
          <w:rFonts w:ascii="Roboto" w:hAnsi="Roboto" w:cs="Arial"/>
          <w:sz w:val="23"/>
          <w:szCs w:val="23"/>
          <w:highlight w:val="yellow"/>
        </w:rPr>
        <w:t xml:space="preserve">, </w:t>
      </w:r>
      <w:r>
        <w:rPr>
          <w:rFonts w:ascii="Roboto" w:hAnsi="Roboto" w:cs="Arial"/>
          <w:sz w:val="23"/>
          <w:szCs w:val="23"/>
          <w:highlight w:val="yellow"/>
        </w:rPr>
        <w:t>1</w:t>
      </w:r>
      <w:r>
        <w:rPr>
          <w:rFonts w:ascii="Roboto" w:hAnsi="Roboto" w:cs="Arial"/>
          <w:sz w:val="23"/>
          <w:szCs w:val="23"/>
          <w:highlight w:val="yellow"/>
        </w:rPr>
        <w:t>7</w:t>
      </w:r>
      <w:r>
        <w:rPr>
          <w:rFonts w:ascii="Roboto" w:hAnsi="Roboto" w:cs="Arial"/>
          <w:sz w:val="23"/>
          <w:szCs w:val="23"/>
          <w:highlight w:val="yellow"/>
        </w:rPr>
        <w:t xml:space="preserve"> de </w:t>
      </w:r>
      <w:r>
        <w:rPr>
          <w:rFonts w:ascii="Roboto" w:hAnsi="Roboto" w:cs="Arial"/>
          <w:sz w:val="23"/>
          <w:szCs w:val="23"/>
          <w:highlight w:val="yellow"/>
        </w:rPr>
        <w:t>dezembro</w:t>
      </w:r>
      <w:r>
        <w:rPr>
          <w:rFonts w:ascii="Roboto" w:hAnsi="Roboto" w:cs="Arial"/>
          <w:sz w:val="23"/>
          <w:szCs w:val="23"/>
          <w:highlight w:val="yellow"/>
        </w:rPr>
        <w:t xml:space="preserve"> de 202</w:t>
      </w:r>
      <w:r>
        <w:rPr>
          <w:rFonts w:ascii="Roboto" w:hAnsi="Roboto" w:cs="Arial"/>
          <w:sz w:val="23"/>
          <w:szCs w:val="23"/>
          <w:highlight w:val="yellow"/>
        </w:rPr>
        <w:t>6</w:t>
      </w:r>
      <w:r>
        <w:rPr>
          <w:rFonts w:ascii="Roboto" w:hAnsi="Roboto" w:cs="Arial"/>
          <w:sz w:val="23"/>
          <w:szCs w:val="23"/>
          <w:highlight w:val="yellow"/>
        </w:rPr>
        <w:t>.</w:t>
      </w:r>
    </w:p>
    <w:p w14:paraId="2B500880" w14:textId="77777777">
      <w:pPr>
        <w:widowControl w:val="0"/>
        <w:spacing w:line="276" w:lineRule="auto"/>
        <w:jc w:val="both"/>
        <w:rPr>
          <w:rFonts w:ascii="Roboto" w:hAnsi="Roboto" w:cs="Arial"/>
          <w:sz w:val="23"/>
          <w:szCs w:val="23"/>
        </w:rPr>
      </w:pPr>
    </w:p>
    <w:p w14:paraId="3862DB36" w14:textId="77777777">
      <w:pPr>
        <w:widowControl w:val="0"/>
        <w:spacing w:line="276" w:lineRule="auto"/>
        <w:jc w:val="both"/>
        <w:rPr>
          <w:rFonts w:ascii="Roboto" w:hAnsi="Roboto" w:cs="Arial"/>
          <w:sz w:val="23"/>
          <w:szCs w:val="23"/>
        </w:rPr>
      </w:pPr>
      <w:r>
        <w:rPr>
          <w:rFonts w:ascii="Roboto" w:hAnsi="Roboto" w:cs="Arial"/>
          <w:sz w:val="23"/>
          <w:szCs w:val="23"/>
        </w:rPr>
        <w:t>LUIZ FERNANDO GARCIA LANDEIRO</w:t>
      </w:r>
      <w:r>
        <w:rPr>
          <w:rFonts w:ascii="Roboto" w:hAnsi="Roboto" w:cs="Arial"/>
          <w:sz w:val="23"/>
          <w:szCs w:val="23"/>
        </w:rPr>
        <w:t xml:space="preserve"> </w:t>
      </w:r>
    </w:p>
    <w:p w14:paraId="05499C71" w14:textId="19A26BF1">
      <w:pPr>
        <w:widowControl w:val="0"/>
        <w:spacing w:line="276" w:lineRule="auto"/>
        <w:jc w:val="both"/>
        <w:rPr>
          <w:rFonts w:ascii="Roboto" w:hAnsi="Roboto" w:cs="Arial"/>
          <w:sz w:val="23"/>
          <w:szCs w:val="23"/>
        </w:rPr>
      </w:pPr>
      <w:r>
        <w:rPr>
          <w:rFonts w:ascii="Roboto" w:hAnsi="Roboto" w:cs="Arial"/>
          <w:sz w:val="23"/>
          <w:szCs w:val="23"/>
          <w:highlight w:val="yellow"/>
        </w:rPr>
        <w:t>OAB/</w:t>
      </w:r>
      <w:r>
        <w:rPr>
          <w:rFonts w:ascii="Roboto" w:hAnsi="Roboto" w:cs="Arial"/>
          <w:sz w:val="23"/>
          <w:szCs w:val="23"/>
          <w:highlight w:val="yellow"/>
        </w:rPr>
        <w:t>SP 459.</w:t>
      </w:r>
      <w:r>
        <w:rPr>
          <w:rFonts w:ascii="Roboto" w:hAnsi="Roboto" w:cs="Arial"/>
          <w:sz w:val="23"/>
          <w:szCs w:val="23"/>
          <w:highlight w:val="yellow"/>
        </w:rPr>
        <w:t>099</w:t>
      </w:r>
    </w:p>
    <w:sectPr>
      <w:headerReference w:type="default" r:id="rId12"/>
      <w:footerReference w:type="default" r:id="rId13"/>
      <w:pgSz w:w="11906" w:h="16838"/>
      <w:pgMar w:top="1601" w:right="141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C94FC" w14:textId="77777777">
      <w:pPr>
        <w:spacing w:line="240" w:lineRule="auto"/>
      </w:pPr>
      <w:r>
        <w:separator/>
      </w:r>
    </w:p>
  </w:endnote>
  <w:endnote w:type="continuationSeparator" w:id="0">
    <w:p w14:paraId="43B204A7" w14:textId="77777777">
      <w:pPr>
        <w:spacing w:line="240" w:lineRule="auto"/>
      </w:pPr>
      <w:r>
        <w:continuationSeparator/>
      </w:r>
    </w:p>
  </w:endnote>
  <w:endnote w:type="continuationNotice" w:id="1">
    <w:p w14:paraId="27CD460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6377" w14:textId="77777777">
    <w:pPr>
      <w:spacing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Av. Tancredo Neves, nº 2.539 - </w:t>
    </w:r>
    <w:proofErr w:type="spellStart"/>
    <w:r>
      <w:rPr>
        <w:rFonts w:ascii="Calibri" w:eastAsia="Calibri" w:hAnsi="Calibri" w:cs="Calibri"/>
        <w:color w:val="000000" w:themeColor="text1"/>
        <w:sz w:val="20"/>
        <w:szCs w:val="20"/>
      </w:rPr>
      <w:t>Edf</w:t>
    </w:r>
    <w:proofErr w:type="spellEnd"/>
    <w:r>
      <w:rPr>
        <w:rFonts w:ascii="Calibri" w:eastAsia="Calibri" w:hAnsi="Calibri" w:cs="Calibri"/>
        <w:color w:val="000000" w:themeColor="text1"/>
        <w:sz w:val="20"/>
        <w:szCs w:val="20"/>
      </w:rPr>
      <w:t>. CEO Salvador Shopping - Torre Londres - Conj. 2901</w:t>
    </w:r>
  </w:p>
  <w:p w14:paraId="4190A864" w14:textId="77777777">
    <w:pPr>
      <w:spacing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Salvador - Bahia CEP 41820-021 - Telefone: (71) </w:t>
    </w:r>
    <w:r>
      <w:rPr>
        <w:rFonts w:ascii="Calibri" w:eastAsia="Calibri" w:hAnsi="Calibri" w:cs="Calibri"/>
        <w:color w:val="000000" w:themeColor="text1"/>
        <w:sz w:val="20"/>
        <w:szCs w:val="20"/>
      </w:rPr>
      <w:t>99628-4018</w:t>
    </w:r>
  </w:p>
  <w:p w14:paraId="6598EE33" w14:textId="77777777">
    <w:pPr>
      <w:spacing w:line="240" w:lineRule="auto"/>
      <w:jc w:val="both"/>
      <w:rPr>
        <w:rFonts w:ascii="Calibri" w:eastAsia="Calibri" w:hAnsi="Calibri" w:cs="Calibri"/>
        <w:color w:val="000000" w:themeColor="text1"/>
        <w:sz w:val="20"/>
        <w:szCs w:val="20"/>
      </w:rPr>
    </w:pPr>
    <w:hyperlink r:id="rId1" w:history="1">
      <w:r>
        <w:rPr>
          <w:rStyle w:val="Hyperlink"/>
          <w:rFonts w:ascii="Calibri" w:eastAsia="Calibri" w:hAnsi="Calibri" w:cs="Calibri"/>
          <w:sz w:val="20"/>
          <w:szCs w:val="20"/>
        </w:rPr>
        <w:t>contato@glcmadv.com.br</w:t>
      </w:r>
    </w:hyperlink>
    <w:r>
      <w:rPr>
        <w:rFonts w:ascii="Calibri" w:eastAsia="Calibri" w:hAnsi="Calibri" w:cs="Calibri"/>
        <w:color w:val="000000" w:themeColor="text1"/>
        <w:sz w:val="20"/>
        <w:szCs w:val="20"/>
      </w:rPr>
      <w:t xml:space="preserve">  - </w:t>
    </w:r>
    <w:hyperlink r:id="rId2" w:history="1">
      <w:r>
        <w:rPr>
          <w:rStyle w:val="Hyperlink"/>
          <w:rFonts w:ascii="Calibri" w:eastAsia="Calibri" w:hAnsi="Calibri" w:cs="Calibri"/>
          <w:sz w:val="20"/>
          <w:szCs w:val="20"/>
        </w:rPr>
        <w:t>www.glcmadv.com.br</w:t>
      </w:r>
    </w:hyperlink>
  </w:p>
  <w:p w14:paraId="36F70D9E" w14:textId="77777777">
    <w:pPr>
      <w:tabs>
        <w:tab w:val="center" w:pos="4252"/>
        <w:tab w:val="right" w:pos="8504"/>
      </w:tabs>
      <w:spacing w:line="240" w:lineRule="auto"/>
      <w:jc w:val="both"/>
      <w:rPr>
        <w:rFonts w:ascii="Calibri" w:eastAsia="Calibri" w:hAnsi="Calibri" w:cs="Calibri"/>
        <w:color w:val="000000" w:themeColor="text1"/>
        <w:sz w:val="22"/>
      </w:rPr>
    </w:pPr>
  </w:p>
  <w:sdt>
    <w:sdtPr>
      <w:rPr>
        <w:sz w:val="20"/>
        <w:szCs w:val="20"/>
      </w:rPr>
      <w:id w:val="-1226758153"/>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1825235E" w14:textId="4C213E58">
            <w:pPr>
              <w:pStyle w:val="Rodap"/>
              <w:jc w:val="right"/>
              <w:rPr>
                <w:sz w:val="20"/>
                <w:szCs w:val="20"/>
              </w:rPr>
            </w:pPr>
            <w:r>
              <w:rPr>
                <w:sz w:val="20"/>
                <w:szCs w:val="20"/>
              </w:rPr>
              <w:t xml:space="preserve">Página </w:t>
            </w:r>
            <w:r>
              <w:rPr>
                <w:b/>
                <w:bCs/>
                <w:sz w:val="20"/>
                <w:szCs w:val="20"/>
              </w:rPr>
              <w:fldChar w:fldCharType="begin"/>
            </w:r>
            <w:r>
              <w:rPr>
                <w:b/>
                <w:bCs/>
                <w:sz w:val="20"/>
                <w:szCs w:val="20"/>
              </w:rPr>
              <w:instrText>PAGE</w:instrText>
            </w:r>
            <w:r>
              <w:rPr>
                <w:b/>
                <w:bCs/>
                <w:sz w:val="20"/>
                <w:szCs w:val="20"/>
              </w:rPr>
              <w:fldChar w:fldCharType="separate"/>
            </w:r>
            <w:r>
              <w:rPr>
                <w:b/>
                <w:bCs/>
                <w:noProof/>
                <w:sz w:val="20"/>
                <w:szCs w:val="20"/>
              </w:rPr>
              <w:t>1</w:t>
            </w:r>
            <w:r>
              <w:rPr>
                <w:b/>
                <w:bCs/>
                <w:sz w:val="20"/>
                <w:szCs w:val="20"/>
              </w:rPr>
              <w:fldChar w:fldCharType="end"/>
            </w:r>
            <w:r>
              <w:rPr>
                <w:sz w:val="20"/>
                <w:szCs w:val="20"/>
              </w:rPr>
              <w:t xml:space="preserve"> de </w:t>
            </w:r>
            <w:r>
              <w:rPr>
                <w:b/>
                <w:bCs/>
                <w:sz w:val="20"/>
                <w:szCs w:val="20"/>
              </w:rPr>
              <w:fldChar w:fldCharType="begin"/>
            </w:r>
            <w:r>
              <w:rPr>
                <w:b/>
                <w:bCs/>
                <w:sz w:val="20"/>
                <w:szCs w:val="20"/>
              </w:rPr>
              <w:instrText>NUMPAGES</w:instrText>
            </w:r>
            <w:r>
              <w:rPr>
                <w:b/>
                <w:bCs/>
                <w:sz w:val="20"/>
                <w:szCs w:val="20"/>
              </w:rPr>
              <w:fldChar w:fldCharType="separate"/>
            </w:r>
            <w:r>
              <w:rPr>
                <w:b/>
                <w:bCs/>
                <w:noProof/>
                <w:sz w:val="20"/>
                <w:szCs w:val="20"/>
              </w:rPr>
              <w:t>17</w:t>
            </w:r>
            <w:r>
              <w:rPr>
                <w:b/>
                <w:bCs/>
                <w:sz w:val="20"/>
                <w:szCs w:val="20"/>
              </w:rPr>
              <w:fldChar w:fldCharType="end"/>
            </w:r>
          </w:p>
        </w:sdtContent>
      </w:sdt>
    </w:sdtContent>
  </w:sdt>
  <w:p w14:paraId="4DE01F07" w14:textId="3756D182">
    <w:pPr>
      <w:pStyle w:val="Rodap"/>
      <w:ind w:firstLine="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77B3" w14:textId="77777777">
      <w:pPr>
        <w:spacing w:line="240" w:lineRule="auto"/>
      </w:pPr>
      <w:r>
        <w:separator/>
      </w:r>
    </w:p>
  </w:footnote>
  <w:footnote w:type="continuationSeparator" w:id="0">
    <w:p w14:paraId="41A269EE" w14:textId="77777777">
      <w:pPr>
        <w:spacing w:line="240" w:lineRule="auto"/>
      </w:pPr>
      <w:r>
        <w:continuationSeparator/>
      </w:r>
    </w:p>
  </w:footnote>
  <w:footnote w:type="continuationNotice" w:id="1">
    <w:p w14:paraId="74BBD344" w14:textId="77777777">
      <w:pPr>
        <w:spacing w:line="240" w:lineRule="auto"/>
      </w:pPr>
    </w:p>
  </w:footnote>
  <w:footnote w:id="2">
    <w:p w14:paraId="6AF0A5EE" w14:textId="77777777">
      <w:pPr>
        <w:spacing w:line="240" w:lineRule="auto"/>
        <w:ind w:firstLine="0"/>
        <w:jc w:val="both"/>
        <w:rPr>
          <w:rFonts w:ascii="Roboto" w:hAnsi="Roboto" w:cs="Arial"/>
          <w:sz w:val="20"/>
          <w:szCs w:val="20"/>
        </w:rPr>
      </w:pPr>
      <w:r>
        <w:rPr>
          <w:rStyle w:val="Refdenotaderodap"/>
          <w:rFonts w:ascii="Roboto" w:hAnsi="Roboto" w:cs="Arial"/>
          <w:sz w:val="20"/>
          <w:szCs w:val="20"/>
        </w:rPr>
        <w:footnoteRef/>
      </w:r>
      <w:r>
        <w:rPr>
          <w:rFonts w:ascii="Roboto" w:hAnsi="Roboto" w:cs="Arial"/>
          <w:sz w:val="20"/>
          <w:szCs w:val="20"/>
        </w:rPr>
        <w:t xml:space="preserve"> TRIBUTÁRIO. RECURSO ESPECIAL. AÇÃO DE REPETIÇÃO DE INDÉBITO REFERENTE AO IMPOSTO DE RENDA. TERMO INICIAL DO PRAZO PRESCRICIONAL QUINQUENAL. DATA DO PAGAMENTO REALIZADO APÓS A ENTREGA DA DECLARAÇÃO ANUAL DE AJUSTE DO IMPOSTO DE RENDA. JURISPRUDÊNCIA DO STJ.</w:t>
      </w:r>
    </w:p>
    <w:p w14:paraId="2D1A8530" w14:textId="77777777">
      <w:pPr>
        <w:spacing w:line="240" w:lineRule="auto"/>
        <w:ind w:firstLine="0"/>
        <w:jc w:val="both"/>
        <w:rPr>
          <w:rFonts w:ascii="Roboto" w:hAnsi="Roboto" w:cs="Arial"/>
          <w:sz w:val="20"/>
          <w:szCs w:val="20"/>
        </w:rPr>
      </w:pPr>
      <w:r>
        <w:rPr>
          <w:rFonts w:ascii="Roboto" w:hAnsi="Roboto" w:cs="Arial"/>
          <w:sz w:val="20"/>
          <w:szCs w:val="20"/>
        </w:rPr>
        <w:t xml:space="preserve">1. O Tribunal de origem decretou a prescrição adotando como termo inicial a data da retenção indevida. No entanto, </w:t>
      </w:r>
      <w:r>
        <w:rPr>
          <w:rFonts w:ascii="Roboto" w:hAnsi="Roboto" w:cs="Arial"/>
          <w:b/>
          <w:sz w:val="20"/>
          <w:szCs w:val="20"/>
        </w:rPr>
        <w:t>na forma da jurisprudência do STJ, "a prescrição da ação de repetição do indébito tributário flui a partir do pagamento realizado após a declaração anual de ajuste do imposto de renda e não a partir da retenção na fonte (antecipação)</w:t>
      </w:r>
      <w:r>
        <w:rPr>
          <w:rFonts w:ascii="Roboto" w:hAnsi="Roboto" w:cs="Arial"/>
          <w:sz w:val="20"/>
          <w:szCs w:val="20"/>
        </w:rPr>
        <w:t>" (AgRg no REsp 1.533.840/PR, Segunda Turma, Rel. Min. Mauro Campbell Marques, DJe 28.9.2015). No mesmo sentido: AgRg no REsp 1.276.535/RS, Rel. Ministra Assusete Magalhães, Segunda Turma, DJe 13.5.2016.</w:t>
      </w:r>
    </w:p>
    <w:p w14:paraId="6D74414D" w14:textId="77777777">
      <w:pPr>
        <w:spacing w:line="240" w:lineRule="auto"/>
        <w:ind w:firstLine="0"/>
        <w:jc w:val="both"/>
        <w:rPr>
          <w:rFonts w:ascii="Roboto" w:hAnsi="Roboto" w:cs="Arial"/>
          <w:sz w:val="20"/>
          <w:szCs w:val="20"/>
        </w:rPr>
      </w:pPr>
      <w:r>
        <w:rPr>
          <w:rFonts w:ascii="Roboto" w:hAnsi="Roboto" w:cs="Arial"/>
          <w:sz w:val="20"/>
          <w:szCs w:val="20"/>
        </w:rPr>
        <w:t>2. Assim, o prazo para postular a repetição de indébito tributário federal é de cinco anos a contar do pagamento indevido. Na hipótese dos autos, o acórdão recorrido reconhece que a declaração não foi entregue antes de fevereiro de 2005.</w:t>
      </w:r>
    </w:p>
    <w:p w14:paraId="1FFA1006" w14:textId="4169ADDD">
      <w:pPr>
        <w:spacing w:line="240" w:lineRule="auto"/>
        <w:ind w:firstLine="0"/>
        <w:jc w:val="both"/>
        <w:rPr>
          <w:rFonts w:ascii="Roboto" w:hAnsi="Roboto" w:cs="Arial"/>
          <w:sz w:val="20"/>
          <w:szCs w:val="20"/>
        </w:rPr>
      </w:pPr>
      <w:r>
        <w:rPr>
          <w:rFonts w:ascii="Roboto" w:hAnsi="Roboto" w:cs="Arial"/>
          <w:sz w:val="20"/>
          <w:szCs w:val="20"/>
        </w:rPr>
        <w:t>3. Como a declaração foi entregue em menos de cinco anos antes do ajuizamento presente da demanda, em janeiro de 2010, conclui-se que o direito do contribuinte não está prescrito, nos termos da fundamentação supra.</w:t>
      </w:r>
    </w:p>
    <w:p w14:paraId="57458321" w14:textId="77777777">
      <w:pPr>
        <w:spacing w:line="240" w:lineRule="auto"/>
        <w:ind w:firstLine="0"/>
        <w:jc w:val="both"/>
        <w:rPr>
          <w:rFonts w:ascii="Roboto" w:hAnsi="Roboto" w:cs="Arial"/>
          <w:sz w:val="20"/>
          <w:szCs w:val="20"/>
        </w:rPr>
      </w:pPr>
      <w:r>
        <w:rPr>
          <w:rFonts w:ascii="Roboto" w:hAnsi="Roboto" w:cs="Arial"/>
          <w:sz w:val="20"/>
          <w:szCs w:val="20"/>
        </w:rPr>
        <w:t>4. Recurso Especial provido.</w:t>
      </w:r>
    </w:p>
    <w:p w14:paraId="20C477BC" w14:textId="77777777">
      <w:pPr>
        <w:spacing w:line="240" w:lineRule="auto"/>
        <w:ind w:firstLine="0"/>
        <w:jc w:val="both"/>
        <w:rPr>
          <w:rFonts w:ascii="Roboto" w:hAnsi="Roboto" w:cs="Arial"/>
          <w:sz w:val="20"/>
          <w:szCs w:val="20"/>
        </w:rPr>
      </w:pPr>
      <w:r>
        <w:rPr>
          <w:rFonts w:ascii="Roboto" w:hAnsi="Roboto" w:cs="Arial"/>
          <w:sz w:val="20"/>
          <w:szCs w:val="20"/>
        </w:rPr>
        <w:t>(RESP - RECURSO ESPECIAL - 1845450 2019.03.19426-1, HERMAN BENJAMIN, STJ - SEGUNDA TURMA, DJE DATA:19/12/2019 ..DTPB:.)</w:t>
      </w:r>
    </w:p>
    <w:p w14:paraId="2C322C9B" w14:textId="77777777">
      <w:pPr>
        <w:spacing w:line="240" w:lineRule="auto"/>
        <w:jc w:val="both"/>
        <w:rPr>
          <w:rFonts w:ascii="Roboto" w:hAnsi="Roboto" w:cs="Arial"/>
          <w:sz w:val="20"/>
          <w:szCs w:val="20"/>
        </w:rPr>
      </w:pPr>
    </w:p>
    <w:p w14:paraId="1BE610D3" w14:textId="77777777">
      <w:pPr>
        <w:spacing w:line="240" w:lineRule="auto"/>
        <w:ind w:firstLine="0"/>
        <w:jc w:val="both"/>
        <w:rPr>
          <w:rFonts w:ascii="Roboto" w:hAnsi="Roboto" w:cs="Arial"/>
          <w:sz w:val="20"/>
          <w:szCs w:val="20"/>
        </w:rPr>
      </w:pPr>
      <w:r>
        <w:rPr>
          <w:rFonts w:ascii="Roboto" w:hAnsi="Roboto" w:cs="Arial"/>
          <w:sz w:val="20"/>
          <w:szCs w:val="20"/>
        </w:rPr>
        <w:t>TRIBUTÁRIO. AGRAVO REGIMENTAL NO RECURSO ESPECIAL. AÇÃO DE REPETIÇÃO DE INDÉBITO REFERENTE AO IMPOSTO DE RENDA. HIPÓTESE EM QUE HOUVE A RETENÇÃO DO IMPOSTO, PELA FONTE PAGADORA, A TÍTULO DE ANTECIPAÇÃO. TERMO INICIAL DO PRAZO PRESCRICIONAL QUINQUENAL. DATA DO PAGAMENTO REALIZADO APÓS A ENTREGA DA DECLARAÇÃO ANUAL DE AJUSTE DO IMPOSTO DE RENDA. DECISÃO AGRAVADA EM CONSONÂNCIA COM A ATUAL JURISPRUDÊNCIA DO STJ. AGRAVO REGIMENTAL IMPROVIDO.</w:t>
      </w:r>
    </w:p>
    <w:p w14:paraId="64203250" w14:textId="77777777">
      <w:pPr>
        <w:spacing w:line="240" w:lineRule="auto"/>
        <w:ind w:firstLine="0"/>
        <w:jc w:val="both"/>
        <w:rPr>
          <w:rFonts w:ascii="Roboto" w:hAnsi="Roboto" w:cs="Arial"/>
          <w:sz w:val="20"/>
          <w:szCs w:val="20"/>
        </w:rPr>
      </w:pPr>
      <w:r>
        <w:rPr>
          <w:rFonts w:ascii="Roboto" w:hAnsi="Roboto" w:cs="Arial"/>
          <w:sz w:val="20"/>
          <w:szCs w:val="20"/>
        </w:rPr>
        <w:t>I. Agravo Regimental interposto em 29/09/2015, contra decisão publicada em 24/09/2015.</w:t>
      </w:r>
    </w:p>
    <w:p w14:paraId="423701BA" w14:textId="77777777">
      <w:pPr>
        <w:spacing w:line="240" w:lineRule="auto"/>
        <w:ind w:firstLine="0"/>
        <w:jc w:val="both"/>
        <w:rPr>
          <w:rFonts w:ascii="Roboto" w:hAnsi="Roboto" w:cs="Arial"/>
          <w:sz w:val="20"/>
          <w:szCs w:val="20"/>
        </w:rPr>
      </w:pPr>
      <w:r>
        <w:rPr>
          <w:rFonts w:ascii="Roboto" w:hAnsi="Roboto" w:cs="Arial"/>
          <w:sz w:val="20"/>
          <w:szCs w:val="20"/>
        </w:rPr>
        <w:t>II. Consoante a jurisprudência do STF e do STJ, para as ações de repetição de indébito, relativas a tributos sujeitos a lançamento por homologação, ajuizadas a partir de 09/06/2005, deve ser aplicado o prazo prescricional quinquenal previsto no art. 3º da Lei Complementar 118/2005, ou seja, prazo de cinco anos, com termo inicial na data do pagamento. Já para as ações ajuizadas antes de 09/06/2005, deve ser aplicado o entendimento anterior, que permitia a cumulação do prazo do art. 150, § 4º, com o do art. 168, I, do CTN (denominada tese dos 5+5).</w:t>
      </w:r>
    </w:p>
    <w:p w14:paraId="534A0E2B" w14:textId="77777777">
      <w:pPr>
        <w:spacing w:line="240" w:lineRule="auto"/>
        <w:ind w:firstLine="0"/>
        <w:jc w:val="both"/>
        <w:rPr>
          <w:rFonts w:ascii="Roboto" w:hAnsi="Roboto" w:cs="Arial"/>
          <w:sz w:val="20"/>
          <w:szCs w:val="20"/>
        </w:rPr>
      </w:pPr>
      <w:r>
        <w:rPr>
          <w:rFonts w:ascii="Roboto" w:hAnsi="Roboto" w:cs="Arial"/>
          <w:sz w:val="20"/>
          <w:szCs w:val="20"/>
        </w:rPr>
        <w:t>III. Numa linha de entendimento compatível com o art. 9º do Decreto-lei 94/96, reproduzido pelo art. 837 do Decreto 3.000/99, a Segunda Turma do STJ, ao julgar o Recurso Especial 136.553/RS (Rel. p/ acórdão Ministro ALDIR PASSARINHO JUNIOR, DJU de 05/02/2001), deixou consignado que "o contribuinte, onerado com o desconto ilegal do imposto de renda na fonte, não tem, ipso facto, direito à respectiva devolução, se já decorrido o ano-base; precisa, para esse efeito, apresentar a declaração anual do ajuste, a qual esclarecerá se tudo quanto lhe foi descontado na fonte constitui indébito tributário, ou se parte disso representou antecipação do imposto de renda devido".</w:t>
      </w:r>
    </w:p>
    <w:p w14:paraId="5B0E5A0A" w14:textId="77777777">
      <w:pPr>
        <w:spacing w:line="240" w:lineRule="auto"/>
        <w:ind w:firstLine="0"/>
        <w:jc w:val="both"/>
        <w:rPr>
          <w:rFonts w:ascii="Roboto" w:hAnsi="Roboto" w:cs="Arial"/>
          <w:sz w:val="20"/>
          <w:szCs w:val="20"/>
        </w:rPr>
      </w:pPr>
      <w:r>
        <w:rPr>
          <w:rFonts w:ascii="Roboto" w:hAnsi="Roboto" w:cs="Arial"/>
          <w:sz w:val="20"/>
          <w:szCs w:val="20"/>
        </w:rPr>
        <w:t xml:space="preserve">IV. A Segunda Turma do STJ, a partir do julgamento do REsp 1.472.182/PR (Rel. Ministro MAURO CAMPBELL MARQUES, DJe de 01/07/2015), endossou a orientação firmada, pela Primeira Turma desta Corte, nos EDcl nos EDcl nos EDcl no REsp 1.233.176/PR (Rel. Ministro ARI PARGENDLER, PRIMEIRA TURMA, DJe de 27/11/2013), no sentido de que </w:t>
      </w:r>
      <w:r>
        <w:rPr>
          <w:rFonts w:ascii="Roboto" w:hAnsi="Roboto" w:cs="Arial"/>
          <w:b/>
          <w:sz w:val="20"/>
          <w:szCs w:val="20"/>
        </w:rPr>
        <w:t>a retenção do imposto de renda, pela fonte pagadora, não se assimila ao pagamento antecipado, aludido no § 1º do art. 150 do CTN. A quantia retida, pela fonte pagadora, não tem o efeito de pagamento, até porque toda ou parte dela poderá ser objeto de restituição, dependendo da declaração de ajuste anual. Assim, a prescrição da ação de repetição do indébito tributário flui a partir do pagamento realizado após a declaração anual de ajuste do imposto de renda</w:t>
      </w:r>
      <w:r>
        <w:rPr>
          <w:rFonts w:ascii="Roboto" w:hAnsi="Roboto" w:cs="Arial"/>
          <w:sz w:val="20"/>
          <w:szCs w:val="20"/>
        </w:rPr>
        <w:t>, dito pagamento antecipado, porque se dá sem prévio exame da autoridade administrativa acerca da respectiva correção (CTN, art. 150, caput).</w:t>
      </w:r>
    </w:p>
    <w:p w14:paraId="50A12A57" w14:textId="77777777">
      <w:pPr>
        <w:spacing w:line="240" w:lineRule="auto"/>
        <w:ind w:firstLine="0"/>
        <w:jc w:val="both"/>
        <w:rPr>
          <w:rFonts w:ascii="Roboto" w:hAnsi="Roboto" w:cs="Arial"/>
          <w:sz w:val="20"/>
          <w:szCs w:val="20"/>
        </w:rPr>
      </w:pPr>
      <w:r>
        <w:rPr>
          <w:rFonts w:ascii="Roboto" w:hAnsi="Roboto" w:cs="Arial"/>
          <w:sz w:val="20"/>
          <w:szCs w:val="20"/>
        </w:rPr>
        <w:t>V. Com efeito, no aludido REsp 1.472.182/PR, a Segunda Turma do STJ decidiu que, "ressalvados os casos em que o recolhimento do tributo é feito exclusivamente pela retenção na fonte (rendimentos sujeitos a tributação exclusiva/definitiva), que não admite compensação ou abatimento com os valores apurados ao final do período, a prescrição da ação de repetição do indébito tributário flui a partir do pagamento realizado após a declaração anual de ajuste do imposto de renda e não a partir da retenção na fonte (antecipação). Precedente: EDcl nos EDcl nos EDcl no REsp 1.233.176/PR, Primeira Turma, Rel. Min. Ari Pargendler, julgado em 21/11/2013, DJe 27/11/2013" (STJ, REsp 1.472.182/PR, Rel. Ministro MAURO CAMPBELL MARQUES, SEGUNDA TURMA, DJe de 01/07/2015).</w:t>
      </w:r>
    </w:p>
    <w:p w14:paraId="51E23D59" w14:textId="77777777">
      <w:pPr>
        <w:spacing w:line="240" w:lineRule="auto"/>
        <w:ind w:firstLine="0"/>
        <w:jc w:val="both"/>
        <w:rPr>
          <w:rFonts w:ascii="Roboto" w:hAnsi="Roboto" w:cs="Arial"/>
          <w:sz w:val="20"/>
          <w:szCs w:val="20"/>
        </w:rPr>
      </w:pPr>
      <w:r>
        <w:rPr>
          <w:rFonts w:ascii="Roboto" w:hAnsi="Roboto" w:cs="Arial"/>
          <w:sz w:val="20"/>
          <w:szCs w:val="20"/>
        </w:rPr>
        <w:t>VI. Na presente Ação de Repetição de Indébito, em que a petição inicial foi ajuizada em 08/10/2009, o contribuinte pleiteia a restituição do imposto de renda retido na fonte, a título de antecipação, e recolhido aos cofres públicos, pela fonte pagadora, em 15/09/2004. Logo, o direito de pleitear a restituição do mencionado imposto, por meio desta Ação, não se encontra atingido pela prescrição.</w:t>
      </w:r>
    </w:p>
    <w:p w14:paraId="6F584ED4" w14:textId="77777777">
      <w:pPr>
        <w:spacing w:line="240" w:lineRule="auto"/>
        <w:ind w:firstLine="0"/>
        <w:jc w:val="both"/>
        <w:rPr>
          <w:rFonts w:ascii="Roboto" w:hAnsi="Roboto" w:cs="Arial"/>
          <w:sz w:val="20"/>
          <w:szCs w:val="20"/>
        </w:rPr>
      </w:pPr>
      <w:r>
        <w:rPr>
          <w:rFonts w:ascii="Roboto" w:hAnsi="Roboto" w:cs="Arial"/>
          <w:sz w:val="20"/>
          <w:szCs w:val="20"/>
        </w:rPr>
        <w:t>VII. Agravo Regimental improvido.</w:t>
      </w:r>
    </w:p>
    <w:p w14:paraId="29D51081" w14:textId="77777777">
      <w:pPr>
        <w:spacing w:line="240" w:lineRule="auto"/>
        <w:ind w:firstLine="0"/>
        <w:jc w:val="both"/>
        <w:rPr>
          <w:rFonts w:ascii="Roboto" w:hAnsi="Roboto" w:cs="Arial"/>
          <w:sz w:val="20"/>
          <w:szCs w:val="20"/>
        </w:rPr>
      </w:pPr>
      <w:r>
        <w:rPr>
          <w:rFonts w:ascii="Roboto" w:hAnsi="Roboto" w:cs="Arial"/>
          <w:sz w:val="20"/>
          <w:szCs w:val="20"/>
        </w:rPr>
        <w:t>(AGRESP - AGRAVO REGIMENTAL NO RECURSO ESPECIAL - 1276535 2011.02.13453-0, ASSUSETE MAGALHÃES, STJ - SEGUNDA TURMA, DJE DATA:13/05/2016 ..DTPB:.)</w:t>
      </w:r>
    </w:p>
    <w:p w14:paraId="50B21D7A" w14:textId="77777777">
      <w:pPr>
        <w:spacing w:line="240" w:lineRule="auto"/>
        <w:jc w:val="both"/>
        <w:rPr>
          <w:rFonts w:ascii="Roboto" w:hAnsi="Roboto" w:cs="Arial"/>
          <w:sz w:val="20"/>
          <w:szCs w:val="20"/>
        </w:rPr>
      </w:pPr>
    </w:p>
    <w:p w14:paraId="5C21B6D9"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TRIBUTÁRIO. PRAZO DE PRESCRIÇÃO PARA A REPETIÇÃO DE INDÉBITO NOS TRIBUTOS SUJEITOS A LANÇAMENTO POR HOMOLOGAÇÃO. ART. 3º, DA LC 118/2005. TERMO INICIAL. IMPOSTO DE RENDA RETIDO NA FONTE - IRPF FONTE. DATA DA RETENÇÃO (ANTECIPAÇÃO) VS. DATA DO PAGAMENTO APÓS A ENTREGA DA DECLARAÇÃO. RENDIMENTOS NÃO SUJEITOS A TRIBUTAÇÃO EXCLUSIVA / DEFINITIVA.</w:t>
      </w:r>
    </w:p>
    <w:p w14:paraId="14708165"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1. Tanto o STF quanto o STJ entendem que para as ações de repetição de indébito relativas a tributos sujeitos a lançamento por homologação ajuizadas de 09.06.2005 em diante, deve ser aplicado o prazo prescricional quiquenal previsto no art. 3º, da Lei Complementar n. 118/2005, ou seja, prazo de cinco anos com termo inicial na data do pagamento. Já para as mesmas ações ajuizadas antes de 09.06.2005, deve ser aplicado o entendimento anterior que permitia a cumulação do prazo do art. 150, §4º com o do art. 168, I, do CTN (tese do 5+5). Precedentes: recurso representativo da controvérsia REsp. n. 1.269.570-MG, Primeira Seção, Rel. Min. Mauro Campbell Marques, julgado em 23.05.2012; e EREsp 1.265.939/SP, Corte Especial, Rel. Min. Nancy Andrighi, julgado em 01/08/2013, DJe 12/08/2013.</w:t>
      </w:r>
    </w:p>
    <w:p w14:paraId="3B20BC02"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2. Ressalvados os casos em que o recolhimento do tributo é feito exclusivamente pela retenção na fonte (rendimentos sujeitos a tributação exclusiva/definitiva), que não admite compensação ou abatimento com os valores apurados ao final do período, a prescrição da ação de repetição do indébito tributário flui a partir do pagamento realizado após a declaração anual de ajuste do imposto de renda e não a partir da retenção na fonte (antecipação). Precedente: EDcl nos EDcl nos EDcl no REsp. n. 1.233.176/PR, Primeira Turma, Rel. Min. Ari Pargendler, julgado em 21/11/2013, DJe 27/11/2013.</w:t>
      </w:r>
    </w:p>
    <w:p w14:paraId="71D97B08" w14:textId="77777777">
      <w:pPr>
        <w:spacing w:line="240" w:lineRule="auto"/>
        <w:ind w:firstLine="0"/>
        <w:jc w:val="both"/>
        <w:rPr>
          <w:rFonts w:ascii="Roboto" w:eastAsia="Arial" w:hAnsi="Roboto" w:cs="Arial"/>
          <w:sz w:val="20"/>
          <w:szCs w:val="20"/>
        </w:rPr>
      </w:pPr>
      <w:r>
        <w:rPr>
          <w:rFonts w:ascii="Roboto" w:eastAsia="Arial" w:hAnsi="Roboto" w:cs="Arial"/>
          <w:b/>
          <w:bCs/>
          <w:sz w:val="20"/>
          <w:szCs w:val="20"/>
        </w:rPr>
        <w:t>3. Caso em que o contribuinte ajuizou ação de repetição de indébito em 06.05.2011 postulando a restituição de IRPF indevidamente cobrado sobre verba de natureza indenizatória (PDV) recebida em 03.02.2006. Sabe-se que a declaração de ajuste é entregue em abril de 2007, ocasião em que também se dá o pagamento das diferenças. Desse modo, conta-se a partir daí o lustro prescricional, não estando prescrita a pretensão</w:t>
      </w:r>
      <w:r>
        <w:rPr>
          <w:rFonts w:ascii="Roboto" w:eastAsia="Arial" w:hAnsi="Roboto" w:cs="Arial"/>
          <w:sz w:val="20"/>
          <w:szCs w:val="20"/>
        </w:rPr>
        <w:t>.</w:t>
      </w:r>
    </w:p>
    <w:p w14:paraId="3F51C7BC"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4. Recurso especial provido.</w:t>
      </w:r>
    </w:p>
    <w:p w14:paraId="3F684B71"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(RESP - RECURSO ESPECIAL - 1472182 2014.01.90765-4, MAURO CAMPBELL MARQUES, STJ - SEGUNDA TURMA, DJE DATA:01/07/2015 ..DTPB:.)</w:t>
      </w:r>
    </w:p>
    <w:p w14:paraId="1F230738" w14:textId="77777777">
      <w:pPr>
        <w:spacing w:line="240" w:lineRule="auto"/>
        <w:jc w:val="both"/>
        <w:rPr>
          <w:rFonts w:ascii="Roboto" w:eastAsia="Arial" w:hAnsi="Roboto" w:cs="Arial"/>
          <w:sz w:val="20"/>
          <w:szCs w:val="20"/>
        </w:rPr>
      </w:pPr>
    </w:p>
    <w:p w14:paraId="1DD8A8AB"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TRIBUTÁRIO. PROCEDIMENTO COMUM. IMPOSTO DE RENDA PESSOA FÍSICA. RECLAMAÇÃO TRABALHISTA. VERBAS RESCISÓRIAS. INCIDÊNCIA SOBRE JUROS MORATÓRIOS. IMPOSSIBILIDADE. PRECEDENTES. RENDIMENTOS RECEBIDOS ACUMULADAMENTE. TABELAS E ALÍQUOTAS DA ÉPOCA EM QUE OS VALORES DEVERIAM TER SIDO PAGOS. PRECEDENTES. REPETIÇÃO DE INDÉBITO. PRESCRIÇÃO QUINQUENAL. TERMO INICIAL. DATA DA DECLARAÇÃO DO IMPOSTO DE RENDA REFERENTE AO ANO-BASE ANTERIOR. PRECEDENTES. ATUALIZAÇÃO MONETÁRIA CONFORME ORIENTAÇÕES DO MANUAL DE CÁLCULOS DA JUSTIÇA FEDERAL COMPENSAÇÃO DOS VALORES RESTITUÍDOS NA DECLARAÇÃO DE AJUSTE ANUAL. POSSIBILIDADE. PRECEDENTES. APELAÇÃO PARCIALMENTE CONHECIDA, E NESSA PARTE, NÃO PROVIDA. REMESSA OFICIAL PARCIALMENTE PROVIDA.</w:t>
      </w:r>
    </w:p>
    <w:p w14:paraId="1BCB59E0"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1. Deixo de conhecer da apelação da União (FN) quando requer seja tributada toda a renda auferida pela autora na reclamação trabalhista, pois a petição inicial não veiculou pedido para que fosse afastada a incidência do imposto de renda sobre essas verbas e, em consequência, não houve apreciação judicial acerca da matéria. Ausente, portanto, interesse recursal, nesse ponto.</w:t>
      </w:r>
    </w:p>
    <w:p w14:paraId="6343B13A"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2. Válida a aplicação do prazo prescricional de 5 (cinco) anos da Lei Complementar 118/2005 às ações ajuizadas a partir de 09/06/2005 (RE 566.621/RS, STF, Tribunal Pleno, Rel. Min. Ellen Gracie, repercussão geral, maioria, DJe 11/10/2011).</w:t>
      </w:r>
    </w:p>
    <w:p w14:paraId="36F2E985" w14:textId="77777777">
      <w:pPr>
        <w:spacing w:line="240" w:lineRule="auto"/>
        <w:ind w:firstLine="0"/>
        <w:jc w:val="both"/>
        <w:rPr>
          <w:rFonts w:ascii="Roboto" w:eastAsia="Arial" w:hAnsi="Roboto" w:cs="Arial"/>
          <w:b/>
          <w:bCs/>
          <w:sz w:val="20"/>
          <w:szCs w:val="20"/>
        </w:rPr>
      </w:pPr>
      <w:r>
        <w:rPr>
          <w:rFonts w:ascii="Roboto" w:eastAsia="Arial" w:hAnsi="Roboto" w:cs="Arial"/>
          <w:b/>
          <w:bCs/>
          <w:sz w:val="20"/>
          <w:szCs w:val="20"/>
        </w:rPr>
        <w:t>3. "Conforme decidiu a Segunda Turma, no REsp 1.472.182/PR, Rel. Min. Mauro Campbell Marques, o prazo prescricional de cinco anos para repetição de indébito tem início com a entrega da declaração anual de rendimentos e não a partir da retenção do imposto na fonte" (AgRg no REsp 1.538.478/RS, Segunda Turma, Rel. Min. Og Fernandes, unänime, DJe 14/09/2015).</w:t>
      </w:r>
    </w:p>
    <w:p w14:paraId="1FF558ED"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4. Ilegítima a cobrança do imposto de renda sobre o montante global dos rendimentos pagos acumuladamente, devendo ser calculado consoante tabelas e alíquotas vigentes ao tempo em que deveriam ter sido pagas as quantias recebidas em decorrência de demanda judicial. Precedente do STJ, na sistemática do art. 543-C do CPC/1973 (REsp 1.118.429/SP).</w:t>
      </w:r>
    </w:p>
    <w:p w14:paraId="22614C20"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5. Conforme entendimento do STJ, tratando-se de valores recebidos no contexto de rescisão de contrato de trabalho, em reclamatória trabalhista, é indevida a incidência do imposto de renda sobre os juros de mora (REsp 1.089.720/RS).</w:t>
      </w:r>
    </w:p>
    <w:p w14:paraId="09B21ACE"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6. Atualização monetária do indébito com observância do Manual de Cálculos da Justiça Federal.</w:t>
      </w:r>
    </w:p>
    <w:p w14:paraId="10BB06A3"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7. Apelação parcialmente conhecida e, nessa parte, não provida. Remessa oficial parcialmente provida.</w:t>
      </w:r>
    </w:p>
    <w:p w14:paraId="71FA5EB9"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(AC 0002099-74.2011.4.01.3400, DESEMBARGADOR FEDERAL MARCOS AUGUSTO DE SOUSA, TRF1 - OITAVA TURMA, e-DJF1 26/04/2019 PAG.)</w:t>
      </w:r>
    </w:p>
    <w:p w14:paraId="2D10D24C" w14:textId="77777777">
      <w:pPr>
        <w:spacing w:line="240" w:lineRule="auto"/>
        <w:jc w:val="both"/>
        <w:rPr>
          <w:rFonts w:ascii="Roboto" w:eastAsia="Arial" w:hAnsi="Roboto" w:cs="Arial"/>
          <w:sz w:val="20"/>
          <w:szCs w:val="20"/>
        </w:rPr>
      </w:pPr>
    </w:p>
    <w:p w14:paraId="79608772"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REPETIÇÃO DE INDÉBITO TRIBUTÁRIO. PRESCRIÇÃO. TERMO INICIAL. INTERRUPÇÃO. ART. 174 DO CTN. INAPLICÁVEL. IMPOSTO DE RENDA SOBRE VERBAS RECEBIDAS POR ADESÃO A PROGRAMA DE DEMISSÃO INCENTIVADA: NÃO INCIDÊNCIA.</w:t>
      </w:r>
    </w:p>
    <w:p w14:paraId="07391874"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1. O Superior Tribunal de Justiça vem entendendo no sentido da irrelevância da publicação da IN SRF nº 165/98 para a contagem do prazo prescricional/decadencial para a repetição do indébito tributário. Inaplicáveis, à hipótese de repetição de indébito tributário, as causas interruptivas previstas no art. 174 do CTN, que regem o prazo prescricional da ação para a cobrança do crédito tributário (execução fiscal), que não se confunde com a ação da parte em que se formula pedido de repetição do indébito.</w:t>
      </w:r>
    </w:p>
    <w:p w14:paraId="346BCD51"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2. Quanto à interpretação do art. 168 do CTN, havia sido consolidada, no Superior Tribunal de Justiça, a tese dos ?cinco mais cinco?, contando-se o prazo prescricional apenas a partir da homologação tácita do pagamento indevido. Já grande parte da doutrina e algumas jurisprudências contrárias entendiam que a contagem deveria ser feita a partir do próprio pagamento indevido, sem a necessidade de haver homologação.</w:t>
      </w:r>
    </w:p>
    <w:p w14:paraId="26B07897"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3. A Lei Complementar nº 118/2005 foi editada com o propósito de sedimentar a discussão, em sentido contrário ao defendido pelo Superior Tribunal de Justiça.</w:t>
      </w:r>
    </w:p>
    <w:p w14:paraId="5B0EFC5D"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4. O advento da referida lei causou impacto nos contribuintes, mormente com relação às suas expectativas quando do ingresso no Judiciário. Amparados na consolidada jurisprudência do Superior Tribunal de Justiça, os contribuintes formularam demandas que, em muitos casos, seriam desacolhidas pela ocorrência de prescrição, caso não adotada a referida orientação jurisprudencial. Foi trazida situação, pois, que não se compadece com os princípios da segurança jurídica e da isonomia, já que possibilitou a desigualdade de tratamento entre os contribuintes tomando por base, exclusivamente, a data de prolação da decisão.</w:t>
      </w:r>
    </w:p>
    <w:p w14:paraId="68F46EDF"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5. Atento a esse reflexo nas ações ajuizadas, o Superior Tribunal de Justiça veio a consolidar entendimento no sentido de que, malgrado o disposto no art. 4º da Lei Complementar nº 118/2005, sua aplicação não pode ser imediata, pois houve inovação no ordenamento jurídico.</w:t>
      </w:r>
    </w:p>
    <w:p w14:paraId="044E6138"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6. Com efeito, fica firmada a premissa de que a lei complementar em comento efetivamente causou situação de instabilidade em relação aos contribuintes.</w:t>
      </w:r>
    </w:p>
    <w:p w14:paraId="4DF44CA7"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7. Adoto, pois, o posicionamento do Superior Tribunal de Justiça, nesse contexto, fazendo uma interpretação conforme da norma do art. 4o da LC nº 118/2005, para deixar de aplicá-la retroativamente aos casos em que os contribuintes já haviam ajuizado ações até a data de sua vigência.</w:t>
      </w:r>
    </w:p>
    <w:p w14:paraId="302D7C0F" w14:textId="77777777">
      <w:pPr>
        <w:spacing w:line="240" w:lineRule="auto"/>
        <w:ind w:firstLine="0"/>
        <w:jc w:val="both"/>
        <w:rPr>
          <w:rFonts w:ascii="Roboto" w:eastAsia="Arial" w:hAnsi="Roboto" w:cs="Arial"/>
          <w:b/>
          <w:bCs/>
          <w:sz w:val="20"/>
          <w:szCs w:val="20"/>
        </w:rPr>
      </w:pPr>
      <w:r>
        <w:rPr>
          <w:rFonts w:ascii="Roboto" w:eastAsia="Arial" w:hAnsi="Roboto" w:cs="Arial"/>
          <w:b/>
          <w:bCs/>
          <w:sz w:val="20"/>
          <w:szCs w:val="20"/>
        </w:rPr>
        <w:t>8. Em se tratando de retenção na fonte, a homologação tácita irá se operar em relação à posterior declaração de ajuste do contribuinte, no tocante às verbas recebidas cujo valor foi retido na fonte. Destarte, a declaração de ajuste do contribuinte é que deverá ser levada em conta para a fixação do termo inicial da prescrição. Precedentes do STJ.</w:t>
      </w:r>
    </w:p>
    <w:p w14:paraId="5BFD19AC"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9. A indenização recebida pela adesão a programa de demissão voluntária não está sujeita à incidência do imposto de renda, em razão de não constituir essa verba acréscimo patrimonial de qualquer natureza ou renda. Aplicação da Súmula nº 215 do STJ.</w:t>
      </w:r>
    </w:p>
    <w:p w14:paraId="17CECD9A" w14:textId="4632872C">
      <w:pPr>
        <w:spacing w:line="240" w:lineRule="auto"/>
        <w:ind w:firstLine="0"/>
        <w:jc w:val="both"/>
        <w:rPr>
          <w:rFonts w:ascii="Roboto" w:eastAsia="Arial" w:hAnsi="Roboto" w:cs="Arial"/>
          <w:sz w:val="20"/>
          <w:szCs w:val="20"/>
        </w:rPr>
      </w:pPr>
      <w:r>
        <w:rPr>
          <w:rFonts w:ascii="Roboto" w:eastAsia="Arial" w:hAnsi="Roboto" w:cs="Arial"/>
          <w:sz w:val="20"/>
          <w:szCs w:val="20"/>
        </w:rPr>
        <w:t>10. Incidência de correção monetária, desde os pagamentos indevidos, que deverá ser calculada elos seguintes índices, conforme orientação consolidada no STJ: a UFIR, a partir de janeiro/92 a dezembro/95; e a SELIC, de forma exclusiva, a partir de janeiro de 1996.</w:t>
      </w:r>
    </w:p>
    <w:p w14:paraId="73B258EB"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11. Remessa necessária e apelação improvidas.</w:t>
      </w:r>
    </w:p>
    <w:p w14:paraId="1C0A369F"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(APELREEX - APELAÇÃO / REEXAME NECESSÁRIO 0029180-87.2003.4.02.5101, LUIZ ANTONIO SOARES, TRF2.)</w:t>
      </w:r>
    </w:p>
    <w:p w14:paraId="4EDE1FFE" w14:textId="77777777">
      <w:pPr>
        <w:spacing w:line="240" w:lineRule="auto"/>
        <w:jc w:val="both"/>
        <w:rPr>
          <w:rFonts w:ascii="Roboto" w:eastAsia="Arial" w:hAnsi="Roboto" w:cs="Arial"/>
          <w:sz w:val="20"/>
          <w:szCs w:val="20"/>
        </w:rPr>
      </w:pPr>
    </w:p>
    <w:p w14:paraId="3A7E2FE3" w14:textId="77777777">
      <w:pPr>
        <w:spacing w:line="240" w:lineRule="auto"/>
        <w:ind w:firstLine="0"/>
        <w:jc w:val="both"/>
        <w:rPr>
          <w:rFonts w:ascii="Roboto" w:eastAsia="Arial" w:hAnsi="Roboto" w:cs="Arial"/>
          <w:sz w:val="20"/>
          <w:szCs w:val="20"/>
        </w:rPr>
      </w:pPr>
      <w:r>
        <w:rPr>
          <w:rFonts w:ascii="Roboto" w:eastAsia="Arial" w:hAnsi="Roboto" w:cs="Arial"/>
          <w:sz w:val="20"/>
          <w:szCs w:val="20"/>
        </w:rPr>
        <w:t>(</w:t>
      </w:r>
      <w:r>
        <w:rPr>
          <w:rFonts w:ascii="Roboto" w:eastAsia="Arial" w:hAnsi="Roboto" w:cs="Arial"/>
          <w:b/>
          <w:bCs/>
          <w:sz w:val="20"/>
          <w:szCs w:val="20"/>
        </w:rPr>
        <w:t xml:space="preserve">negritos </w:t>
      </w:r>
      <w:r>
        <w:rPr>
          <w:rFonts w:ascii="Roboto" w:eastAsia="Arial" w:hAnsi="Roboto" w:cs="Arial"/>
          <w:sz w:val="20"/>
          <w:szCs w:val="20"/>
        </w:rPr>
        <w:t>não originais)</w:t>
      </w:r>
    </w:p>
    <w:p w14:paraId="15FFDE6D" w14:textId="77777777">
      <w:pPr>
        <w:jc w:val="both"/>
        <w:rPr>
          <w:rFonts w:ascii="Roboto" w:hAnsi="Roboto" w:cs="Arial"/>
          <w:sz w:val="20"/>
          <w:szCs w:val="20"/>
        </w:rPr>
      </w:pPr>
    </w:p>
    <w:p w14:paraId="1404AF9A" w14:textId="77777777">
      <w:pPr>
        <w:pStyle w:val="Textodenotaderodap"/>
        <w:jc w:val="both"/>
        <w:rPr>
          <w:rFonts w:ascii="Roboto" w:hAnsi="Roboto" w:cs="Arial"/>
        </w:rPr>
      </w:pPr>
    </w:p>
  </w:footnote>
  <w:footnote w:id="3">
    <w:p w14:paraId="12D15CAC" w14:textId="77777777">
      <w:pPr>
        <w:spacing w:line="240" w:lineRule="auto"/>
        <w:ind w:firstLine="0"/>
        <w:jc w:val="both"/>
        <w:rPr>
          <w:rFonts w:ascii="Roboto" w:hAnsi="Roboto" w:cs="Arial"/>
          <w:sz w:val="20"/>
          <w:szCs w:val="20"/>
        </w:rPr>
      </w:pPr>
      <w:r>
        <w:rPr>
          <w:rStyle w:val="Refdenotaderodap"/>
          <w:rFonts w:ascii="Roboto" w:hAnsi="Roboto" w:cs="Arial"/>
          <w:sz w:val="20"/>
          <w:szCs w:val="20"/>
        </w:rPr>
        <w:footnoteRef/>
      </w:r>
      <w:r>
        <w:rPr>
          <w:rFonts w:ascii="Roboto" w:hAnsi="Roboto" w:cs="Arial"/>
          <w:sz w:val="20"/>
          <w:szCs w:val="20"/>
        </w:rPr>
        <w:t xml:space="preserve"> Art. 43. O imposto, de competência da União, sobre a renda e proventos de qualquer natureza tem como fato gerador a aquisição da disponibilidade econômica ou jurídica:</w:t>
      </w:r>
    </w:p>
    <w:p w14:paraId="04DCEF08" w14:textId="77777777">
      <w:pPr>
        <w:spacing w:line="240" w:lineRule="auto"/>
        <w:ind w:firstLine="0"/>
        <w:jc w:val="both"/>
        <w:rPr>
          <w:rFonts w:ascii="Roboto" w:hAnsi="Roboto" w:cs="Arial"/>
          <w:sz w:val="20"/>
          <w:szCs w:val="20"/>
        </w:rPr>
      </w:pPr>
      <w:r>
        <w:rPr>
          <w:rFonts w:ascii="Roboto" w:hAnsi="Roboto" w:cs="Arial"/>
          <w:sz w:val="20"/>
          <w:szCs w:val="20"/>
        </w:rPr>
        <w:t>I – de renda, assim entendido o produto do capital, do trabalho ou da combinação de ambos;</w:t>
      </w:r>
    </w:p>
    <w:p w14:paraId="2ACAB064" w14:textId="77777777">
      <w:pPr>
        <w:spacing w:line="240" w:lineRule="auto"/>
        <w:ind w:firstLine="0"/>
        <w:jc w:val="both"/>
        <w:rPr>
          <w:rFonts w:ascii="Roboto" w:hAnsi="Roboto" w:cs="Arial"/>
          <w:sz w:val="20"/>
          <w:szCs w:val="20"/>
        </w:rPr>
      </w:pPr>
      <w:r>
        <w:rPr>
          <w:rFonts w:ascii="Roboto" w:hAnsi="Roboto" w:cs="Arial"/>
          <w:sz w:val="20"/>
          <w:szCs w:val="20"/>
        </w:rPr>
        <w:t xml:space="preserve">II – de proventos de qualquer natureza, assim entendidos os acréscimos patrimoniais não compreendidos no inciso anterior. </w:t>
      </w:r>
    </w:p>
    <w:p w14:paraId="77F4E0D9" w14:textId="77777777">
      <w:pPr>
        <w:spacing w:line="240" w:lineRule="auto"/>
        <w:ind w:firstLine="0"/>
        <w:jc w:val="both"/>
        <w:rPr>
          <w:rFonts w:ascii="Roboto" w:hAnsi="Roboto" w:cs="Arial"/>
          <w:sz w:val="20"/>
          <w:szCs w:val="20"/>
        </w:rPr>
      </w:pPr>
    </w:p>
  </w:footnote>
  <w:footnote w:id="4">
    <w:p w14:paraId="3CDDC5CB" w14:textId="77777777">
      <w:pPr>
        <w:widowControl w:val="0"/>
        <w:spacing w:line="240" w:lineRule="auto"/>
        <w:ind w:firstLine="0"/>
        <w:jc w:val="both"/>
        <w:rPr>
          <w:rFonts w:ascii="Roboto" w:hAnsi="Roboto" w:cs="Arial"/>
          <w:sz w:val="20"/>
          <w:szCs w:val="20"/>
        </w:rPr>
      </w:pPr>
      <w:r>
        <w:rPr>
          <w:rStyle w:val="Refdenotaderodap"/>
          <w:rFonts w:ascii="Roboto" w:hAnsi="Roboto" w:cs="Arial"/>
          <w:sz w:val="20"/>
          <w:szCs w:val="20"/>
        </w:rPr>
        <w:footnoteRef/>
      </w:r>
      <w:r>
        <w:rPr>
          <w:rFonts w:ascii="Roboto" w:hAnsi="Roboto" w:cs="Arial"/>
          <w:sz w:val="20"/>
          <w:szCs w:val="20"/>
        </w:rPr>
        <w:t xml:space="preserve"> Art. 71 - Em qualquer trabalho contínuo, cuja duração exceda de 6 (seis) horas, é obrigatória a concessão de um intervalo para repouso ou alimentação, o qual será, no mínimo, de 1 (uma) hora e, salvo acordo escrito ou contrato coletivo em contrário, não poderá exceder de 2 (duas) horas.</w:t>
      </w:r>
    </w:p>
  </w:footnote>
  <w:footnote w:id="5">
    <w:p w14:paraId="22F9D1F1" w14:textId="77777777">
      <w:pPr>
        <w:widowControl w:val="0"/>
        <w:spacing w:line="240" w:lineRule="auto"/>
        <w:jc w:val="both"/>
        <w:rPr>
          <w:rFonts w:ascii="Roboto" w:hAnsi="Roboto" w:cs="Arial"/>
          <w:sz w:val="20"/>
          <w:szCs w:val="20"/>
        </w:rPr>
      </w:pPr>
    </w:p>
    <w:p w14:paraId="64F7D22E" w14:textId="77777777">
      <w:pPr>
        <w:widowControl w:val="0"/>
        <w:spacing w:line="240" w:lineRule="auto"/>
        <w:ind w:firstLine="0"/>
        <w:jc w:val="both"/>
        <w:rPr>
          <w:rFonts w:ascii="Roboto" w:hAnsi="Roboto" w:cs="Arial"/>
          <w:sz w:val="20"/>
          <w:szCs w:val="20"/>
        </w:rPr>
      </w:pPr>
      <w:r>
        <w:rPr>
          <w:rStyle w:val="Refdenotaderodap"/>
          <w:rFonts w:ascii="Roboto" w:hAnsi="Roboto" w:cs="Arial"/>
          <w:sz w:val="20"/>
          <w:szCs w:val="20"/>
        </w:rPr>
        <w:footnoteRef/>
      </w:r>
      <w:r>
        <w:rPr>
          <w:rFonts w:ascii="Roboto" w:hAnsi="Roboto" w:cs="Arial"/>
          <w:sz w:val="20"/>
          <w:szCs w:val="20"/>
        </w:rPr>
        <w:t xml:space="preserve"> § 2º - Os intervalos de descanso não serão computados na duração do trabalho.</w:t>
      </w:r>
    </w:p>
  </w:footnote>
  <w:footnote w:id="6">
    <w:p w14:paraId="4DDA2FF5" w14:textId="77777777">
      <w:pPr>
        <w:widowControl w:val="0"/>
        <w:spacing w:line="240" w:lineRule="auto"/>
        <w:ind w:firstLine="0"/>
        <w:jc w:val="both"/>
        <w:rPr>
          <w:rFonts w:ascii="Roboto" w:hAnsi="Roboto" w:cs="Arial"/>
          <w:sz w:val="20"/>
          <w:szCs w:val="20"/>
        </w:rPr>
      </w:pPr>
      <w:r>
        <w:rPr>
          <w:rStyle w:val="Refdenotaderodap"/>
          <w:rFonts w:ascii="Roboto" w:hAnsi="Roboto" w:cs="Arial"/>
          <w:sz w:val="20"/>
          <w:szCs w:val="20"/>
        </w:rPr>
        <w:footnoteRef/>
      </w:r>
      <w:r>
        <w:rPr>
          <w:rFonts w:ascii="Roboto" w:hAnsi="Roboto" w:cs="Arial"/>
          <w:sz w:val="20"/>
          <w:szCs w:val="20"/>
        </w:rPr>
        <w:t xml:space="preserve"> § 4º - A não concessão ou a concessão parcial do intervalo intrajornada mínimo, para repouso e alimentação, a empregados urbanos e rurais, implica o pagamento, de natureza indenizatória, apenas do período suprimido, com acréscimo de 50% (cinquenta por cento) sobre o valor da remuneração da hora normal de trabalho.</w:t>
      </w:r>
    </w:p>
  </w:footnote>
  <w:footnote w:id="7">
    <w:p w14:paraId="53868CC6" w14:textId="77777777">
      <w:pPr>
        <w:pStyle w:val="NormalWeb"/>
        <w:spacing w:before="0" w:beforeAutospacing="0" w:after="0" w:afterAutospacing="0"/>
        <w:jc w:val="both"/>
        <w:rPr>
          <w:rFonts w:ascii="Roboto" w:hAnsi="Roboto" w:cs="Arial"/>
          <w:sz w:val="20"/>
          <w:szCs w:val="20"/>
        </w:rPr>
      </w:pPr>
    </w:p>
    <w:p w14:paraId="466EB048" w14:textId="0862DB5F">
      <w:pPr>
        <w:pStyle w:val="NormalWeb"/>
        <w:spacing w:before="0" w:beforeAutospacing="0" w:after="0" w:afterAutospacing="0"/>
        <w:jc w:val="both"/>
        <w:rPr>
          <w:rFonts w:ascii="Roboto" w:hAnsi="Roboto" w:cs="Arial"/>
          <w:color w:val="000000"/>
          <w:sz w:val="20"/>
          <w:szCs w:val="20"/>
        </w:rPr>
      </w:pPr>
      <w:r>
        <w:rPr>
          <w:rStyle w:val="Refdenotaderodap"/>
          <w:rFonts w:ascii="Roboto" w:hAnsi="Roboto" w:cs="Arial"/>
          <w:sz w:val="20"/>
          <w:szCs w:val="20"/>
        </w:rPr>
        <w:footnoteRef/>
      </w:r>
      <w:r>
        <w:rPr>
          <w:rFonts w:ascii="Roboto" w:hAnsi="Roboto" w:cs="Arial"/>
          <w:sz w:val="20"/>
          <w:szCs w:val="20"/>
        </w:rPr>
        <w:t xml:space="preserve"> </w:t>
      </w:r>
      <w:r>
        <w:rPr>
          <w:rFonts w:ascii="Roboto" w:hAnsi="Roboto" w:cs="Arial"/>
          <w:color w:val="000000"/>
          <w:sz w:val="20"/>
          <w:szCs w:val="20"/>
        </w:rPr>
        <w:t>Art. 1º O regime de trabalho regulado nesta lei é aplicável aos empregados que prestam serviços em atividades de exploração, perfuração, produção e refinação de petróleo, bem como na industrialização do xisto, na indústria petroquímica e no transporte de petróleo e seus derivados por meio de dutos.</w:t>
      </w:r>
    </w:p>
    <w:p w14:paraId="1F6D91AD" w14:textId="77777777">
      <w:pPr>
        <w:pStyle w:val="NormalWeb"/>
        <w:spacing w:before="0" w:beforeAutospacing="0" w:after="0" w:afterAutospacing="0"/>
        <w:jc w:val="both"/>
        <w:rPr>
          <w:rFonts w:ascii="Roboto" w:hAnsi="Roboto" w:cs="Arial"/>
          <w:color w:val="000000"/>
          <w:sz w:val="20"/>
          <w:szCs w:val="20"/>
        </w:rPr>
      </w:pPr>
      <w:r>
        <w:rPr>
          <w:rFonts w:ascii="Roboto" w:hAnsi="Roboto" w:cs="Arial"/>
          <w:color w:val="000000"/>
          <w:sz w:val="20"/>
          <w:szCs w:val="20"/>
        </w:rPr>
        <w:t>Art. 2º Sempre que for imprescindível à continuidade operacional, o empregado será mantido em seu posto de trabalho em regime de revezamento. [...]</w:t>
      </w:r>
    </w:p>
    <w:p w14:paraId="497A5351" w14:textId="77777777">
      <w:pPr>
        <w:pStyle w:val="NormalWeb"/>
        <w:spacing w:before="0" w:beforeAutospacing="0" w:after="0" w:afterAutospacing="0"/>
        <w:jc w:val="both"/>
        <w:rPr>
          <w:rFonts w:ascii="Roboto" w:hAnsi="Roboto" w:cs="Arial"/>
          <w:color w:val="000000"/>
          <w:sz w:val="20"/>
          <w:szCs w:val="20"/>
        </w:rPr>
      </w:pPr>
      <w:r>
        <w:rPr>
          <w:rFonts w:ascii="Roboto" w:hAnsi="Roboto" w:cs="Arial"/>
          <w:color w:val="000000"/>
          <w:sz w:val="20"/>
          <w:szCs w:val="20"/>
        </w:rPr>
        <w:t>§ 2º Para garantir a normalidade das operações ou para atender a imperativos de segurança industrial, poderá ser exigida, mediante o pagamento previsto no item II do art. 3º, a disponibilidade do empregado no local de trabalho ou nas suas proximidades, durante o intervalo destinado a repouso e alimentação.</w:t>
      </w:r>
    </w:p>
    <w:p w14:paraId="74DB307A" w14:textId="77777777">
      <w:pPr>
        <w:pStyle w:val="NormalWeb"/>
        <w:spacing w:before="0" w:beforeAutospacing="0" w:after="0" w:afterAutospacing="0"/>
        <w:jc w:val="both"/>
        <w:rPr>
          <w:rFonts w:ascii="Roboto" w:hAnsi="Roboto" w:cs="Arial"/>
          <w:color w:val="000000"/>
          <w:sz w:val="20"/>
          <w:szCs w:val="20"/>
        </w:rPr>
      </w:pPr>
      <w:bookmarkStart w:id="1" w:name="art3"/>
      <w:bookmarkEnd w:id="1"/>
      <w:r>
        <w:rPr>
          <w:rFonts w:ascii="Roboto" w:hAnsi="Roboto" w:cs="Arial"/>
          <w:color w:val="000000"/>
          <w:sz w:val="20"/>
          <w:szCs w:val="20"/>
        </w:rPr>
        <w:t>Art. 3º Durante o período em que o empregado permanecer no regime de revezamento em turno de 8 (oito) horas, ser-lhe-ão assegurados os seguintes direitos: [...]</w:t>
      </w:r>
    </w:p>
    <w:p w14:paraId="17DFA14C" w14:textId="77777777">
      <w:pPr>
        <w:pStyle w:val="NormalWeb"/>
        <w:spacing w:before="0" w:beforeAutospacing="0" w:after="0" w:afterAutospacing="0"/>
        <w:jc w:val="both"/>
        <w:rPr>
          <w:rFonts w:ascii="Roboto" w:hAnsi="Roboto"/>
          <w:color w:val="000000"/>
          <w:sz w:val="20"/>
          <w:szCs w:val="20"/>
        </w:rPr>
      </w:pPr>
      <w:r>
        <w:rPr>
          <w:rFonts w:ascii="Roboto" w:hAnsi="Roboto" w:cs="Arial"/>
          <w:color w:val="000000"/>
          <w:sz w:val="20"/>
          <w:szCs w:val="20"/>
        </w:rPr>
        <w:t>II - Pagamento em dobro da hora de repouso e alimentação suprimida nos termos do § 2º do art. 2º;</w:t>
      </w:r>
    </w:p>
  </w:footnote>
  <w:footnote w:id="8">
    <w:p w14:paraId="007001DB" w14:textId="77777777">
      <w:pPr>
        <w:widowControl w:val="0"/>
        <w:spacing w:line="240" w:lineRule="auto"/>
        <w:ind w:firstLine="0"/>
        <w:jc w:val="both"/>
        <w:rPr>
          <w:rFonts w:ascii="Roboto" w:hAnsi="Roboto" w:cs="Arial"/>
          <w:color w:val="000000"/>
          <w:sz w:val="20"/>
          <w:szCs w:val="20"/>
          <w:shd w:val="clear" w:color="auto" w:fill="FFFFFF"/>
        </w:rPr>
      </w:pPr>
      <w:r>
        <w:rPr>
          <w:rStyle w:val="Refdenotaderodap"/>
          <w:rFonts w:ascii="Roboto" w:hAnsi="Roboto" w:cs="Arial"/>
          <w:sz w:val="20"/>
          <w:szCs w:val="20"/>
        </w:rPr>
        <w:footnoteRef/>
      </w:r>
      <w:r>
        <w:rPr>
          <w:rFonts w:ascii="Roboto" w:hAnsi="Roboto" w:cs="Arial"/>
          <w:sz w:val="20"/>
          <w:szCs w:val="20"/>
        </w:rPr>
        <w:t xml:space="preserve"> </w:t>
      </w:r>
      <w:r>
        <w:rPr>
          <w:rFonts w:ascii="Roboto" w:hAnsi="Roboto" w:cs="Arial"/>
          <w:color w:val="000000"/>
          <w:sz w:val="20"/>
          <w:szCs w:val="20"/>
          <w:shd w:val="clear" w:color="auto" w:fill="FFFFFF"/>
        </w:rPr>
        <w:t>Art. 7º São direitos dos trabalhadores urbanos e rurais, além de outros que visem à melhoria de sua condição social: [...]</w:t>
      </w:r>
    </w:p>
    <w:p w14:paraId="6403D140" w14:textId="77777777">
      <w:pPr>
        <w:widowControl w:val="0"/>
        <w:spacing w:line="240" w:lineRule="auto"/>
        <w:ind w:firstLine="0"/>
        <w:jc w:val="both"/>
        <w:rPr>
          <w:rFonts w:ascii="Roboto" w:hAnsi="Roboto" w:cs="Arial"/>
          <w:sz w:val="20"/>
          <w:szCs w:val="20"/>
        </w:rPr>
      </w:pPr>
      <w:r>
        <w:rPr>
          <w:rFonts w:ascii="Roboto" w:hAnsi="Roboto" w:cs="Arial"/>
          <w:sz w:val="20"/>
          <w:szCs w:val="20"/>
        </w:rPr>
        <w:t>XIII - duração do trabalho normal não superior a oito horas diárias e quarenta e quatro semanais, facultada a compensação de horários e a redução da jornada, mediante acordo ou convenção coletiva de trabalho.</w:t>
      </w:r>
    </w:p>
  </w:footnote>
  <w:footnote w:id="9">
    <w:p w14:paraId="017F61EA" w14:textId="77777777">
      <w:pPr>
        <w:pStyle w:val="Textodenotaderodap"/>
        <w:jc w:val="both"/>
        <w:rPr>
          <w:rFonts w:ascii="Roboto" w:hAnsi="Roboto" w:cs="Arial"/>
        </w:rPr>
      </w:pPr>
    </w:p>
    <w:p w14:paraId="0EDC0EE6" w14:textId="77777777">
      <w:pPr>
        <w:pStyle w:val="Textodenotaderodap"/>
        <w:jc w:val="both"/>
        <w:rPr>
          <w:rFonts w:ascii="Roboto" w:hAnsi="Roboto" w:cs="Arial"/>
          <w:color w:val="000000"/>
          <w:shd w:val="clear" w:color="auto" w:fill="FFFFFF"/>
        </w:rPr>
      </w:pPr>
      <w:r>
        <w:rPr>
          <w:rStyle w:val="Refdenotaderodap"/>
          <w:rFonts w:ascii="Roboto" w:hAnsi="Roboto" w:cs="Arial"/>
        </w:rPr>
        <w:footnoteRef/>
      </w:r>
      <w:r>
        <w:rPr>
          <w:rFonts w:ascii="Roboto" w:hAnsi="Roboto" w:cs="Arial"/>
        </w:rPr>
        <w:t xml:space="preserve"> </w:t>
      </w:r>
      <w:r>
        <w:rPr>
          <w:rFonts w:ascii="Roboto" w:hAnsi="Roboto" w:cs="Arial"/>
          <w:color w:val="000000"/>
          <w:shd w:val="clear" w:color="auto" w:fill="FFFFFF"/>
        </w:rPr>
        <w:t>Art. 59 - A duração normal do trabalho poderá ser acrescida de horas suplementares, em número não excedente de 2 (duas), mediante acordo escrito entre empregador e empregado, ou mediante contrato coletivo de trabalho.</w:t>
      </w:r>
    </w:p>
    <w:p w14:paraId="288E2667" w14:textId="77777777">
      <w:pPr>
        <w:pStyle w:val="Textodenotaderodap"/>
        <w:jc w:val="both"/>
        <w:rPr>
          <w:rFonts w:ascii="Roboto" w:hAnsi="Roboto" w:cs="Arial"/>
        </w:rPr>
      </w:pPr>
    </w:p>
  </w:footnote>
  <w:footnote w:id="10">
    <w:p w14:paraId="2B344C92" w14:textId="77777777">
      <w:pPr>
        <w:pStyle w:val="Textodenotaderodap"/>
        <w:jc w:val="both"/>
        <w:rPr>
          <w:rFonts w:ascii="Roboto" w:hAnsi="Roboto" w:cs="Arial"/>
        </w:rPr>
      </w:pPr>
      <w:r>
        <w:rPr>
          <w:rStyle w:val="Refdenotaderodap"/>
          <w:rFonts w:ascii="Roboto" w:hAnsi="Roboto" w:cs="Arial"/>
        </w:rPr>
        <w:footnoteRef/>
      </w:r>
      <w:r>
        <w:rPr>
          <w:rFonts w:ascii="Roboto" w:hAnsi="Roboto" w:cs="Arial"/>
        </w:rPr>
        <w:t xml:space="preserve"> Art. 113. A obrigação tributária é principal ou acessória.</w:t>
      </w:r>
    </w:p>
    <w:p w14:paraId="106A592B" w14:textId="77777777">
      <w:pPr>
        <w:pStyle w:val="Textodenotaderodap"/>
        <w:jc w:val="both"/>
        <w:rPr>
          <w:rFonts w:ascii="Arial" w:hAnsi="Arial" w:cs="Arial"/>
        </w:rPr>
      </w:pPr>
      <w:r>
        <w:rPr>
          <w:rFonts w:ascii="Roboto" w:hAnsi="Roboto" w:cs="Arial"/>
        </w:rPr>
        <w:t>§ 1º A obrigação principal surge com a ocorrência do fato gerador, tem por objeto o pagamento de tributo ou penalidade pecuniária e extingue-se juntamente com o crédito dela decorrente.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84B3" w14:textId="64CC2B0C">
    <w:pPr>
      <w:tabs>
        <w:tab w:val="center" w:pos="4252"/>
        <w:tab w:val="right" w:pos="8504"/>
      </w:tabs>
      <w:spacing w:line="240" w:lineRule="auto"/>
      <w:jc w:val="center"/>
    </w:pPr>
  </w:p>
  <w:p w14:paraId="4FCBC069" w14:textId="261E6121">
    <w:pPr>
      <w:pStyle w:val="Cabealho"/>
      <w:ind w:firstLine="0"/>
      <w:jc w:val="right"/>
    </w:pPr>
    <w:r>
      <w:rPr>
        <w:noProof/>
        <w:lang w:eastAsia="pt-BR"/>
      </w:rPr>
      <w:drawing>
        <wp:inline distT="0" distB="0" distL="0" distR="0" wp14:anchorId="7680F8DD" wp14:editId="4CD83A3C">
          <wp:extent cx="1368152" cy="1224136"/>
          <wp:effectExtent l="0" t="0" r="3810" b="0"/>
          <wp:docPr id="225234101" name="Imagem 225234101" descr="Texto&#10;&#10;Descrição gerada automaticamente">
            <a:extLst xmlns:a="http://schemas.openxmlformats.org/drawingml/2006/main">
              <a:ext uri="{FF2B5EF4-FFF2-40B4-BE49-F238E27FC236}">
                <a16:creationId xmlns:a16="http://schemas.microsoft.com/office/drawing/2014/main" id="{8E3DE268-10BD-44C8-BEED-7E015FE07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Texto&#10;&#10;Descrição gerada automaticamente">
                    <a:extLst>
                      <a:ext uri="{FF2B5EF4-FFF2-40B4-BE49-F238E27FC236}">
                        <a16:creationId xmlns:a16="http://schemas.microsoft.com/office/drawing/2014/main" id="{8E3DE268-10BD-44C8-BEED-7E015FE0785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8152" cy="122413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p3zUbYBNlyduZj" int2:id="BmMksOyP">
      <int2:state int2:value="Rejected" int2:type="spell"/>
    </int2:textHash>
    <int2:textHash int2:hashCode="Y7yjOmoeGfOB3s" int2:id="NxEFFseN">
      <int2:state int2:value="Rejected" int2:type="spell"/>
    </int2:textHash>
    <int2:textHash int2:hashCode="dXr+PZLnqSiVKX" int2:id="eugBcwKX">
      <int2:state int2:value="Rejected" int2:type="spell"/>
    </int2:textHash>
    <int2:textHash int2:hashCode="iA0eCc6dmQzpBS" int2:id="gik7DbsF">
      <int2:state int2:value="Rejected" int2:type="spell"/>
    </int2:textHash>
    <int2:textHash int2:hashCode="eanReCNesdzUu+" int2:id="inj1zKm3">
      <int2:state int2:value="Rejected" int2:type="spell"/>
    </int2:textHash>
    <int2:bookmark int2:bookmarkName="_Int_vbaASJvE" int2:invalidationBookmarkName="" int2:hashCode="F6hhmzcTfXwUQF" int2:id="ylOXLHT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DEB4"/>
    <w:multiLevelType w:val="hybridMultilevel"/>
    <w:tmpl w:val="F1527720"/>
    <w:lvl w:ilvl="0" w:tplc="76701E72">
      <w:start w:val="1"/>
      <w:numFmt w:val="bullet"/>
      <w:lvlText w:val="Ø"/>
      <w:lvlJc w:val="left"/>
      <w:pPr>
        <w:ind w:left="1778" w:hanging="360"/>
      </w:pPr>
      <w:rPr>
        <w:rFonts w:ascii="Wingdings" w:hAnsi="Wingdings" w:hint="default"/>
      </w:rPr>
    </w:lvl>
    <w:lvl w:ilvl="1" w:tplc="67DCF8F6">
      <w:start w:val="1"/>
      <w:numFmt w:val="bullet"/>
      <w:lvlText w:val="o"/>
      <w:lvlJc w:val="left"/>
      <w:pPr>
        <w:ind w:left="2498" w:hanging="360"/>
      </w:pPr>
      <w:rPr>
        <w:rFonts w:ascii="Courier New" w:hAnsi="Courier New" w:hint="default"/>
      </w:rPr>
    </w:lvl>
    <w:lvl w:ilvl="2" w:tplc="AC70E36E">
      <w:start w:val="1"/>
      <w:numFmt w:val="bullet"/>
      <w:lvlText w:val=""/>
      <w:lvlJc w:val="left"/>
      <w:pPr>
        <w:ind w:left="3218" w:hanging="360"/>
      </w:pPr>
      <w:rPr>
        <w:rFonts w:ascii="Wingdings" w:hAnsi="Wingdings" w:hint="default"/>
      </w:rPr>
    </w:lvl>
    <w:lvl w:ilvl="3" w:tplc="9E500BC6">
      <w:start w:val="1"/>
      <w:numFmt w:val="bullet"/>
      <w:lvlText w:val=""/>
      <w:lvlJc w:val="left"/>
      <w:pPr>
        <w:ind w:left="3938" w:hanging="360"/>
      </w:pPr>
      <w:rPr>
        <w:rFonts w:ascii="Symbol" w:hAnsi="Symbol" w:hint="default"/>
      </w:rPr>
    </w:lvl>
    <w:lvl w:ilvl="4" w:tplc="0172D15A">
      <w:start w:val="1"/>
      <w:numFmt w:val="bullet"/>
      <w:lvlText w:val="o"/>
      <w:lvlJc w:val="left"/>
      <w:pPr>
        <w:ind w:left="4658" w:hanging="360"/>
      </w:pPr>
      <w:rPr>
        <w:rFonts w:ascii="Courier New" w:hAnsi="Courier New" w:hint="default"/>
      </w:rPr>
    </w:lvl>
    <w:lvl w:ilvl="5" w:tplc="F9223C54">
      <w:start w:val="1"/>
      <w:numFmt w:val="bullet"/>
      <w:lvlText w:val=""/>
      <w:lvlJc w:val="left"/>
      <w:pPr>
        <w:ind w:left="5378" w:hanging="360"/>
      </w:pPr>
      <w:rPr>
        <w:rFonts w:ascii="Wingdings" w:hAnsi="Wingdings" w:hint="default"/>
      </w:rPr>
    </w:lvl>
    <w:lvl w:ilvl="6" w:tplc="C358AA8C">
      <w:start w:val="1"/>
      <w:numFmt w:val="bullet"/>
      <w:lvlText w:val=""/>
      <w:lvlJc w:val="left"/>
      <w:pPr>
        <w:ind w:left="6098" w:hanging="360"/>
      </w:pPr>
      <w:rPr>
        <w:rFonts w:ascii="Symbol" w:hAnsi="Symbol" w:hint="default"/>
      </w:rPr>
    </w:lvl>
    <w:lvl w:ilvl="7" w:tplc="4D9EF582">
      <w:start w:val="1"/>
      <w:numFmt w:val="bullet"/>
      <w:lvlText w:val="o"/>
      <w:lvlJc w:val="left"/>
      <w:pPr>
        <w:ind w:left="6818" w:hanging="360"/>
      </w:pPr>
      <w:rPr>
        <w:rFonts w:ascii="Courier New" w:hAnsi="Courier New" w:hint="default"/>
      </w:rPr>
    </w:lvl>
    <w:lvl w:ilvl="8" w:tplc="404CF71A">
      <w:start w:val="1"/>
      <w:numFmt w:val="bullet"/>
      <w:lvlText w:val=""/>
      <w:lvlJc w:val="left"/>
      <w:pPr>
        <w:ind w:left="7538" w:hanging="360"/>
      </w:pPr>
      <w:rPr>
        <w:rFonts w:ascii="Wingdings" w:hAnsi="Wingdings" w:hint="default"/>
      </w:rPr>
    </w:lvl>
  </w:abstractNum>
  <w:abstractNum w:abstractNumId="1" w15:restartNumberingAfterBreak="0">
    <w:nsid w:val="07600E45"/>
    <w:multiLevelType w:val="hybridMultilevel"/>
    <w:tmpl w:val="1416DF5C"/>
    <w:lvl w:ilvl="0" w:tplc="FBDCDEEE">
      <w:start w:val="1"/>
      <w:numFmt w:val="upp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0CB65723"/>
    <w:multiLevelType w:val="multilevel"/>
    <w:tmpl w:val="78BAF632"/>
    <w:lvl w:ilvl="0">
      <w:start w:val="1"/>
      <w:numFmt w:val="decimal"/>
      <w:lvlText w:val="%1."/>
      <w:lvlJc w:val="left"/>
      <w:pPr>
        <w:ind w:left="1800" w:hanging="360"/>
      </w:pPr>
      <w:rPr>
        <w:rFonts w:hint="default"/>
        <w:b/>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3" w15:restartNumberingAfterBreak="0">
    <w:nsid w:val="10583F46"/>
    <w:multiLevelType w:val="hybridMultilevel"/>
    <w:tmpl w:val="464A1094"/>
    <w:lvl w:ilvl="0" w:tplc="71B00070">
      <w:start w:val="1"/>
      <w:numFmt w:val="lowerRoman"/>
      <w:lvlText w:val="%1."/>
      <w:lvlJc w:val="left"/>
      <w:pPr>
        <w:ind w:left="1211" w:hanging="360"/>
      </w:pPr>
    </w:lvl>
    <w:lvl w:ilvl="1" w:tplc="188E5CC0">
      <w:start w:val="1"/>
      <w:numFmt w:val="lowerLetter"/>
      <w:lvlText w:val="%2."/>
      <w:lvlJc w:val="left"/>
      <w:pPr>
        <w:ind w:left="1931" w:hanging="360"/>
      </w:pPr>
    </w:lvl>
    <w:lvl w:ilvl="2" w:tplc="A36CDDB8">
      <w:start w:val="1"/>
      <w:numFmt w:val="lowerRoman"/>
      <w:lvlText w:val="%3."/>
      <w:lvlJc w:val="right"/>
      <w:pPr>
        <w:ind w:left="2651" w:hanging="180"/>
      </w:pPr>
    </w:lvl>
    <w:lvl w:ilvl="3" w:tplc="6D7EF4D6">
      <w:start w:val="1"/>
      <w:numFmt w:val="decimal"/>
      <w:lvlText w:val="%4."/>
      <w:lvlJc w:val="left"/>
      <w:pPr>
        <w:ind w:left="3371" w:hanging="360"/>
      </w:pPr>
    </w:lvl>
    <w:lvl w:ilvl="4" w:tplc="5EA443D8">
      <w:start w:val="1"/>
      <w:numFmt w:val="lowerLetter"/>
      <w:lvlText w:val="%5."/>
      <w:lvlJc w:val="left"/>
      <w:pPr>
        <w:ind w:left="4091" w:hanging="360"/>
      </w:pPr>
    </w:lvl>
    <w:lvl w:ilvl="5" w:tplc="3DA66EE2">
      <w:start w:val="1"/>
      <w:numFmt w:val="lowerRoman"/>
      <w:lvlText w:val="%6."/>
      <w:lvlJc w:val="right"/>
      <w:pPr>
        <w:ind w:left="4811" w:hanging="180"/>
      </w:pPr>
    </w:lvl>
    <w:lvl w:ilvl="6" w:tplc="4C68B498">
      <w:start w:val="1"/>
      <w:numFmt w:val="decimal"/>
      <w:lvlText w:val="%7."/>
      <w:lvlJc w:val="left"/>
      <w:pPr>
        <w:ind w:left="5531" w:hanging="360"/>
      </w:pPr>
    </w:lvl>
    <w:lvl w:ilvl="7" w:tplc="BBAC6122">
      <w:start w:val="1"/>
      <w:numFmt w:val="lowerLetter"/>
      <w:lvlText w:val="%8."/>
      <w:lvlJc w:val="left"/>
      <w:pPr>
        <w:ind w:left="6251" w:hanging="360"/>
      </w:pPr>
    </w:lvl>
    <w:lvl w:ilvl="8" w:tplc="D4ECDBB0">
      <w:start w:val="1"/>
      <w:numFmt w:val="lowerRoman"/>
      <w:lvlText w:val="%9."/>
      <w:lvlJc w:val="right"/>
      <w:pPr>
        <w:ind w:left="6971" w:hanging="180"/>
      </w:pPr>
    </w:lvl>
  </w:abstractNum>
  <w:abstractNum w:abstractNumId="4" w15:restartNumberingAfterBreak="0">
    <w:nsid w:val="131E11CD"/>
    <w:multiLevelType w:val="multilevel"/>
    <w:tmpl w:val="78BAF632"/>
    <w:lvl w:ilvl="0">
      <w:start w:val="1"/>
      <w:numFmt w:val="decimal"/>
      <w:lvlText w:val="%1."/>
      <w:lvlJc w:val="left"/>
      <w:pPr>
        <w:ind w:left="1800" w:hanging="360"/>
      </w:pPr>
      <w:rPr>
        <w:rFonts w:hint="default"/>
        <w:b/>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5" w15:restartNumberingAfterBreak="0">
    <w:nsid w:val="278D06E0"/>
    <w:multiLevelType w:val="hybridMultilevel"/>
    <w:tmpl w:val="D1E016E2"/>
    <w:lvl w:ilvl="0" w:tplc="26086C94">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A2F908A"/>
    <w:multiLevelType w:val="hybridMultilevel"/>
    <w:tmpl w:val="BDF27558"/>
    <w:lvl w:ilvl="0" w:tplc="4096086A">
      <w:start w:val="1"/>
      <w:numFmt w:val="bullet"/>
      <w:lvlText w:val=""/>
      <w:lvlJc w:val="left"/>
      <w:pPr>
        <w:ind w:left="720" w:hanging="360"/>
      </w:pPr>
      <w:rPr>
        <w:rFonts w:ascii="Wingdings" w:hAnsi="Wingdings" w:hint="default"/>
      </w:rPr>
    </w:lvl>
    <w:lvl w:ilvl="1" w:tplc="26CA5862">
      <w:start w:val="1"/>
      <w:numFmt w:val="bullet"/>
      <w:lvlText w:val="o"/>
      <w:lvlJc w:val="left"/>
      <w:pPr>
        <w:ind w:left="1440" w:hanging="360"/>
      </w:pPr>
      <w:rPr>
        <w:rFonts w:ascii="Courier New" w:hAnsi="Courier New" w:hint="default"/>
      </w:rPr>
    </w:lvl>
    <w:lvl w:ilvl="2" w:tplc="27A06CA0">
      <w:start w:val="1"/>
      <w:numFmt w:val="bullet"/>
      <w:lvlText w:val=""/>
      <w:lvlJc w:val="left"/>
      <w:pPr>
        <w:ind w:left="2160" w:hanging="360"/>
      </w:pPr>
      <w:rPr>
        <w:rFonts w:ascii="Wingdings" w:hAnsi="Wingdings" w:hint="default"/>
      </w:rPr>
    </w:lvl>
    <w:lvl w:ilvl="3" w:tplc="CA7C8944">
      <w:start w:val="1"/>
      <w:numFmt w:val="bullet"/>
      <w:lvlText w:val=""/>
      <w:lvlJc w:val="left"/>
      <w:pPr>
        <w:ind w:left="2880" w:hanging="360"/>
      </w:pPr>
      <w:rPr>
        <w:rFonts w:ascii="Symbol" w:hAnsi="Symbol" w:hint="default"/>
      </w:rPr>
    </w:lvl>
    <w:lvl w:ilvl="4" w:tplc="A156E3AC">
      <w:start w:val="1"/>
      <w:numFmt w:val="bullet"/>
      <w:lvlText w:val="o"/>
      <w:lvlJc w:val="left"/>
      <w:pPr>
        <w:ind w:left="3600" w:hanging="360"/>
      </w:pPr>
      <w:rPr>
        <w:rFonts w:ascii="Courier New" w:hAnsi="Courier New" w:hint="default"/>
      </w:rPr>
    </w:lvl>
    <w:lvl w:ilvl="5" w:tplc="03680764">
      <w:start w:val="1"/>
      <w:numFmt w:val="bullet"/>
      <w:lvlText w:val=""/>
      <w:lvlJc w:val="left"/>
      <w:pPr>
        <w:ind w:left="4320" w:hanging="360"/>
      </w:pPr>
      <w:rPr>
        <w:rFonts w:ascii="Wingdings" w:hAnsi="Wingdings" w:hint="default"/>
      </w:rPr>
    </w:lvl>
    <w:lvl w:ilvl="6" w:tplc="E91A37C8">
      <w:start w:val="1"/>
      <w:numFmt w:val="bullet"/>
      <w:lvlText w:val=""/>
      <w:lvlJc w:val="left"/>
      <w:pPr>
        <w:ind w:left="5040" w:hanging="360"/>
      </w:pPr>
      <w:rPr>
        <w:rFonts w:ascii="Symbol" w:hAnsi="Symbol" w:hint="default"/>
      </w:rPr>
    </w:lvl>
    <w:lvl w:ilvl="7" w:tplc="698ECD20">
      <w:start w:val="1"/>
      <w:numFmt w:val="bullet"/>
      <w:lvlText w:val="o"/>
      <w:lvlJc w:val="left"/>
      <w:pPr>
        <w:ind w:left="5760" w:hanging="360"/>
      </w:pPr>
      <w:rPr>
        <w:rFonts w:ascii="Courier New" w:hAnsi="Courier New" w:hint="default"/>
      </w:rPr>
    </w:lvl>
    <w:lvl w:ilvl="8" w:tplc="E8744CA2">
      <w:start w:val="1"/>
      <w:numFmt w:val="bullet"/>
      <w:lvlText w:val=""/>
      <w:lvlJc w:val="left"/>
      <w:pPr>
        <w:ind w:left="6480" w:hanging="360"/>
      </w:pPr>
      <w:rPr>
        <w:rFonts w:ascii="Wingdings" w:hAnsi="Wingdings" w:hint="default"/>
      </w:rPr>
    </w:lvl>
  </w:abstractNum>
  <w:abstractNum w:abstractNumId="7" w15:restartNumberingAfterBreak="0">
    <w:nsid w:val="2E9DB487"/>
    <w:multiLevelType w:val="hybridMultilevel"/>
    <w:tmpl w:val="8730A9A2"/>
    <w:lvl w:ilvl="0" w:tplc="3A46E4C0">
      <w:start w:val="1"/>
      <w:numFmt w:val="bullet"/>
      <w:lvlText w:val=""/>
      <w:lvlJc w:val="left"/>
      <w:pPr>
        <w:ind w:left="720" w:hanging="360"/>
      </w:pPr>
      <w:rPr>
        <w:rFonts w:ascii="Wingdings" w:hAnsi="Wingdings" w:hint="default"/>
      </w:rPr>
    </w:lvl>
    <w:lvl w:ilvl="1" w:tplc="4F142F36">
      <w:start w:val="1"/>
      <w:numFmt w:val="bullet"/>
      <w:lvlText w:val="o"/>
      <w:lvlJc w:val="left"/>
      <w:pPr>
        <w:ind w:left="1440" w:hanging="360"/>
      </w:pPr>
      <w:rPr>
        <w:rFonts w:ascii="Courier New" w:hAnsi="Courier New" w:hint="default"/>
      </w:rPr>
    </w:lvl>
    <w:lvl w:ilvl="2" w:tplc="B210B5B6">
      <w:start w:val="1"/>
      <w:numFmt w:val="bullet"/>
      <w:lvlText w:val=""/>
      <w:lvlJc w:val="left"/>
      <w:pPr>
        <w:ind w:left="2160" w:hanging="360"/>
      </w:pPr>
      <w:rPr>
        <w:rFonts w:ascii="Wingdings" w:hAnsi="Wingdings" w:hint="default"/>
      </w:rPr>
    </w:lvl>
    <w:lvl w:ilvl="3" w:tplc="BC885708">
      <w:start w:val="1"/>
      <w:numFmt w:val="bullet"/>
      <w:lvlText w:val=""/>
      <w:lvlJc w:val="left"/>
      <w:pPr>
        <w:ind w:left="2880" w:hanging="360"/>
      </w:pPr>
      <w:rPr>
        <w:rFonts w:ascii="Symbol" w:hAnsi="Symbol" w:hint="default"/>
      </w:rPr>
    </w:lvl>
    <w:lvl w:ilvl="4" w:tplc="2FB0E948">
      <w:start w:val="1"/>
      <w:numFmt w:val="bullet"/>
      <w:lvlText w:val="o"/>
      <w:lvlJc w:val="left"/>
      <w:pPr>
        <w:ind w:left="3600" w:hanging="360"/>
      </w:pPr>
      <w:rPr>
        <w:rFonts w:ascii="Courier New" w:hAnsi="Courier New" w:hint="default"/>
      </w:rPr>
    </w:lvl>
    <w:lvl w:ilvl="5" w:tplc="055E5DCA">
      <w:start w:val="1"/>
      <w:numFmt w:val="bullet"/>
      <w:lvlText w:val=""/>
      <w:lvlJc w:val="left"/>
      <w:pPr>
        <w:ind w:left="4320" w:hanging="360"/>
      </w:pPr>
      <w:rPr>
        <w:rFonts w:ascii="Wingdings" w:hAnsi="Wingdings" w:hint="default"/>
      </w:rPr>
    </w:lvl>
    <w:lvl w:ilvl="6" w:tplc="850C8A2A">
      <w:start w:val="1"/>
      <w:numFmt w:val="bullet"/>
      <w:lvlText w:val=""/>
      <w:lvlJc w:val="left"/>
      <w:pPr>
        <w:ind w:left="5040" w:hanging="360"/>
      </w:pPr>
      <w:rPr>
        <w:rFonts w:ascii="Symbol" w:hAnsi="Symbol" w:hint="default"/>
      </w:rPr>
    </w:lvl>
    <w:lvl w:ilvl="7" w:tplc="1444F9B8">
      <w:start w:val="1"/>
      <w:numFmt w:val="bullet"/>
      <w:lvlText w:val="o"/>
      <w:lvlJc w:val="left"/>
      <w:pPr>
        <w:ind w:left="5760" w:hanging="360"/>
      </w:pPr>
      <w:rPr>
        <w:rFonts w:ascii="Courier New" w:hAnsi="Courier New" w:hint="default"/>
      </w:rPr>
    </w:lvl>
    <w:lvl w:ilvl="8" w:tplc="9E164B8C">
      <w:start w:val="1"/>
      <w:numFmt w:val="bullet"/>
      <w:lvlText w:val=""/>
      <w:lvlJc w:val="left"/>
      <w:pPr>
        <w:ind w:left="6480" w:hanging="360"/>
      </w:pPr>
      <w:rPr>
        <w:rFonts w:ascii="Wingdings" w:hAnsi="Wingdings" w:hint="default"/>
      </w:rPr>
    </w:lvl>
  </w:abstractNum>
  <w:abstractNum w:abstractNumId="8" w15:restartNumberingAfterBreak="0">
    <w:nsid w:val="3E481630"/>
    <w:multiLevelType w:val="hybridMultilevel"/>
    <w:tmpl w:val="BD24BD9A"/>
    <w:lvl w:ilvl="0" w:tplc="4C607CA2">
      <w:start w:val="1"/>
      <w:numFmt w:val="decimal"/>
      <w:lvlText w:val="%1."/>
      <w:lvlJc w:val="left"/>
      <w:pPr>
        <w:ind w:left="720" w:hanging="360"/>
      </w:pPr>
    </w:lvl>
    <w:lvl w:ilvl="1" w:tplc="F02AFB26">
      <w:start w:val="1"/>
      <w:numFmt w:val="decimal"/>
      <w:lvlText w:val="%2."/>
      <w:lvlJc w:val="left"/>
      <w:pPr>
        <w:ind w:left="1440" w:hanging="360"/>
      </w:pPr>
    </w:lvl>
    <w:lvl w:ilvl="2" w:tplc="ACC81B36">
      <w:start w:val="1"/>
      <w:numFmt w:val="lowerRoman"/>
      <w:lvlText w:val="%3."/>
      <w:lvlJc w:val="right"/>
      <w:pPr>
        <w:ind w:left="2160" w:hanging="180"/>
      </w:pPr>
    </w:lvl>
    <w:lvl w:ilvl="3" w:tplc="36C0B0EA">
      <w:start w:val="1"/>
      <w:numFmt w:val="decimal"/>
      <w:lvlText w:val="%4."/>
      <w:lvlJc w:val="left"/>
      <w:pPr>
        <w:ind w:left="2880" w:hanging="360"/>
      </w:pPr>
    </w:lvl>
    <w:lvl w:ilvl="4" w:tplc="80302744">
      <w:start w:val="1"/>
      <w:numFmt w:val="lowerLetter"/>
      <w:lvlText w:val="%5."/>
      <w:lvlJc w:val="left"/>
      <w:pPr>
        <w:ind w:left="3600" w:hanging="360"/>
      </w:pPr>
    </w:lvl>
    <w:lvl w:ilvl="5" w:tplc="D28E1186">
      <w:start w:val="1"/>
      <w:numFmt w:val="lowerRoman"/>
      <w:lvlText w:val="%6."/>
      <w:lvlJc w:val="right"/>
      <w:pPr>
        <w:ind w:left="4320" w:hanging="180"/>
      </w:pPr>
    </w:lvl>
    <w:lvl w:ilvl="6" w:tplc="8D14CE68">
      <w:start w:val="1"/>
      <w:numFmt w:val="decimal"/>
      <w:lvlText w:val="%7."/>
      <w:lvlJc w:val="left"/>
      <w:pPr>
        <w:ind w:left="5040" w:hanging="360"/>
      </w:pPr>
    </w:lvl>
    <w:lvl w:ilvl="7" w:tplc="160AE0F2">
      <w:start w:val="1"/>
      <w:numFmt w:val="lowerLetter"/>
      <w:lvlText w:val="%8."/>
      <w:lvlJc w:val="left"/>
      <w:pPr>
        <w:ind w:left="5760" w:hanging="360"/>
      </w:pPr>
    </w:lvl>
    <w:lvl w:ilvl="8" w:tplc="434C367C">
      <w:start w:val="1"/>
      <w:numFmt w:val="lowerRoman"/>
      <w:lvlText w:val="%9."/>
      <w:lvlJc w:val="right"/>
      <w:pPr>
        <w:ind w:left="6480" w:hanging="180"/>
      </w:pPr>
    </w:lvl>
  </w:abstractNum>
  <w:abstractNum w:abstractNumId="9" w15:restartNumberingAfterBreak="0">
    <w:nsid w:val="41D29918"/>
    <w:multiLevelType w:val="hybridMultilevel"/>
    <w:tmpl w:val="CD360ACA"/>
    <w:lvl w:ilvl="0" w:tplc="26086C94">
      <w:start w:val="1"/>
      <w:numFmt w:val="bullet"/>
      <w:lvlText w:val=""/>
      <w:lvlJc w:val="left"/>
      <w:pPr>
        <w:ind w:left="720" w:hanging="360"/>
      </w:pPr>
      <w:rPr>
        <w:rFonts w:ascii="Symbol" w:hAnsi="Symbol" w:hint="default"/>
      </w:rPr>
    </w:lvl>
    <w:lvl w:ilvl="1" w:tplc="F9885EA8">
      <w:start w:val="1"/>
      <w:numFmt w:val="bullet"/>
      <w:lvlText w:val="o"/>
      <w:lvlJc w:val="left"/>
      <w:pPr>
        <w:ind w:left="1440" w:hanging="360"/>
      </w:pPr>
      <w:rPr>
        <w:rFonts w:ascii="Courier New" w:hAnsi="Courier New" w:hint="default"/>
      </w:rPr>
    </w:lvl>
    <w:lvl w:ilvl="2" w:tplc="EA4CE574">
      <w:start w:val="1"/>
      <w:numFmt w:val="bullet"/>
      <w:lvlText w:val=""/>
      <w:lvlJc w:val="left"/>
      <w:pPr>
        <w:ind w:left="2160" w:hanging="360"/>
      </w:pPr>
      <w:rPr>
        <w:rFonts w:ascii="Wingdings" w:hAnsi="Wingdings" w:hint="default"/>
      </w:rPr>
    </w:lvl>
    <w:lvl w:ilvl="3" w:tplc="292612CE">
      <w:start w:val="1"/>
      <w:numFmt w:val="bullet"/>
      <w:lvlText w:val=""/>
      <w:lvlJc w:val="left"/>
      <w:pPr>
        <w:ind w:left="2880" w:hanging="360"/>
      </w:pPr>
      <w:rPr>
        <w:rFonts w:ascii="Symbol" w:hAnsi="Symbol" w:hint="default"/>
      </w:rPr>
    </w:lvl>
    <w:lvl w:ilvl="4" w:tplc="D65641B6">
      <w:start w:val="1"/>
      <w:numFmt w:val="bullet"/>
      <w:lvlText w:val="o"/>
      <w:lvlJc w:val="left"/>
      <w:pPr>
        <w:ind w:left="3600" w:hanging="360"/>
      </w:pPr>
      <w:rPr>
        <w:rFonts w:ascii="Courier New" w:hAnsi="Courier New" w:hint="default"/>
      </w:rPr>
    </w:lvl>
    <w:lvl w:ilvl="5" w:tplc="312CDFFA">
      <w:start w:val="1"/>
      <w:numFmt w:val="bullet"/>
      <w:lvlText w:val=""/>
      <w:lvlJc w:val="left"/>
      <w:pPr>
        <w:ind w:left="4320" w:hanging="360"/>
      </w:pPr>
      <w:rPr>
        <w:rFonts w:ascii="Wingdings" w:hAnsi="Wingdings" w:hint="default"/>
      </w:rPr>
    </w:lvl>
    <w:lvl w:ilvl="6" w:tplc="F5D6C2B0">
      <w:start w:val="1"/>
      <w:numFmt w:val="bullet"/>
      <w:lvlText w:val=""/>
      <w:lvlJc w:val="left"/>
      <w:pPr>
        <w:ind w:left="5040" w:hanging="360"/>
      </w:pPr>
      <w:rPr>
        <w:rFonts w:ascii="Symbol" w:hAnsi="Symbol" w:hint="default"/>
      </w:rPr>
    </w:lvl>
    <w:lvl w:ilvl="7" w:tplc="7E84EACA">
      <w:start w:val="1"/>
      <w:numFmt w:val="bullet"/>
      <w:lvlText w:val="o"/>
      <w:lvlJc w:val="left"/>
      <w:pPr>
        <w:ind w:left="5760" w:hanging="360"/>
      </w:pPr>
      <w:rPr>
        <w:rFonts w:ascii="Courier New" w:hAnsi="Courier New" w:hint="default"/>
      </w:rPr>
    </w:lvl>
    <w:lvl w:ilvl="8" w:tplc="C5B8D6D6">
      <w:start w:val="1"/>
      <w:numFmt w:val="bullet"/>
      <w:lvlText w:val=""/>
      <w:lvlJc w:val="left"/>
      <w:pPr>
        <w:ind w:left="6480" w:hanging="360"/>
      </w:pPr>
      <w:rPr>
        <w:rFonts w:ascii="Wingdings" w:hAnsi="Wingdings" w:hint="default"/>
      </w:rPr>
    </w:lvl>
  </w:abstractNum>
  <w:abstractNum w:abstractNumId="10" w15:restartNumberingAfterBreak="0">
    <w:nsid w:val="49323AE1"/>
    <w:multiLevelType w:val="hybridMultilevel"/>
    <w:tmpl w:val="14A20986"/>
    <w:lvl w:ilvl="0" w:tplc="1AE2D28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3B80365"/>
    <w:multiLevelType w:val="multilevel"/>
    <w:tmpl w:val="92D8E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6D60778"/>
    <w:multiLevelType w:val="hybridMultilevel"/>
    <w:tmpl w:val="1416DF5C"/>
    <w:lvl w:ilvl="0" w:tplc="FFFFFFFF">
      <w:start w:val="1"/>
      <w:numFmt w:val="upp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3" w15:restartNumberingAfterBreak="0">
    <w:nsid w:val="59962142"/>
    <w:multiLevelType w:val="hybridMultilevel"/>
    <w:tmpl w:val="56FC5B42"/>
    <w:lvl w:ilvl="0" w:tplc="71A8C7DA">
      <w:start w:val="1"/>
      <w:numFmt w:val="upperRoman"/>
      <w:lvlText w:val="%1."/>
      <w:lvlJc w:val="left"/>
      <w:pPr>
        <w:ind w:left="2138" w:hanging="720"/>
      </w:pPr>
      <w:rPr>
        <w:rFonts w:hint="default"/>
        <w:b/>
      </w:rPr>
    </w:lvl>
    <w:lvl w:ilvl="1" w:tplc="04160019">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4" w15:restartNumberingAfterBreak="0">
    <w:nsid w:val="60B143A1"/>
    <w:multiLevelType w:val="hybridMultilevel"/>
    <w:tmpl w:val="087A97AE"/>
    <w:lvl w:ilvl="0" w:tplc="ED849EDC">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5" w15:restartNumberingAfterBreak="0">
    <w:nsid w:val="673EA84B"/>
    <w:multiLevelType w:val="hybridMultilevel"/>
    <w:tmpl w:val="11646B24"/>
    <w:lvl w:ilvl="0" w:tplc="D204790E">
      <w:start w:val="1"/>
      <w:numFmt w:val="bullet"/>
      <w:lvlText w:val=""/>
      <w:lvlJc w:val="left"/>
      <w:pPr>
        <w:ind w:left="720" w:hanging="360"/>
      </w:pPr>
      <w:rPr>
        <w:rFonts w:ascii="Symbol" w:hAnsi="Symbol" w:hint="default"/>
      </w:rPr>
    </w:lvl>
    <w:lvl w:ilvl="1" w:tplc="988224BA">
      <w:start w:val="1"/>
      <w:numFmt w:val="bullet"/>
      <w:lvlText w:val="o"/>
      <w:lvlJc w:val="left"/>
      <w:pPr>
        <w:ind w:left="1440" w:hanging="360"/>
      </w:pPr>
      <w:rPr>
        <w:rFonts w:ascii="Courier New" w:hAnsi="Courier New" w:hint="default"/>
      </w:rPr>
    </w:lvl>
    <w:lvl w:ilvl="2" w:tplc="453A282A">
      <w:start w:val="1"/>
      <w:numFmt w:val="bullet"/>
      <w:lvlText w:val=""/>
      <w:lvlJc w:val="left"/>
      <w:pPr>
        <w:ind w:left="2160" w:hanging="360"/>
      </w:pPr>
      <w:rPr>
        <w:rFonts w:ascii="Wingdings" w:hAnsi="Wingdings" w:hint="default"/>
      </w:rPr>
    </w:lvl>
    <w:lvl w:ilvl="3" w:tplc="2BB628B6">
      <w:start w:val="1"/>
      <w:numFmt w:val="bullet"/>
      <w:lvlText w:val=""/>
      <w:lvlJc w:val="left"/>
      <w:pPr>
        <w:ind w:left="2880" w:hanging="360"/>
      </w:pPr>
      <w:rPr>
        <w:rFonts w:ascii="Symbol" w:hAnsi="Symbol" w:hint="default"/>
      </w:rPr>
    </w:lvl>
    <w:lvl w:ilvl="4" w:tplc="1FAC9228">
      <w:start w:val="1"/>
      <w:numFmt w:val="bullet"/>
      <w:lvlText w:val="o"/>
      <w:lvlJc w:val="left"/>
      <w:pPr>
        <w:ind w:left="3600" w:hanging="360"/>
      </w:pPr>
      <w:rPr>
        <w:rFonts w:ascii="Courier New" w:hAnsi="Courier New" w:hint="default"/>
      </w:rPr>
    </w:lvl>
    <w:lvl w:ilvl="5" w:tplc="6D420AE0">
      <w:start w:val="1"/>
      <w:numFmt w:val="bullet"/>
      <w:lvlText w:val=""/>
      <w:lvlJc w:val="left"/>
      <w:pPr>
        <w:ind w:left="4320" w:hanging="360"/>
      </w:pPr>
      <w:rPr>
        <w:rFonts w:ascii="Wingdings" w:hAnsi="Wingdings" w:hint="default"/>
      </w:rPr>
    </w:lvl>
    <w:lvl w:ilvl="6" w:tplc="9B2A2768">
      <w:start w:val="1"/>
      <w:numFmt w:val="bullet"/>
      <w:lvlText w:val=""/>
      <w:lvlJc w:val="left"/>
      <w:pPr>
        <w:ind w:left="5040" w:hanging="360"/>
      </w:pPr>
      <w:rPr>
        <w:rFonts w:ascii="Symbol" w:hAnsi="Symbol" w:hint="default"/>
      </w:rPr>
    </w:lvl>
    <w:lvl w:ilvl="7" w:tplc="36220190">
      <w:start w:val="1"/>
      <w:numFmt w:val="bullet"/>
      <w:lvlText w:val="o"/>
      <w:lvlJc w:val="left"/>
      <w:pPr>
        <w:ind w:left="5760" w:hanging="360"/>
      </w:pPr>
      <w:rPr>
        <w:rFonts w:ascii="Courier New" w:hAnsi="Courier New" w:hint="default"/>
      </w:rPr>
    </w:lvl>
    <w:lvl w:ilvl="8" w:tplc="5F687C0E">
      <w:start w:val="1"/>
      <w:numFmt w:val="bullet"/>
      <w:lvlText w:val=""/>
      <w:lvlJc w:val="left"/>
      <w:pPr>
        <w:ind w:left="6480" w:hanging="360"/>
      </w:pPr>
      <w:rPr>
        <w:rFonts w:ascii="Wingdings" w:hAnsi="Wingdings" w:hint="default"/>
      </w:rPr>
    </w:lvl>
  </w:abstractNum>
  <w:abstractNum w:abstractNumId="16" w15:restartNumberingAfterBreak="0">
    <w:nsid w:val="6C842046"/>
    <w:multiLevelType w:val="hybridMultilevel"/>
    <w:tmpl w:val="F87A2814"/>
    <w:lvl w:ilvl="0" w:tplc="F6E20118">
      <w:start w:val="1"/>
      <w:numFmt w:val="bullet"/>
      <w:lvlText w:val=""/>
      <w:lvlJc w:val="left"/>
      <w:pPr>
        <w:ind w:left="720" w:hanging="360"/>
      </w:pPr>
      <w:rPr>
        <w:rFonts w:ascii="Symbol" w:hAnsi="Symbol" w:hint="default"/>
      </w:rPr>
    </w:lvl>
    <w:lvl w:ilvl="1" w:tplc="35186252">
      <w:start w:val="1"/>
      <w:numFmt w:val="bullet"/>
      <w:lvlText w:val="o"/>
      <w:lvlJc w:val="left"/>
      <w:pPr>
        <w:ind w:left="1440" w:hanging="360"/>
      </w:pPr>
      <w:rPr>
        <w:rFonts w:ascii="Courier New" w:hAnsi="Courier New" w:hint="default"/>
      </w:rPr>
    </w:lvl>
    <w:lvl w:ilvl="2" w:tplc="66A427E6">
      <w:start w:val="1"/>
      <w:numFmt w:val="bullet"/>
      <w:lvlText w:val=""/>
      <w:lvlJc w:val="left"/>
      <w:pPr>
        <w:ind w:left="2160" w:hanging="360"/>
      </w:pPr>
      <w:rPr>
        <w:rFonts w:ascii="Wingdings" w:hAnsi="Wingdings" w:hint="default"/>
      </w:rPr>
    </w:lvl>
    <w:lvl w:ilvl="3" w:tplc="0DCEE79E">
      <w:start w:val="1"/>
      <w:numFmt w:val="bullet"/>
      <w:lvlText w:val=""/>
      <w:lvlJc w:val="left"/>
      <w:pPr>
        <w:ind w:left="2880" w:hanging="360"/>
      </w:pPr>
      <w:rPr>
        <w:rFonts w:ascii="Symbol" w:hAnsi="Symbol" w:hint="default"/>
      </w:rPr>
    </w:lvl>
    <w:lvl w:ilvl="4" w:tplc="3A040A9C">
      <w:start w:val="1"/>
      <w:numFmt w:val="bullet"/>
      <w:lvlText w:val="o"/>
      <w:lvlJc w:val="left"/>
      <w:pPr>
        <w:ind w:left="3600" w:hanging="360"/>
      </w:pPr>
      <w:rPr>
        <w:rFonts w:ascii="Courier New" w:hAnsi="Courier New" w:hint="default"/>
      </w:rPr>
    </w:lvl>
    <w:lvl w:ilvl="5" w:tplc="40CE812E">
      <w:start w:val="1"/>
      <w:numFmt w:val="bullet"/>
      <w:lvlText w:val=""/>
      <w:lvlJc w:val="left"/>
      <w:pPr>
        <w:ind w:left="4320" w:hanging="360"/>
      </w:pPr>
      <w:rPr>
        <w:rFonts w:ascii="Wingdings" w:hAnsi="Wingdings" w:hint="default"/>
      </w:rPr>
    </w:lvl>
    <w:lvl w:ilvl="6" w:tplc="5184CD82">
      <w:start w:val="1"/>
      <w:numFmt w:val="bullet"/>
      <w:lvlText w:val=""/>
      <w:lvlJc w:val="left"/>
      <w:pPr>
        <w:ind w:left="5040" w:hanging="360"/>
      </w:pPr>
      <w:rPr>
        <w:rFonts w:ascii="Symbol" w:hAnsi="Symbol" w:hint="default"/>
      </w:rPr>
    </w:lvl>
    <w:lvl w:ilvl="7" w:tplc="82268CDE">
      <w:start w:val="1"/>
      <w:numFmt w:val="bullet"/>
      <w:lvlText w:val="o"/>
      <w:lvlJc w:val="left"/>
      <w:pPr>
        <w:ind w:left="5760" w:hanging="360"/>
      </w:pPr>
      <w:rPr>
        <w:rFonts w:ascii="Courier New" w:hAnsi="Courier New" w:hint="default"/>
      </w:rPr>
    </w:lvl>
    <w:lvl w:ilvl="8" w:tplc="8A0459B6">
      <w:start w:val="1"/>
      <w:numFmt w:val="bullet"/>
      <w:lvlText w:val=""/>
      <w:lvlJc w:val="left"/>
      <w:pPr>
        <w:ind w:left="6480" w:hanging="360"/>
      </w:pPr>
      <w:rPr>
        <w:rFonts w:ascii="Wingdings" w:hAnsi="Wingdings" w:hint="default"/>
      </w:rPr>
    </w:lvl>
  </w:abstractNum>
  <w:abstractNum w:abstractNumId="17" w15:restartNumberingAfterBreak="0">
    <w:nsid w:val="6EF750CD"/>
    <w:multiLevelType w:val="hybridMultilevel"/>
    <w:tmpl w:val="27C62B40"/>
    <w:lvl w:ilvl="0" w:tplc="FFFFFFFF">
      <w:start w:val="1"/>
      <w:numFmt w:val="upperLetter"/>
      <w:lvlText w:val="%1)"/>
      <w:lvlJc w:val="left"/>
      <w:pPr>
        <w:ind w:left="177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10229F2"/>
    <w:multiLevelType w:val="hybridMultilevel"/>
    <w:tmpl w:val="B55635FE"/>
    <w:lvl w:ilvl="0" w:tplc="0416000F">
      <w:start w:val="1"/>
      <w:numFmt w:val="decimal"/>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num w:numId="1" w16cid:durableId="78719019">
    <w:abstractNumId w:val="7"/>
  </w:num>
  <w:num w:numId="2" w16cid:durableId="712971608">
    <w:abstractNumId w:val="6"/>
  </w:num>
  <w:num w:numId="3" w16cid:durableId="276135883">
    <w:abstractNumId w:val="15"/>
  </w:num>
  <w:num w:numId="4" w16cid:durableId="880635030">
    <w:abstractNumId w:val="0"/>
  </w:num>
  <w:num w:numId="5" w16cid:durableId="863909413">
    <w:abstractNumId w:val="9"/>
  </w:num>
  <w:num w:numId="6" w16cid:durableId="1001738237">
    <w:abstractNumId w:val="16"/>
  </w:num>
  <w:num w:numId="7" w16cid:durableId="1238631331">
    <w:abstractNumId w:val="11"/>
  </w:num>
  <w:num w:numId="8" w16cid:durableId="311832650">
    <w:abstractNumId w:val="10"/>
  </w:num>
  <w:num w:numId="9" w16cid:durableId="773793060">
    <w:abstractNumId w:val="3"/>
  </w:num>
  <w:num w:numId="10" w16cid:durableId="213280211">
    <w:abstractNumId w:val="8"/>
  </w:num>
  <w:num w:numId="11" w16cid:durableId="1805810055">
    <w:abstractNumId w:val="4"/>
  </w:num>
  <w:num w:numId="12" w16cid:durableId="778985763">
    <w:abstractNumId w:val="13"/>
  </w:num>
  <w:num w:numId="13" w16cid:durableId="302198787">
    <w:abstractNumId w:val="5"/>
  </w:num>
  <w:num w:numId="14" w16cid:durableId="454981692">
    <w:abstractNumId w:val="2"/>
  </w:num>
  <w:num w:numId="15" w16cid:durableId="27606248">
    <w:abstractNumId w:val="18"/>
  </w:num>
  <w:num w:numId="16" w16cid:durableId="1420907868">
    <w:abstractNumId w:val="1"/>
  </w:num>
  <w:num w:numId="17" w16cid:durableId="754786078">
    <w:abstractNumId w:val="12"/>
  </w:num>
  <w:num w:numId="18" w16cid:durableId="1060710296">
    <w:abstractNumId w:val="17"/>
  </w:num>
  <w:num w:numId="19" w16cid:durableId="14579927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B36"/>
    <w:rsid w:val="00006263"/>
    <w:rsid w:val="0000721E"/>
    <w:rsid w:val="00010DD8"/>
    <w:rsid w:val="00017E41"/>
    <w:rsid w:val="0002744F"/>
    <w:rsid w:val="000277CD"/>
    <w:rsid w:val="00041901"/>
    <w:rsid w:val="000575FF"/>
    <w:rsid w:val="00064216"/>
    <w:rsid w:val="00065783"/>
    <w:rsid w:val="00067804"/>
    <w:rsid w:val="00074BAB"/>
    <w:rsid w:val="00085E6E"/>
    <w:rsid w:val="00087F10"/>
    <w:rsid w:val="000A475D"/>
    <w:rsid w:val="000B0AC9"/>
    <w:rsid w:val="000E1355"/>
    <w:rsid w:val="000E76D5"/>
    <w:rsid w:val="000F47F3"/>
    <w:rsid w:val="00102E05"/>
    <w:rsid w:val="00104331"/>
    <w:rsid w:val="00114D5C"/>
    <w:rsid w:val="00114E76"/>
    <w:rsid w:val="00115A6F"/>
    <w:rsid w:val="00125876"/>
    <w:rsid w:val="00126C32"/>
    <w:rsid w:val="0013426B"/>
    <w:rsid w:val="001509E3"/>
    <w:rsid w:val="00156FFA"/>
    <w:rsid w:val="001661F0"/>
    <w:rsid w:val="001913CD"/>
    <w:rsid w:val="00192066"/>
    <w:rsid w:val="0019263C"/>
    <w:rsid w:val="00197D12"/>
    <w:rsid w:val="001A32E0"/>
    <w:rsid w:val="001A34F3"/>
    <w:rsid w:val="001A7B51"/>
    <w:rsid w:val="001B44CA"/>
    <w:rsid w:val="001C456C"/>
    <w:rsid w:val="001D12D9"/>
    <w:rsid w:val="001D4695"/>
    <w:rsid w:val="001E0B8B"/>
    <w:rsid w:val="001E1AE1"/>
    <w:rsid w:val="001E5621"/>
    <w:rsid w:val="001F0286"/>
    <w:rsid w:val="002050B6"/>
    <w:rsid w:val="002062BD"/>
    <w:rsid w:val="00222B1E"/>
    <w:rsid w:val="00222C4C"/>
    <w:rsid w:val="00227BC2"/>
    <w:rsid w:val="002454D6"/>
    <w:rsid w:val="00246E2B"/>
    <w:rsid w:val="00246E5F"/>
    <w:rsid w:val="002507D1"/>
    <w:rsid w:val="00254672"/>
    <w:rsid w:val="002654CD"/>
    <w:rsid w:val="002702F4"/>
    <w:rsid w:val="002A722D"/>
    <w:rsid w:val="002B6691"/>
    <w:rsid w:val="002C2235"/>
    <w:rsid w:val="002C3F7E"/>
    <w:rsid w:val="002D2798"/>
    <w:rsid w:val="002D33DE"/>
    <w:rsid w:val="002E603F"/>
    <w:rsid w:val="002F03FA"/>
    <w:rsid w:val="002F1B4E"/>
    <w:rsid w:val="00313BB3"/>
    <w:rsid w:val="003201D9"/>
    <w:rsid w:val="003328AA"/>
    <w:rsid w:val="00332F19"/>
    <w:rsid w:val="003344B3"/>
    <w:rsid w:val="003406CB"/>
    <w:rsid w:val="00353AA0"/>
    <w:rsid w:val="00360DE2"/>
    <w:rsid w:val="0037655B"/>
    <w:rsid w:val="0038294D"/>
    <w:rsid w:val="0038351F"/>
    <w:rsid w:val="003864C2"/>
    <w:rsid w:val="00390AC4"/>
    <w:rsid w:val="003943F4"/>
    <w:rsid w:val="003A28AD"/>
    <w:rsid w:val="003D27E9"/>
    <w:rsid w:val="003E1CB4"/>
    <w:rsid w:val="003E282A"/>
    <w:rsid w:val="003E5BDE"/>
    <w:rsid w:val="003E602C"/>
    <w:rsid w:val="003F38B7"/>
    <w:rsid w:val="003F705A"/>
    <w:rsid w:val="004128FF"/>
    <w:rsid w:val="00412BFB"/>
    <w:rsid w:val="004177D2"/>
    <w:rsid w:val="004252D4"/>
    <w:rsid w:val="00432031"/>
    <w:rsid w:val="00437742"/>
    <w:rsid w:val="00453D44"/>
    <w:rsid w:val="00470080"/>
    <w:rsid w:val="00470B5F"/>
    <w:rsid w:val="00477E34"/>
    <w:rsid w:val="0048466C"/>
    <w:rsid w:val="00495B93"/>
    <w:rsid w:val="004A1046"/>
    <w:rsid w:val="004C05B4"/>
    <w:rsid w:val="004D0C30"/>
    <w:rsid w:val="004D457E"/>
    <w:rsid w:val="004D6F89"/>
    <w:rsid w:val="004E429A"/>
    <w:rsid w:val="0050556F"/>
    <w:rsid w:val="0050719D"/>
    <w:rsid w:val="005142F4"/>
    <w:rsid w:val="00516F76"/>
    <w:rsid w:val="00534C09"/>
    <w:rsid w:val="00541177"/>
    <w:rsid w:val="0054285E"/>
    <w:rsid w:val="00542937"/>
    <w:rsid w:val="00543FEA"/>
    <w:rsid w:val="00551DB2"/>
    <w:rsid w:val="00556541"/>
    <w:rsid w:val="00557D65"/>
    <w:rsid w:val="0055C36A"/>
    <w:rsid w:val="00565B4D"/>
    <w:rsid w:val="0057700D"/>
    <w:rsid w:val="00586B80"/>
    <w:rsid w:val="00592529"/>
    <w:rsid w:val="005A1D50"/>
    <w:rsid w:val="005A26AA"/>
    <w:rsid w:val="005A5B28"/>
    <w:rsid w:val="005B03F1"/>
    <w:rsid w:val="005B0B41"/>
    <w:rsid w:val="005B18CC"/>
    <w:rsid w:val="005C7946"/>
    <w:rsid w:val="005D4421"/>
    <w:rsid w:val="005E5B38"/>
    <w:rsid w:val="005F0412"/>
    <w:rsid w:val="005F4120"/>
    <w:rsid w:val="005F4460"/>
    <w:rsid w:val="00606641"/>
    <w:rsid w:val="00607AF2"/>
    <w:rsid w:val="00615436"/>
    <w:rsid w:val="00622EE6"/>
    <w:rsid w:val="006269D8"/>
    <w:rsid w:val="00636EBD"/>
    <w:rsid w:val="00661DAA"/>
    <w:rsid w:val="00665E94"/>
    <w:rsid w:val="00675788"/>
    <w:rsid w:val="00687CBB"/>
    <w:rsid w:val="00692833"/>
    <w:rsid w:val="006A17C1"/>
    <w:rsid w:val="006A22BB"/>
    <w:rsid w:val="006A7332"/>
    <w:rsid w:val="006A75A7"/>
    <w:rsid w:val="006C1F6D"/>
    <w:rsid w:val="006D3E9D"/>
    <w:rsid w:val="006D55CD"/>
    <w:rsid w:val="006D656B"/>
    <w:rsid w:val="006E0E99"/>
    <w:rsid w:val="006E6A4A"/>
    <w:rsid w:val="006F5347"/>
    <w:rsid w:val="006F65A8"/>
    <w:rsid w:val="0071136D"/>
    <w:rsid w:val="00722909"/>
    <w:rsid w:val="007251DF"/>
    <w:rsid w:val="00727DE1"/>
    <w:rsid w:val="00730ED6"/>
    <w:rsid w:val="00750A0F"/>
    <w:rsid w:val="00762102"/>
    <w:rsid w:val="007636AB"/>
    <w:rsid w:val="00767B5F"/>
    <w:rsid w:val="00771305"/>
    <w:rsid w:val="00777D3C"/>
    <w:rsid w:val="00783FBA"/>
    <w:rsid w:val="0078472A"/>
    <w:rsid w:val="007871C9"/>
    <w:rsid w:val="00791A0F"/>
    <w:rsid w:val="007963B3"/>
    <w:rsid w:val="007A2759"/>
    <w:rsid w:val="007A2FB3"/>
    <w:rsid w:val="007A65C9"/>
    <w:rsid w:val="007A6E4A"/>
    <w:rsid w:val="007B07EC"/>
    <w:rsid w:val="007B2B64"/>
    <w:rsid w:val="007B3E7E"/>
    <w:rsid w:val="007B4566"/>
    <w:rsid w:val="00804ABF"/>
    <w:rsid w:val="00807AFA"/>
    <w:rsid w:val="0080EC06"/>
    <w:rsid w:val="00814B80"/>
    <w:rsid w:val="00824DEA"/>
    <w:rsid w:val="00825146"/>
    <w:rsid w:val="008303E0"/>
    <w:rsid w:val="00833A3F"/>
    <w:rsid w:val="0085482F"/>
    <w:rsid w:val="008568C6"/>
    <w:rsid w:val="00857436"/>
    <w:rsid w:val="00857607"/>
    <w:rsid w:val="008635DC"/>
    <w:rsid w:val="00882814"/>
    <w:rsid w:val="00883C00"/>
    <w:rsid w:val="00890385"/>
    <w:rsid w:val="008B0ECF"/>
    <w:rsid w:val="008C1E97"/>
    <w:rsid w:val="008D6006"/>
    <w:rsid w:val="008E18E2"/>
    <w:rsid w:val="008F1260"/>
    <w:rsid w:val="008F3671"/>
    <w:rsid w:val="008F5DE0"/>
    <w:rsid w:val="008F668A"/>
    <w:rsid w:val="008F6998"/>
    <w:rsid w:val="00905E70"/>
    <w:rsid w:val="00917E70"/>
    <w:rsid w:val="00926BE7"/>
    <w:rsid w:val="00931AE5"/>
    <w:rsid w:val="00935DAC"/>
    <w:rsid w:val="009409B9"/>
    <w:rsid w:val="00945F4D"/>
    <w:rsid w:val="009571C0"/>
    <w:rsid w:val="009613E6"/>
    <w:rsid w:val="0096406F"/>
    <w:rsid w:val="009731BB"/>
    <w:rsid w:val="009969B5"/>
    <w:rsid w:val="009A020B"/>
    <w:rsid w:val="009C22CF"/>
    <w:rsid w:val="009C4D05"/>
    <w:rsid w:val="009C5054"/>
    <w:rsid w:val="009D25D1"/>
    <w:rsid w:val="009F34C8"/>
    <w:rsid w:val="009F4C92"/>
    <w:rsid w:val="009F6494"/>
    <w:rsid w:val="00A03632"/>
    <w:rsid w:val="00A17216"/>
    <w:rsid w:val="00A30B93"/>
    <w:rsid w:val="00A3397A"/>
    <w:rsid w:val="00A35320"/>
    <w:rsid w:val="00A367E2"/>
    <w:rsid w:val="00A4705A"/>
    <w:rsid w:val="00A476F9"/>
    <w:rsid w:val="00A56A24"/>
    <w:rsid w:val="00A572F6"/>
    <w:rsid w:val="00A5AFA7"/>
    <w:rsid w:val="00A63E48"/>
    <w:rsid w:val="00A703D4"/>
    <w:rsid w:val="00A72826"/>
    <w:rsid w:val="00A747ED"/>
    <w:rsid w:val="00A748DC"/>
    <w:rsid w:val="00A7741C"/>
    <w:rsid w:val="00A82AA1"/>
    <w:rsid w:val="00A84BE7"/>
    <w:rsid w:val="00A87C64"/>
    <w:rsid w:val="00A91871"/>
    <w:rsid w:val="00A96B55"/>
    <w:rsid w:val="00AB0B22"/>
    <w:rsid w:val="00AB0BC9"/>
    <w:rsid w:val="00AB59EE"/>
    <w:rsid w:val="00AB6834"/>
    <w:rsid w:val="00AC0AB4"/>
    <w:rsid w:val="00AD101A"/>
    <w:rsid w:val="00AD3A4E"/>
    <w:rsid w:val="00AE22F1"/>
    <w:rsid w:val="00AE45FF"/>
    <w:rsid w:val="00AE5EB9"/>
    <w:rsid w:val="00AE6013"/>
    <w:rsid w:val="00B02B6F"/>
    <w:rsid w:val="00B042CE"/>
    <w:rsid w:val="00B21E24"/>
    <w:rsid w:val="00B24973"/>
    <w:rsid w:val="00B257F5"/>
    <w:rsid w:val="00B356D4"/>
    <w:rsid w:val="00B36B1F"/>
    <w:rsid w:val="00B44D31"/>
    <w:rsid w:val="00B47F29"/>
    <w:rsid w:val="00B540E3"/>
    <w:rsid w:val="00B55992"/>
    <w:rsid w:val="00B5763B"/>
    <w:rsid w:val="00B72AD8"/>
    <w:rsid w:val="00B75DAD"/>
    <w:rsid w:val="00B77EFF"/>
    <w:rsid w:val="00B815EF"/>
    <w:rsid w:val="00B841AF"/>
    <w:rsid w:val="00B85358"/>
    <w:rsid w:val="00B93EC6"/>
    <w:rsid w:val="00B95982"/>
    <w:rsid w:val="00B96AA9"/>
    <w:rsid w:val="00BC15E4"/>
    <w:rsid w:val="00BC7988"/>
    <w:rsid w:val="00BD1268"/>
    <w:rsid w:val="00BD15D6"/>
    <w:rsid w:val="00BF0873"/>
    <w:rsid w:val="00BF4707"/>
    <w:rsid w:val="00BF49BC"/>
    <w:rsid w:val="00C00B2A"/>
    <w:rsid w:val="00C0401E"/>
    <w:rsid w:val="00C146E8"/>
    <w:rsid w:val="00C15081"/>
    <w:rsid w:val="00C21F1D"/>
    <w:rsid w:val="00C263DC"/>
    <w:rsid w:val="00C26C9C"/>
    <w:rsid w:val="00C31B42"/>
    <w:rsid w:val="00C31BD5"/>
    <w:rsid w:val="00C45726"/>
    <w:rsid w:val="00C61F40"/>
    <w:rsid w:val="00C649A6"/>
    <w:rsid w:val="00C65C84"/>
    <w:rsid w:val="00C774E5"/>
    <w:rsid w:val="00C82385"/>
    <w:rsid w:val="00C86F94"/>
    <w:rsid w:val="00C87D61"/>
    <w:rsid w:val="00C9071C"/>
    <w:rsid w:val="00C93B55"/>
    <w:rsid w:val="00C968E6"/>
    <w:rsid w:val="00C97373"/>
    <w:rsid w:val="00CA32F3"/>
    <w:rsid w:val="00CB027D"/>
    <w:rsid w:val="00CB4E5B"/>
    <w:rsid w:val="00CB6FC2"/>
    <w:rsid w:val="00CC2806"/>
    <w:rsid w:val="00CD45E2"/>
    <w:rsid w:val="00CF25B5"/>
    <w:rsid w:val="00CF72DD"/>
    <w:rsid w:val="00D05004"/>
    <w:rsid w:val="00D05656"/>
    <w:rsid w:val="00D1216A"/>
    <w:rsid w:val="00D13B36"/>
    <w:rsid w:val="00D150B9"/>
    <w:rsid w:val="00D175E3"/>
    <w:rsid w:val="00D2516D"/>
    <w:rsid w:val="00D27CDB"/>
    <w:rsid w:val="00D46FC3"/>
    <w:rsid w:val="00D5207C"/>
    <w:rsid w:val="00D53FDF"/>
    <w:rsid w:val="00D54A3E"/>
    <w:rsid w:val="00D55FBB"/>
    <w:rsid w:val="00D57648"/>
    <w:rsid w:val="00D65C8F"/>
    <w:rsid w:val="00D67090"/>
    <w:rsid w:val="00D755D2"/>
    <w:rsid w:val="00D765FC"/>
    <w:rsid w:val="00D82DE5"/>
    <w:rsid w:val="00D90D45"/>
    <w:rsid w:val="00DA0087"/>
    <w:rsid w:val="00DA06A5"/>
    <w:rsid w:val="00DA1125"/>
    <w:rsid w:val="00DA7E36"/>
    <w:rsid w:val="00DB1CF3"/>
    <w:rsid w:val="00DC1A93"/>
    <w:rsid w:val="00DC2355"/>
    <w:rsid w:val="00DC7296"/>
    <w:rsid w:val="00DC753E"/>
    <w:rsid w:val="00DD076E"/>
    <w:rsid w:val="00DD39CA"/>
    <w:rsid w:val="00DD39FA"/>
    <w:rsid w:val="00DD3E3D"/>
    <w:rsid w:val="00DD6D79"/>
    <w:rsid w:val="00DE0207"/>
    <w:rsid w:val="00DE1FD2"/>
    <w:rsid w:val="00DE3B29"/>
    <w:rsid w:val="00DF2761"/>
    <w:rsid w:val="00DF3E97"/>
    <w:rsid w:val="00DF4989"/>
    <w:rsid w:val="00E05EB4"/>
    <w:rsid w:val="00E12CB8"/>
    <w:rsid w:val="00E1408C"/>
    <w:rsid w:val="00E156D0"/>
    <w:rsid w:val="00E25D8B"/>
    <w:rsid w:val="00E262B5"/>
    <w:rsid w:val="00E276DB"/>
    <w:rsid w:val="00E32F93"/>
    <w:rsid w:val="00E51918"/>
    <w:rsid w:val="00E5375E"/>
    <w:rsid w:val="00E555AA"/>
    <w:rsid w:val="00E57A61"/>
    <w:rsid w:val="00E60F3F"/>
    <w:rsid w:val="00E61EE7"/>
    <w:rsid w:val="00E6212F"/>
    <w:rsid w:val="00E73E1D"/>
    <w:rsid w:val="00E92B83"/>
    <w:rsid w:val="00EA0845"/>
    <w:rsid w:val="00EA5989"/>
    <w:rsid w:val="00EA6692"/>
    <w:rsid w:val="00EB7CF4"/>
    <w:rsid w:val="00ED72A9"/>
    <w:rsid w:val="00ED7BEB"/>
    <w:rsid w:val="00EF0F19"/>
    <w:rsid w:val="00EF44AB"/>
    <w:rsid w:val="00F02049"/>
    <w:rsid w:val="00F145D1"/>
    <w:rsid w:val="00F166B4"/>
    <w:rsid w:val="00F22D55"/>
    <w:rsid w:val="00F249C6"/>
    <w:rsid w:val="00F311BF"/>
    <w:rsid w:val="00F32BDF"/>
    <w:rsid w:val="00F518E7"/>
    <w:rsid w:val="00F5268F"/>
    <w:rsid w:val="00F530B0"/>
    <w:rsid w:val="00F54387"/>
    <w:rsid w:val="00F64295"/>
    <w:rsid w:val="00F67758"/>
    <w:rsid w:val="00F67FD0"/>
    <w:rsid w:val="00F755E0"/>
    <w:rsid w:val="00F85909"/>
    <w:rsid w:val="00F96385"/>
    <w:rsid w:val="00FA2D1A"/>
    <w:rsid w:val="00FA362E"/>
    <w:rsid w:val="00FA3EEB"/>
    <w:rsid w:val="00FB281D"/>
    <w:rsid w:val="00FB3D1F"/>
    <w:rsid w:val="00FC07F3"/>
    <w:rsid w:val="00FC23D7"/>
    <w:rsid w:val="00FC252F"/>
    <w:rsid w:val="00FD54C2"/>
    <w:rsid w:val="00FD5902"/>
    <w:rsid w:val="00FD5C6D"/>
    <w:rsid w:val="01044485"/>
    <w:rsid w:val="014DE0D3"/>
    <w:rsid w:val="016691C3"/>
    <w:rsid w:val="0185985B"/>
    <w:rsid w:val="01CF0E70"/>
    <w:rsid w:val="026C620D"/>
    <w:rsid w:val="02ED0D32"/>
    <w:rsid w:val="02F74350"/>
    <w:rsid w:val="03BA6606"/>
    <w:rsid w:val="0408326E"/>
    <w:rsid w:val="040B7CAA"/>
    <w:rsid w:val="044E96AC"/>
    <w:rsid w:val="045FC75B"/>
    <w:rsid w:val="04858195"/>
    <w:rsid w:val="04B07CA7"/>
    <w:rsid w:val="0506EE4F"/>
    <w:rsid w:val="0524CACC"/>
    <w:rsid w:val="0554A219"/>
    <w:rsid w:val="055B0DD2"/>
    <w:rsid w:val="059907DB"/>
    <w:rsid w:val="05A26E37"/>
    <w:rsid w:val="05C99DAC"/>
    <w:rsid w:val="05C9AF23"/>
    <w:rsid w:val="066B40FA"/>
    <w:rsid w:val="0678EA14"/>
    <w:rsid w:val="06A2BEB0"/>
    <w:rsid w:val="0701E754"/>
    <w:rsid w:val="074785A4"/>
    <w:rsid w:val="07A141B8"/>
    <w:rsid w:val="07DD0ACA"/>
    <w:rsid w:val="082C57AA"/>
    <w:rsid w:val="086FEA47"/>
    <w:rsid w:val="08ABF4B7"/>
    <w:rsid w:val="091E5977"/>
    <w:rsid w:val="092F1011"/>
    <w:rsid w:val="099497AB"/>
    <w:rsid w:val="09BEC364"/>
    <w:rsid w:val="0A2B152D"/>
    <w:rsid w:val="0A83DFA8"/>
    <w:rsid w:val="0A8A5A66"/>
    <w:rsid w:val="0A8EB729"/>
    <w:rsid w:val="0A9B180A"/>
    <w:rsid w:val="0AD9026D"/>
    <w:rsid w:val="0AF583CE"/>
    <w:rsid w:val="0AFE544E"/>
    <w:rsid w:val="0B3663A0"/>
    <w:rsid w:val="0BF4BBE7"/>
    <w:rsid w:val="0C2F469E"/>
    <w:rsid w:val="0C8D0002"/>
    <w:rsid w:val="0CD49EB4"/>
    <w:rsid w:val="0CD7C650"/>
    <w:rsid w:val="0CED3ADA"/>
    <w:rsid w:val="0D172AB7"/>
    <w:rsid w:val="0DB7023A"/>
    <w:rsid w:val="0DE73E6B"/>
    <w:rsid w:val="0E28D063"/>
    <w:rsid w:val="0E316CD0"/>
    <w:rsid w:val="0E43A12E"/>
    <w:rsid w:val="0E89C616"/>
    <w:rsid w:val="0F264DD3"/>
    <w:rsid w:val="0F6F0485"/>
    <w:rsid w:val="1045D312"/>
    <w:rsid w:val="104C9053"/>
    <w:rsid w:val="104D2D31"/>
    <w:rsid w:val="1053489B"/>
    <w:rsid w:val="1063F197"/>
    <w:rsid w:val="107D6F76"/>
    <w:rsid w:val="11326AFB"/>
    <w:rsid w:val="1191C370"/>
    <w:rsid w:val="11C3F2DA"/>
    <w:rsid w:val="11D2A387"/>
    <w:rsid w:val="11EFC187"/>
    <w:rsid w:val="124EBC53"/>
    <w:rsid w:val="125DEE95"/>
    <w:rsid w:val="12803FBA"/>
    <w:rsid w:val="1314E3AB"/>
    <w:rsid w:val="137818BB"/>
    <w:rsid w:val="13940F46"/>
    <w:rsid w:val="13A24746"/>
    <w:rsid w:val="13CDDDB7"/>
    <w:rsid w:val="1421CE11"/>
    <w:rsid w:val="1443C23E"/>
    <w:rsid w:val="14746B58"/>
    <w:rsid w:val="14ABF5AA"/>
    <w:rsid w:val="14FC36C0"/>
    <w:rsid w:val="1538FC18"/>
    <w:rsid w:val="1571CC4B"/>
    <w:rsid w:val="16103BB9"/>
    <w:rsid w:val="164C846D"/>
    <w:rsid w:val="16947471"/>
    <w:rsid w:val="16952A82"/>
    <w:rsid w:val="169F12F1"/>
    <w:rsid w:val="17315FB8"/>
    <w:rsid w:val="17F515F6"/>
    <w:rsid w:val="18040CC8"/>
    <w:rsid w:val="18297CAD"/>
    <w:rsid w:val="184F0662"/>
    <w:rsid w:val="18A01337"/>
    <w:rsid w:val="18FC6653"/>
    <w:rsid w:val="1978BD28"/>
    <w:rsid w:val="1A447990"/>
    <w:rsid w:val="1A8810A7"/>
    <w:rsid w:val="1A8B519F"/>
    <w:rsid w:val="1AF459C6"/>
    <w:rsid w:val="1B1FF590"/>
    <w:rsid w:val="1B34716D"/>
    <w:rsid w:val="1B82B7BF"/>
    <w:rsid w:val="1C639800"/>
    <w:rsid w:val="1CD10B65"/>
    <w:rsid w:val="1D68297D"/>
    <w:rsid w:val="1D6CEE0D"/>
    <w:rsid w:val="1DC423BD"/>
    <w:rsid w:val="1DDFA35C"/>
    <w:rsid w:val="1DF2C98B"/>
    <w:rsid w:val="1E11BFEA"/>
    <w:rsid w:val="1E2C1546"/>
    <w:rsid w:val="1E5311CB"/>
    <w:rsid w:val="1EBEB9F8"/>
    <w:rsid w:val="1EC0D7AE"/>
    <w:rsid w:val="1F2269A9"/>
    <w:rsid w:val="1F71B9FE"/>
    <w:rsid w:val="1F9EB553"/>
    <w:rsid w:val="1FAD904B"/>
    <w:rsid w:val="1FB605F3"/>
    <w:rsid w:val="1FCAD208"/>
    <w:rsid w:val="1FD89996"/>
    <w:rsid w:val="1FDFB9F1"/>
    <w:rsid w:val="1FFB5439"/>
    <w:rsid w:val="205A8A59"/>
    <w:rsid w:val="2099E735"/>
    <w:rsid w:val="20D7D644"/>
    <w:rsid w:val="21198B73"/>
    <w:rsid w:val="21511B61"/>
    <w:rsid w:val="21949B5F"/>
    <w:rsid w:val="219BD6C6"/>
    <w:rsid w:val="22169682"/>
    <w:rsid w:val="2272148F"/>
    <w:rsid w:val="229F1FF2"/>
    <w:rsid w:val="22B477D9"/>
    <w:rsid w:val="23004347"/>
    <w:rsid w:val="2316DBEE"/>
    <w:rsid w:val="234885F0"/>
    <w:rsid w:val="23823083"/>
    <w:rsid w:val="2382EA1A"/>
    <w:rsid w:val="23C66B2E"/>
    <w:rsid w:val="247BE188"/>
    <w:rsid w:val="25181C83"/>
    <w:rsid w:val="251C8584"/>
    <w:rsid w:val="2539102B"/>
    <w:rsid w:val="259E4334"/>
    <w:rsid w:val="25BA8770"/>
    <w:rsid w:val="25E76DE9"/>
    <w:rsid w:val="260AC511"/>
    <w:rsid w:val="26209E07"/>
    <w:rsid w:val="26E37885"/>
    <w:rsid w:val="27722324"/>
    <w:rsid w:val="27866BCA"/>
    <w:rsid w:val="27ED72B6"/>
    <w:rsid w:val="2800D678"/>
    <w:rsid w:val="28B3F881"/>
    <w:rsid w:val="290D928E"/>
    <w:rsid w:val="29292D16"/>
    <w:rsid w:val="2999AE22"/>
    <w:rsid w:val="299CA6D9"/>
    <w:rsid w:val="29BDEE79"/>
    <w:rsid w:val="29C612E6"/>
    <w:rsid w:val="29D783E3"/>
    <w:rsid w:val="2A437F49"/>
    <w:rsid w:val="2A46AC85"/>
    <w:rsid w:val="2A4A0883"/>
    <w:rsid w:val="2A5DED04"/>
    <w:rsid w:val="2AA7455C"/>
    <w:rsid w:val="2AA962EF"/>
    <w:rsid w:val="2ADDAAE8"/>
    <w:rsid w:val="2B8643A2"/>
    <w:rsid w:val="2B9DD37D"/>
    <w:rsid w:val="2BEB9943"/>
    <w:rsid w:val="2C41AAA5"/>
    <w:rsid w:val="2C4D2009"/>
    <w:rsid w:val="2C68E88D"/>
    <w:rsid w:val="2C9E7F95"/>
    <w:rsid w:val="2CDC66DE"/>
    <w:rsid w:val="2CF9E59C"/>
    <w:rsid w:val="2D6F7E2B"/>
    <w:rsid w:val="2D979061"/>
    <w:rsid w:val="2DB5AC1F"/>
    <w:rsid w:val="2DBA3245"/>
    <w:rsid w:val="2DC11484"/>
    <w:rsid w:val="2DE103B1"/>
    <w:rsid w:val="2E042C2C"/>
    <w:rsid w:val="2E5854F7"/>
    <w:rsid w:val="2E8E9495"/>
    <w:rsid w:val="2EBC4BA5"/>
    <w:rsid w:val="2EBDE464"/>
    <w:rsid w:val="2EBEC003"/>
    <w:rsid w:val="2F7509A8"/>
    <w:rsid w:val="2F87F263"/>
    <w:rsid w:val="2FD4A68D"/>
    <w:rsid w:val="306E7972"/>
    <w:rsid w:val="30865EF6"/>
    <w:rsid w:val="3086F753"/>
    <w:rsid w:val="30B149B2"/>
    <w:rsid w:val="30D5B1F9"/>
    <w:rsid w:val="30F20EEA"/>
    <w:rsid w:val="310E3A0E"/>
    <w:rsid w:val="3111FD9E"/>
    <w:rsid w:val="31B694BF"/>
    <w:rsid w:val="32493971"/>
    <w:rsid w:val="325ADAC7"/>
    <w:rsid w:val="3267BF9C"/>
    <w:rsid w:val="32795C22"/>
    <w:rsid w:val="32CB130A"/>
    <w:rsid w:val="32E0CFA4"/>
    <w:rsid w:val="32FE440F"/>
    <w:rsid w:val="331E3A11"/>
    <w:rsid w:val="334E9DBA"/>
    <w:rsid w:val="33B81431"/>
    <w:rsid w:val="34538E41"/>
    <w:rsid w:val="348A5A68"/>
    <w:rsid w:val="34D75092"/>
    <w:rsid w:val="34F968C2"/>
    <w:rsid w:val="351C3248"/>
    <w:rsid w:val="3522BFA7"/>
    <w:rsid w:val="35C2398D"/>
    <w:rsid w:val="3605C8E2"/>
    <w:rsid w:val="363B3CF1"/>
    <w:rsid w:val="365996AF"/>
    <w:rsid w:val="3666D8EF"/>
    <w:rsid w:val="36AB5929"/>
    <w:rsid w:val="375A86F3"/>
    <w:rsid w:val="37600649"/>
    <w:rsid w:val="37650710"/>
    <w:rsid w:val="37B03E3B"/>
    <w:rsid w:val="37BCB93C"/>
    <w:rsid w:val="380DFA96"/>
    <w:rsid w:val="38222FBF"/>
    <w:rsid w:val="38B0D858"/>
    <w:rsid w:val="38C772BA"/>
    <w:rsid w:val="39009E53"/>
    <w:rsid w:val="393F6140"/>
    <w:rsid w:val="3A17057A"/>
    <w:rsid w:val="3A61C95F"/>
    <w:rsid w:val="3A67B52C"/>
    <w:rsid w:val="3A6819D3"/>
    <w:rsid w:val="3A80062D"/>
    <w:rsid w:val="3A801699"/>
    <w:rsid w:val="3A9CA7D2"/>
    <w:rsid w:val="3C300C47"/>
    <w:rsid w:val="3C30E28D"/>
    <w:rsid w:val="3C4A7D3A"/>
    <w:rsid w:val="3C5D8D85"/>
    <w:rsid w:val="3C879501"/>
    <w:rsid w:val="3D809DEB"/>
    <w:rsid w:val="3DB4B0B8"/>
    <w:rsid w:val="3DE64D9B"/>
    <w:rsid w:val="3DF7277B"/>
    <w:rsid w:val="3ECFA47E"/>
    <w:rsid w:val="3EF952B0"/>
    <w:rsid w:val="3F3F6B12"/>
    <w:rsid w:val="3F4C2D78"/>
    <w:rsid w:val="3F7B7FE9"/>
    <w:rsid w:val="3F7F52F5"/>
    <w:rsid w:val="3FE2D230"/>
    <w:rsid w:val="400F746A"/>
    <w:rsid w:val="4013F865"/>
    <w:rsid w:val="4044D8F5"/>
    <w:rsid w:val="4054C90F"/>
    <w:rsid w:val="4063DBE8"/>
    <w:rsid w:val="40716A10"/>
    <w:rsid w:val="40DA7AAA"/>
    <w:rsid w:val="40E684CB"/>
    <w:rsid w:val="42AC89CC"/>
    <w:rsid w:val="42C423E9"/>
    <w:rsid w:val="4303D532"/>
    <w:rsid w:val="43082A64"/>
    <w:rsid w:val="433A9507"/>
    <w:rsid w:val="434B9927"/>
    <w:rsid w:val="439F4CF8"/>
    <w:rsid w:val="43B25A32"/>
    <w:rsid w:val="441E258D"/>
    <w:rsid w:val="44CC9735"/>
    <w:rsid w:val="45096832"/>
    <w:rsid w:val="45C43057"/>
    <w:rsid w:val="45D017E0"/>
    <w:rsid w:val="45D4EF4B"/>
    <w:rsid w:val="461F5A75"/>
    <w:rsid w:val="46E36696"/>
    <w:rsid w:val="46EA1126"/>
    <w:rsid w:val="47352F33"/>
    <w:rsid w:val="47D77B25"/>
    <w:rsid w:val="480346C4"/>
    <w:rsid w:val="4820D406"/>
    <w:rsid w:val="485DF1E9"/>
    <w:rsid w:val="4867AEB8"/>
    <w:rsid w:val="48702FBC"/>
    <w:rsid w:val="489B001D"/>
    <w:rsid w:val="489C79D2"/>
    <w:rsid w:val="48AD779C"/>
    <w:rsid w:val="48CEE79C"/>
    <w:rsid w:val="4907B8A2"/>
    <w:rsid w:val="493D3C29"/>
    <w:rsid w:val="494C135E"/>
    <w:rsid w:val="496E2278"/>
    <w:rsid w:val="49AE03B5"/>
    <w:rsid w:val="49F18B39"/>
    <w:rsid w:val="49F195D1"/>
    <w:rsid w:val="4A01E89A"/>
    <w:rsid w:val="4A1474B8"/>
    <w:rsid w:val="4A1D12BB"/>
    <w:rsid w:val="4A634241"/>
    <w:rsid w:val="4A8F930F"/>
    <w:rsid w:val="4A8FF04C"/>
    <w:rsid w:val="4A9813D7"/>
    <w:rsid w:val="4AD788FF"/>
    <w:rsid w:val="4B0252B2"/>
    <w:rsid w:val="4B7DE7E8"/>
    <w:rsid w:val="4BA18DC8"/>
    <w:rsid w:val="4BB04519"/>
    <w:rsid w:val="4BB4D1B9"/>
    <w:rsid w:val="4BCBF001"/>
    <w:rsid w:val="4BE5185E"/>
    <w:rsid w:val="4C1EA6FF"/>
    <w:rsid w:val="4C806F62"/>
    <w:rsid w:val="4CBBDDE2"/>
    <w:rsid w:val="4CCFF2BB"/>
    <w:rsid w:val="4CF14C96"/>
    <w:rsid w:val="4CF27B6D"/>
    <w:rsid w:val="4D293693"/>
    <w:rsid w:val="4D84A152"/>
    <w:rsid w:val="4DCE5E51"/>
    <w:rsid w:val="4E182E4F"/>
    <w:rsid w:val="4E37EAE7"/>
    <w:rsid w:val="4E4C20C8"/>
    <w:rsid w:val="4E85AECF"/>
    <w:rsid w:val="4E8FFC24"/>
    <w:rsid w:val="4EA70609"/>
    <w:rsid w:val="4EC506F4"/>
    <w:rsid w:val="4F336C71"/>
    <w:rsid w:val="4F6B9A39"/>
    <w:rsid w:val="4FAEE423"/>
    <w:rsid w:val="4FB0F6BE"/>
    <w:rsid w:val="4FEC6173"/>
    <w:rsid w:val="5000B358"/>
    <w:rsid w:val="5028ED58"/>
    <w:rsid w:val="502BCC85"/>
    <w:rsid w:val="502C4956"/>
    <w:rsid w:val="50762550"/>
    <w:rsid w:val="509F98D3"/>
    <w:rsid w:val="50D73778"/>
    <w:rsid w:val="50ECD921"/>
    <w:rsid w:val="5172F656"/>
    <w:rsid w:val="51C4BDB9"/>
    <w:rsid w:val="51CDDA16"/>
    <w:rsid w:val="51FD8010"/>
    <w:rsid w:val="52255690"/>
    <w:rsid w:val="52340DB9"/>
    <w:rsid w:val="526FA52F"/>
    <w:rsid w:val="52741C8E"/>
    <w:rsid w:val="52792008"/>
    <w:rsid w:val="529B0231"/>
    <w:rsid w:val="52FF0950"/>
    <w:rsid w:val="5344C0D7"/>
    <w:rsid w:val="53D2F7D6"/>
    <w:rsid w:val="5400168F"/>
    <w:rsid w:val="540FC7F4"/>
    <w:rsid w:val="54264FC9"/>
    <w:rsid w:val="54902B86"/>
    <w:rsid w:val="54E72302"/>
    <w:rsid w:val="5523E1EE"/>
    <w:rsid w:val="554A3E14"/>
    <w:rsid w:val="55722E38"/>
    <w:rsid w:val="559BE6F0"/>
    <w:rsid w:val="55A7C6B9"/>
    <w:rsid w:val="55B643FF"/>
    <w:rsid w:val="55C2202A"/>
    <w:rsid w:val="569B8ADA"/>
    <w:rsid w:val="56CF931B"/>
    <w:rsid w:val="56F8C7B3"/>
    <w:rsid w:val="571653D7"/>
    <w:rsid w:val="5725196C"/>
    <w:rsid w:val="5773D79F"/>
    <w:rsid w:val="57A231A8"/>
    <w:rsid w:val="57E2F582"/>
    <w:rsid w:val="58062ABE"/>
    <w:rsid w:val="580BE9FF"/>
    <w:rsid w:val="581DA259"/>
    <w:rsid w:val="581DE5A2"/>
    <w:rsid w:val="588004C2"/>
    <w:rsid w:val="58B2502F"/>
    <w:rsid w:val="58C3E43B"/>
    <w:rsid w:val="58CA9471"/>
    <w:rsid w:val="58CFBD26"/>
    <w:rsid w:val="58EA5D61"/>
    <w:rsid w:val="5916E367"/>
    <w:rsid w:val="592DE935"/>
    <w:rsid w:val="59875CFC"/>
    <w:rsid w:val="59B1A3E8"/>
    <w:rsid w:val="59B55C18"/>
    <w:rsid w:val="59BC64D4"/>
    <w:rsid w:val="5A49895C"/>
    <w:rsid w:val="5A715CE3"/>
    <w:rsid w:val="5AA9D74E"/>
    <w:rsid w:val="5AAF2BC4"/>
    <w:rsid w:val="5AAF9342"/>
    <w:rsid w:val="5AB3EE1A"/>
    <w:rsid w:val="5ADDF806"/>
    <w:rsid w:val="5B27278F"/>
    <w:rsid w:val="5B3A065D"/>
    <w:rsid w:val="5C4E8429"/>
    <w:rsid w:val="5C60248C"/>
    <w:rsid w:val="5CA44535"/>
    <w:rsid w:val="5DE31923"/>
    <w:rsid w:val="5DF9C2C5"/>
    <w:rsid w:val="5E2B6EC1"/>
    <w:rsid w:val="5E3CD3DA"/>
    <w:rsid w:val="5F1FCF3A"/>
    <w:rsid w:val="5F7F0A2E"/>
    <w:rsid w:val="60AFF3A5"/>
    <w:rsid w:val="60B6B2A0"/>
    <w:rsid w:val="60CA499B"/>
    <w:rsid w:val="611ADA8F"/>
    <w:rsid w:val="614D1920"/>
    <w:rsid w:val="61A2E925"/>
    <w:rsid w:val="6212D9C5"/>
    <w:rsid w:val="622B0B4F"/>
    <w:rsid w:val="623788E3"/>
    <w:rsid w:val="62A9BE44"/>
    <w:rsid w:val="62E23C32"/>
    <w:rsid w:val="62EB616E"/>
    <w:rsid w:val="635B0E3A"/>
    <w:rsid w:val="63788002"/>
    <w:rsid w:val="63BEC85E"/>
    <w:rsid w:val="63F6B040"/>
    <w:rsid w:val="64034EBD"/>
    <w:rsid w:val="644F543C"/>
    <w:rsid w:val="644FFC5C"/>
    <w:rsid w:val="64B1E551"/>
    <w:rsid w:val="64CBB3AE"/>
    <w:rsid w:val="6518F511"/>
    <w:rsid w:val="65738255"/>
    <w:rsid w:val="65D49E04"/>
    <w:rsid w:val="65D6998F"/>
    <w:rsid w:val="65D6A390"/>
    <w:rsid w:val="6638F105"/>
    <w:rsid w:val="664DB5B2"/>
    <w:rsid w:val="667ED0B0"/>
    <w:rsid w:val="670AFA06"/>
    <w:rsid w:val="673B33C6"/>
    <w:rsid w:val="6786F4FE"/>
    <w:rsid w:val="67CCB53B"/>
    <w:rsid w:val="67E3B620"/>
    <w:rsid w:val="67FD0616"/>
    <w:rsid w:val="68135B52"/>
    <w:rsid w:val="68155554"/>
    <w:rsid w:val="683D7DA3"/>
    <w:rsid w:val="688D3E14"/>
    <w:rsid w:val="68AF5BFC"/>
    <w:rsid w:val="68B0D42B"/>
    <w:rsid w:val="697F8681"/>
    <w:rsid w:val="69D235B4"/>
    <w:rsid w:val="69D6B2BD"/>
    <w:rsid w:val="6A122351"/>
    <w:rsid w:val="6A5BDC45"/>
    <w:rsid w:val="6A777624"/>
    <w:rsid w:val="6A907BC7"/>
    <w:rsid w:val="6AFB1C0E"/>
    <w:rsid w:val="6B68C795"/>
    <w:rsid w:val="6BC0E771"/>
    <w:rsid w:val="6BC5B61B"/>
    <w:rsid w:val="6C5EC080"/>
    <w:rsid w:val="6C6298EB"/>
    <w:rsid w:val="6CBF14C9"/>
    <w:rsid w:val="6D5A65A6"/>
    <w:rsid w:val="6D7BDC43"/>
    <w:rsid w:val="6DD80BB5"/>
    <w:rsid w:val="6DE2F3AF"/>
    <w:rsid w:val="6E2665CA"/>
    <w:rsid w:val="6E32C813"/>
    <w:rsid w:val="6E596D97"/>
    <w:rsid w:val="6E650164"/>
    <w:rsid w:val="6EE2EF15"/>
    <w:rsid w:val="6EF8676B"/>
    <w:rsid w:val="6F1E9D80"/>
    <w:rsid w:val="7096FD6A"/>
    <w:rsid w:val="70991F8E"/>
    <w:rsid w:val="70C903CD"/>
    <w:rsid w:val="70D073FF"/>
    <w:rsid w:val="70EB7909"/>
    <w:rsid w:val="715A7880"/>
    <w:rsid w:val="7192121B"/>
    <w:rsid w:val="71B4F5BB"/>
    <w:rsid w:val="71DA92EE"/>
    <w:rsid w:val="721FF6DE"/>
    <w:rsid w:val="72DB528D"/>
    <w:rsid w:val="733B937D"/>
    <w:rsid w:val="734E891A"/>
    <w:rsid w:val="7386B18A"/>
    <w:rsid w:val="73A549FF"/>
    <w:rsid w:val="73A9D1E1"/>
    <w:rsid w:val="7428DA19"/>
    <w:rsid w:val="744B88F4"/>
    <w:rsid w:val="74C9B2DD"/>
    <w:rsid w:val="74E1D3F1"/>
    <w:rsid w:val="74F75A5F"/>
    <w:rsid w:val="75431907"/>
    <w:rsid w:val="75451DD8"/>
    <w:rsid w:val="75ECF775"/>
    <w:rsid w:val="75F77F98"/>
    <w:rsid w:val="75F8BCB9"/>
    <w:rsid w:val="76071212"/>
    <w:rsid w:val="761C7947"/>
    <w:rsid w:val="763758CB"/>
    <w:rsid w:val="76B2DFC7"/>
    <w:rsid w:val="76E41045"/>
    <w:rsid w:val="7744441B"/>
    <w:rsid w:val="776051DC"/>
    <w:rsid w:val="777D1F9F"/>
    <w:rsid w:val="7784F79D"/>
    <w:rsid w:val="77A82D63"/>
    <w:rsid w:val="77A8FBB2"/>
    <w:rsid w:val="77D3292C"/>
    <w:rsid w:val="780F04A0"/>
    <w:rsid w:val="78342040"/>
    <w:rsid w:val="792ECF9E"/>
    <w:rsid w:val="793C2F3F"/>
    <w:rsid w:val="798251E1"/>
    <w:rsid w:val="79C53348"/>
    <w:rsid w:val="7A2AB775"/>
    <w:rsid w:val="7A524238"/>
    <w:rsid w:val="7A856D56"/>
    <w:rsid w:val="7A896D3E"/>
    <w:rsid w:val="7A9C60FA"/>
    <w:rsid w:val="7AD487AB"/>
    <w:rsid w:val="7AD4D440"/>
    <w:rsid w:val="7AEA207C"/>
    <w:rsid w:val="7AFB5CD4"/>
    <w:rsid w:val="7B1164A6"/>
    <w:rsid w:val="7B1EA666"/>
    <w:rsid w:val="7B396832"/>
    <w:rsid w:val="7B6AEC10"/>
    <w:rsid w:val="7BB4E3C6"/>
    <w:rsid w:val="7BC37AF5"/>
    <w:rsid w:val="7C5995E9"/>
    <w:rsid w:val="7C8D5D2D"/>
    <w:rsid w:val="7D0A0BD8"/>
    <w:rsid w:val="7D8C6966"/>
    <w:rsid w:val="7D984CDA"/>
    <w:rsid w:val="7DD8FC33"/>
    <w:rsid w:val="7E134A46"/>
    <w:rsid w:val="7E2EF100"/>
    <w:rsid w:val="7E36D834"/>
    <w:rsid w:val="7E5A080F"/>
    <w:rsid w:val="7E6CEAE5"/>
    <w:rsid w:val="7E8CB3DC"/>
    <w:rsid w:val="7EEC8488"/>
    <w:rsid w:val="7EEE0BB4"/>
    <w:rsid w:val="7EF9D767"/>
    <w:rsid w:val="7F0DE001"/>
    <w:rsid w:val="7F0E518A"/>
    <w:rsid w:val="7FE9FA6E"/>
    <w:rsid w:val="7FF407C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C938E"/>
  <w15:chartTrackingRefBased/>
  <w15:docId w15:val="{2D22C0D8-9992-4B88-9B43-B5BB047B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B36"/>
    <w:pPr>
      <w:spacing w:after="0" w:line="360" w:lineRule="auto"/>
      <w:ind w:firstLine="1418"/>
    </w:pPr>
    <w:rPr>
      <w:rFonts w:ascii="Arial" w:hAnsi="Arial"/>
      <w:kern w:val="24"/>
      <w:sz w:val="24"/>
    </w:rPr>
  </w:style>
  <w:style w:type="paragraph" w:styleId="Ttulo1">
    <w:name w:val="heading 1"/>
    <w:basedOn w:val="Normal"/>
    <w:next w:val="Normal"/>
    <w:link w:val="Ttulo1Char"/>
    <w:uiPriority w:val="9"/>
    <w:qFormat/>
    <w:rsid w:val="00D13B36"/>
    <w:pPr>
      <w:keepNext/>
      <w:spacing w:before="240" w:after="60" w:line="276" w:lineRule="auto"/>
      <w:ind w:firstLine="0"/>
      <w:outlineLvl w:val="0"/>
    </w:pPr>
    <w:rPr>
      <w:rFonts w:ascii="Cambria" w:eastAsia="Times New Roman" w:hAnsi="Cambria"/>
      <w:b/>
      <w:bCs/>
      <w:kern w:val="32"/>
      <w:sz w:val="32"/>
      <w:szCs w:val="32"/>
    </w:rPr>
  </w:style>
  <w:style w:type="paragraph" w:styleId="Ttulo3">
    <w:name w:val="heading 3"/>
    <w:basedOn w:val="Normal"/>
    <w:next w:val="Normal"/>
    <w:link w:val="Ttulo3Char"/>
    <w:uiPriority w:val="9"/>
    <w:semiHidden/>
    <w:unhideWhenUsed/>
    <w:qFormat/>
    <w:rsid w:val="000575FF"/>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13B36"/>
    <w:pPr>
      <w:tabs>
        <w:tab w:val="center" w:pos="4252"/>
        <w:tab w:val="right" w:pos="8504"/>
      </w:tabs>
      <w:spacing w:line="240" w:lineRule="auto"/>
    </w:pPr>
  </w:style>
  <w:style w:type="character" w:customStyle="1" w:styleId="CabealhoChar">
    <w:name w:val="Cabeçalho Char"/>
    <w:basedOn w:val="Fontepargpadro"/>
    <w:link w:val="Cabealho"/>
    <w:uiPriority w:val="99"/>
    <w:rsid w:val="00D13B36"/>
    <w:rPr>
      <w:rFonts w:ascii="Arial" w:hAnsi="Arial"/>
      <w:kern w:val="24"/>
      <w:sz w:val="24"/>
    </w:rPr>
  </w:style>
  <w:style w:type="paragraph" w:styleId="Rodap">
    <w:name w:val="footer"/>
    <w:basedOn w:val="Normal"/>
    <w:link w:val="RodapChar"/>
    <w:uiPriority w:val="99"/>
    <w:unhideWhenUsed/>
    <w:rsid w:val="00D13B36"/>
    <w:pPr>
      <w:tabs>
        <w:tab w:val="center" w:pos="4252"/>
        <w:tab w:val="right" w:pos="8504"/>
      </w:tabs>
      <w:spacing w:line="240" w:lineRule="auto"/>
    </w:pPr>
  </w:style>
  <w:style w:type="character" w:customStyle="1" w:styleId="RodapChar">
    <w:name w:val="Rodapé Char"/>
    <w:basedOn w:val="Fontepargpadro"/>
    <w:link w:val="Rodap"/>
    <w:uiPriority w:val="99"/>
    <w:rsid w:val="00D13B36"/>
    <w:rPr>
      <w:rFonts w:ascii="Arial" w:hAnsi="Arial"/>
      <w:kern w:val="24"/>
      <w:sz w:val="24"/>
    </w:rPr>
  </w:style>
  <w:style w:type="character" w:styleId="Hyperlink">
    <w:name w:val="Hyperlink"/>
    <w:basedOn w:val="Fontepargpadro"/>
    <w:uiPriority w:val="99"/>
    <w:unhideWhenUsed/>
    <w:rsid w:val="00D13B36"/>
    <w:rPr>
      <w:color w:val="0563C1" w:themeColor="hyperlink"/>
      <w:u w:val="single"/>
    </w:rPr>
  </w:style>
  <w:style w:type="paragraph" w:styleId="PargrafodaLista">
    <w:name w:val="List Paragraph"/>
    <w:basedOn w:val="Normal"/>
    <w:uiPriority w:val="34"/>
    <w:qFormat/>
    <w:rsid w:val="00D13B36"/>
    <w:pPr>
      <w:spacing w:after="160" w:line="259" w:lineRule="auto"/>
      <w:ind w:left="720" w:firstLine="0"/>
      <w:contextualSpacing/>
    </w:pPr>
    <w:rPr>
      <w:rFonts w:asciiTheme="minorHAnsi" w:hAnsiTheme="minorHAnsi"/>
      <w:kern w:val="0"/>
      <w:sz w:val="22"/>
    </w:rPr>
  </w:style>
  <w:style w:type="paragraph" w:styleId="Textodenotaderodap">
    <w:name w:val="footnote text"/>
    <w:basedOn w:val="Normal"/>
    <w:link w:val="TextodenotaderodapChar"/>
    <w:uiPriority w:val="99"/>
    <w:unhideWhenUsed/>
    <w:rsid w:val="00D13B36"/>
    <w:pPr>
      <w:spacing w:line="240" w:lineRule="auto"/>
      <w:ind w:firstLine="0"/>
    </w:pPr>
    <w:rPr>
      <w:rFonts w:asciiTheme="minorHAnsi" w:hAnsiTheme="minorHAnsi"/>
      <w:kern w:val="0"/>
      <w:sz w:val="20"/>
      <w:szCs w:val="20"/>
    </w:rPr>
  </w:style>
  <w:style w:type="character" w:customStyle="1" w:styleId="TextodenotaderodapChar">
    <w:name w:val="Texto de nota de rodapé Char"/>
    <w:basedOn w:val="Fontepargpadro"/>
    <w:link w:val="Textodenotaderodap"/>
    <w:uiPriority w:val="99"/>
    <w:rsid w:val="00D13B36"/>
    <w:rPr>
      <w:sz w:val="20"/>
      <w:szCs w:val="20"/>
    </w:rPr>
  </w:style>
  <w:style w:type="character" w:styleId="Refdenotaderodap">
    <w:name w:val="footnote reference"/>
    <w:basedOn w:val="Fontepargpadro"/>
    <w:semiHidden/>
    <w:unhideWhenUsed/>
    <w:rsid w:val="00D13B36"/>
    <w:rPr>
      <w:vertAlign w:val="superscript"/>
    </w:rPr>
  </w:style>
  <w:style w:type="character" w:customStyle="1" w:styleId="fontstyle01">
    <w:name w:val="fontstyle01"/>
    <w:basedOn w:val="Fontepargpadro"/>
    <w:rsid w:val="00D13B36"/>
    <w:rPr>
      <w:rFonts w:ascii="Times-Italic" w:hAnsi="Times-Italic" w:hint="default"/>
      <w:b w:val="0"/>
      <w:bCs w:val="0"/>
      <w:i/>
      <w:iCs/>
      <w:color w:val="000000"/>
      <w:sz w:val="20"/>
      <w:szCs w:val="20"/>
    </w:rPr>
  </w:style>
  <w:style w:type="paragraph" w:styleId="NormalWeb">
    <w:name w:val="Normal (Web)"/>
    <w:basedOn w:val="Normal"/>
    <w:link w:val="NormalWebChar"/>
    <w:uiPriority w:val="99"/>
    <w:unhideWhenUsed/>
    <w:rsid w:val="00D13B36"/>
    <w:pPr>
      <w:spacing w:before="100" w:beforeAutospacing="1" w:after="100" w:afterAutospacing="1" w:line="240" w:lineRule="auto"/>
      <w:ind w:firstLine="0"/>
    </w:pPr>
    <w:rPr>
      <w:rFonts w:ascii="Times New Roman" w:eastAsia="Times New Roman" w:hAnsi="Times New Roman" w:cs="Times New Roman"/>
      <w:kern w:val="0"/>
      <w:szCs w:val="24"/>
      <w:lang w:eastAsia="pt-BR"/>
    </w:rPr>
  </w:style>
  <w:style w:type="character" w:customStyle="1" w:styleId="normaltextrun">
    <w:name w:val="normaltextrun"/>
    <w:basedOn w:val="Fontepargpadro"/>
    <w:rsid w:val="00D13B36"/>
  </w:style>
  <w:style w:type="character" w:customStyle="1" w:styleId="spellingerror">
    <w:name w:val="spellingerror"/>
    <w:basedOn w:val="Fontepargpadro"/>
    <w:rsid w:val="00D13B36"/>
  </w:style>
  <w:style w:type="character" w:customStyle="1" w:styleId="Ttulo1Char">
    <w:name w:val="Título 1 Char"/>
    <w:basedOn w:val="Fontepargpadro"/>
    <w:link w:val="Ttulo1"/>
    <w:uiPriority w:val="9"/>
    <w:rsid w:val="00D13B36"/>
    <w:rPr>
      <w:rFonts w:ascii="Cambria" w:eastAsia="Times New Roman" w:hAnsi="Cambria"/>
      <w:b/>
      <w:bCs/>
      <w:kern w:val="32"/>
      <w:sz w:val="32"/>
      <w:szCs w:val="32"/>
    </w:rPr>
  </w:style>
  <w:style w:type="character" w:customStyle="1" w:styleId="NormalWebChar">
    <w:name w:val="Normal (Web) Char"/>
    <w:link w:val="NormalWeb"/>
    <w:uiPriority w:val="99"/>
    <w:rsid w:val="00D13B36"/>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ascii="Arial" w:hAnsi="Arial"/>
      <w:kern w:val="24"/>
      <w:sz w:val="20"/>
      <w:szCs w:val="20"/>
    </w:rPr>
  </w:style>
  <w:style w:type="character" w:styleId="Refdecomentrio">
    <w:name w:val="annotation reference"/>
    <w:basedOn w:val="Fontepargpadro"/>
    <w:uiPriority w:val="99"/>
    <w:semiHidden/>
    <w:unhideWhenUsed/>
    <w:rPr>
      <w:sz w:val="16"/>
      <w:szCs w:val="16"/>
    </w:rPr>
  </w:style>
  <w:style w:type="character" w:customStyle="1" w:styleId="Ttulo3Char">
    <w:name w:val="Título 3 Char"/>
    <w:basedOn w:val="Fontepargpadro"/>
    <w:link w:val="Ttulo3"/>
    <w:uiPriority w:val="9"/>
    <w:semiHidden/>
    <w:rsid w:val="000575FF"/>
    <w:rPr>
      <w:rFonts w:asciiTheme="majorHAnsi" w:eastAsiaTheme="majorEastAsia" w:hAnsiTheme="majorHAnsi" w:cstheme="majorBidi"/>
      <w:color w:val="1F3763" w:themeColor="accent1" w:themeShade="7F"/>
      <w:kern w:val="24"/>
      <w:sz w:val="24"/>
      <w:szCs w:val="24"/>
    </w:rPr>
  </w:style>
  <w:style w:type="character" w:customStyle="1" w:styleId="MenoPendente1">
    <w:name w:val="Menção Pendente1"/>
    <w:basedOn w:val="Fontepargpadro"/>
    <w:uiPriority w:val="99"/>
    <w:semiHidden/>
    <w:unhideWhenUsed/>
    <w:rsid w:val="00DA7E36"/>
    <w:rPr>
      <w:color w:val="605E5C"/>
      <w:shd w:val="clear" w:color="auto" w:fill="E1DFDD"/>
    </w:rPr>
  </w:style>
  <w:style w:type="paragraph" w:styleId="Reviso">
    <w:name w:val="Revision"/>
    <w:hidden/>
    <w:uiPriority w:val="99"/>
    <w:semiHidden/>
    <w:rsid w:val="00192066"/>
    <w:pPr>
      <w:spacing w:after="0" w:line="240" w:lineRule="auto"/>
    </w:pPr>
    <w:rPr>
      <w:rFonts w:ascii="Arial" w:hAnsi="Arial"/>
      <w:kern w:val="24"/>
      <w:sz w:val="24"/>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2C2235"/>
    <w:rPr>
      <w:b/>
      <w:bCs/>
    </w:rPr>
  </w:style>
  <w:style w:type="paragraph" w:styleId="Textodebalo">
    <w:name w:val="Balloon Text"/>
    <w:basedOn w:val="Normal"/>
    <w:link w:val="TextodebaloChar"/>
    <w:uiPriority w:val="99"/>
    <w:semiHidden/>
    <w:unhideWhenUsed/>
    <w:rsid w:val="00E25D8B"/>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25D8B"/>
    <w:rPr>
      <w:rFonts w:ascii="Segoe UI" w:hAnsi="Segoe UI" w:cs="Segoe UI"/>
      <w:kern w:val="24"/>
      <w:sz w:val="18"/>
      <w:szCs w:val="18"/>
    </w:rPr>
  </w:style>
  <w:style w:type="paragraph" w:styleId="Assuntodocomentrio">
    <w:name w:val="annotation subject"/>
    <w:basedOn w:val="Textodecomentrio"/>
    <w:next w:val="Textodecomentrio"/>
    <w:link w:val="AssuntodocomentrioChar"/>
    <w:uiPriority w:val="99"/>
    <w:semiHidden/>
    <w:unhideWhenUsed/>
    <w:rsid w:val="00926BE7"/>
    <w:rPr>
      <w:b/>
      <w:bCs/>
    </w:rPr>
  </w:style>
  <w:style w:type="character" w:customStyle="1" w:styleId="AssuntodocomentrioChar">
    <w:name w:val="Assunto do comentário Char"/>
    <w:basedOn w:val="TextodecomentrioChar"/>
    <w:link w:val="Assuntodocomentrio"/>
    <w:uiPriority w:val="99"/>
    <w:semiHidden/>
    <w:rsid w:val="00926BE7"/>
    <w:rPr>
      <w:rFonts w:ascii="Arial" w:hAnsi="Arial"/>
      <w:b/>
      <w:bCs/>
      <w:kern w:val="24"/>
      <w:sz w:val="20"/>
      <w:szCs w:val="20"/>
    </w:rPr>
  </w:style>
  <w:style w:type="character" w:styleId="MenoPendente">
    <w:name w:val="Unresolved Mention"/>
    <w:basedOn w:val="Fontepargpadro"/>
    <w:uiPriority w:val="99"/>
    <w:semiHidden/>
    <w:unhideWhenUsed/>
    <w:rsid w:val="00BF4707"/>
    <w:rPr>
      <w:color w:val="605E5C"/>
      <w:shd w:val="clear" w:color="auto" w:fill="E1DFDD"/>
    </w:rPr>
  </w:style>
  <w:style w:type="paragraph" w:styleId="SemEspaamento">
    <w:name w:val="No Spacing"/>
    <w:uiPriority w:val="1"/>
    <w:qFormat/>
    <w:rsid w:val="48702F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1682">
      <w:bodyDiv w:val="1"/>
      <w:marLeft w:val="0"/>
      <w:marRight w:val="0"/>
      <w:marTop w:val="0"/>
      <w:marBottom w:val="0"/>
      <w:divBdr>
        <w:top w:val="none" w:sz="0" w:space="0" w:color="auto"/>
        <w:left w:val="none" w:sz="0" w:space="0" w:color="auto"/>
        <w:bottom w:val="none" w:sz="0" w:space="0" w:color="auto"/>
        <w:right w:val="none" w:sz="0" w:space="0" w:color="auto"/>
      </w:divBdr>
      <w:divsChild>
        <w:div w:id="246888949">
          <w:marLeft w:val="0"/>
          <w:marRight w:val="0"/>
          <w:marTop w:val="0"/>
          <w:marBottom w:val="120"/>
          <w:divBdr>
            <w:top w:val="none" w:sz="0" w:space="0" w:color="auto"/>
            <w:left w:val="none" w:sz="0" w:space="0" w:color="auto"/>
            <w:bottom w:val="none" w:sz="0" w:space="0" w:color="auto"/>
            <w:right w:val="none" w:sz="0" w:space="0" w:color="auto"/>
          </w:divBdr>
          <w:divsChild>
            <w:div w:id="1558399982">
              <w:marLeft w:val="0"/>
              <w:marRight w:val="0"/>
              <w:marTop w:val="0"/>
              <w:marBottom w:val="0"/>
              <w:divBdr>
                <w:top w:val="none" w:sz="0" w:space="0" w:color="auto"/>
                <w:left w:val="none" w:sz="0" w:space="0" w:color="auto"/>
                <w:bottom w:val="none" w:sz="0" w:space="0" w:color="auto"/>
                <w:right w:val="none" w:sz="0" w:space="0" w:color="auto"/>
              </w:divBdr>
              <w:divsChild>
                <w:div w:id="841160548">
                  <w:marLeft w:val="0"/>
                  <w:marRight w:val="0"/>
                  <w:marTop w:val="0"/>
                  <w:marBottom w:val="0"/>
                  <w:divBdr>
                    <w:top w:val="none" w:sz="0" w:space="0" w:color="auto"/>
                    <w:left w:val="none" w:sz="0" w:space="0" w:color="auto"/>
                    <w:bottom w:val="none" w:sz="0" w:space="0" w:color="auto"/>
                    <w:right w:val="none" w:sz="0" w:space="0" w:color="auto"/>
                  </w:divBdr>
                  <w:divsChild>
                    <w:div w:id="889027197">
                      <w:marLeft w:val="0"/>
                      <w:marRight w:val="0"/>
                      <w:marTop w:val="0"/>
                      <w:marBottom w:val="360"/>
                      <w:divBdr>
                        <w:top w:val="none" w:sz="0" w:space="0" w:color="auto"/>
                        <w:left w:val="none" w:sz="0" w:space="0" w:color="auto"/>
                        <w:bottom w:val="none" w:sz="0" w:space="0" w:color="auto"/>
                        <w:right w:val="none" w:sz="0" w:space="0" w:color="auto"/>
                      </w:divBdr>
                      <w:divsChild>
                        <w:div w:id="116604403">
                          <w:marLeft w:val="0"/>
                          <w:marRight w:val="0"/>
                          <w:marTop w:val="0"/>
                          <w:marBottom w:val="0"/>
                          <w:divBdr>
                            <w:top w:val="none" w:sz="0" w:space="0" w:color="auto"/>
                            <w:left w:val="none" w:sz="0" w:space="0" w:color="auto"/>
                            <w:bottom w:val="none" w:sz="0" w:space="0" w:color="auto"/>
                            <w:right w:val="none" w:sz="0" w:space="0" w:color="auto"/>
                          </w:divBdr>
                          <w:divsChild>
                            <w:div w:id="1897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26127">
      <w:bodyDiv w:val="1"/>
      <w:marLeft w:val="0"/>
      <w:marRight w:val="0"/>
      <w:marTop w:val="0"/>
      <w:marBottom w:val="0"/>
      <w:divBdr>
        <w:top w:val="none" w:sz="0" w:space="0" w:color="auto"/>
        <w:left w:val="none" w:sz="0" w:space="0" w:color="auto"/>
        <w:bottom w:val="none" w:sz="0" w:space="0" w:color="auto"/>
        <w:right w:val="none" w:sz="0" w:space="0" w:color="auto"/>
      </w:divBdr>
      <w:divsChild>
        <w:div w:id="655768521">
          <w:marLeft w:val="0"/>
          <w:marRight w:val="0"/>
          <w:marTop w:val="0"/>
          <w:marBottom w:val="360"/>
          <w:divBdr>
            <w:top w:val="none" w:sz="0" w:space="0" w:color="auto"/>
            <w:left w:val="none" w:sz="0" w:space="0" w:color="auto"/>
            <w:bottom w:val="none" w:sz="0" w:space="0" w:color="auto"/>
            <w:right w:val="none" w:sz="0" w:space="0" w:color="auto"/>
          </w:divBdr>
          <w:divsChild>
            <w:div w:id="1202399789">
              <w:marLeft w:val="0"/>
              <w:marRight w:val="0"/>
              <w:marTop w:val="0"/>
              <w:marBottom w:val="0"/>
              <w:divBdr>
                <w:top w:val="none" w:sz="0" w:space="0" w:color="auto"/>
                <w:left w:val="none" w:sz="0" w:space="0" w:color="auto"/>
                <w:bottom w:val="none" w:sz="0" w:space="0" w:color="auto"/>
                <w:right w:val="none" w:sz="0" w:space="0" w:color="auto"/>
              </w:divBdr>
              <w:divsChild>
                <w:div w:id="10061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6200">
      <w:bodyDiv w:val="1"/>
      <w:marLeft w:val="0"/>
      <w:marRight w:val="0"/>
      <w:marTop w:val="0"/>
      <w:marBottom w:val="0"/>
      <w:divBdr>
        <w:top w:val="none" w:sz="0" w:space="0" w:color="auto"/>
        <w:left w:val="none" w:sz="0" w:space="0" w:color="auto"/>
        <w:bottom w:val="none" w:sz="0" w:space="0" w:color="auto"/>
        <w:right w:val="none" w:sz="0" w:space="0" w:color="auto"/>
      </w:divBdr>
      <w:divsChild>
        <w:div w:id="1003706167">
          <w:marLeft w:val="0"/>
          <w:marRight w:val="0"/>
          <w:marTop w:val="0"/>
          <w:marBottom w:val="120"/>
          <w:divBdr>
            <w:top w:val="none" w:sz="0" w:space="0" w:color="auto"/>
            <w:left w:val="none" w:sz="0" w:space="0" w:color="auto"/>
            <w:bottom w:val="none" w:sz="0" w:space="0" w:color="auto"/>
            <w:right w:val="none" w:sz="0" w:space="0" w:color="auto"/>
          </w:divBdr>
          <w:divsChild>
            <w:div w:id="1161501246">
              <w:marLeft w:val="0"/>
              <w:marRight w:val="0"/>
              <w:marTop w:val="0"/>
              <w:marBottom w:val="0"/>
              <w:divBdr>
                <w:top w:val="none" w:sz="0" w:space="0" w:color="auto"/>
                <w:left w:val="none" w:sz="0" w:space="0" w:color="auto"/>
                <w:bottom w:val="none" w:sz="0" w:space="0" w:color="auto"/>
                <w:right w:val="none" w:sz="0" w:space="0" w:color="auto"/>
              </w:divBdr>
              <w:divsChild>
                <w:div w:id="1523713079">
                  <w:marLeft w:val="0"/>
                  <w:marRight w:val="0"/>
                  <w:marTop w:val="0"/>
                  <w:marBottom w:val="0"/>
                  <w:divBdr>
                    <w:top w:val="none" w:sz="0" w:space="0" w:color="auto"/>
                    <w:left w:val="none" w:sz="0" w:space="0" w:color="auto"/>
                    <w:bottom w:val="none" w:sz="0" w:space="0" w:color="auto"/>
                    <w:right w:val="none" w:sz="0" w:space="0" w:color="auto"/>
                  </w:divBdr>
                  <w:divsChild>
                    <w:div w:id="28336234">
                      <w:marLeft w:val="0"/>
                      <w:marRight w:val="0"/>
                      <w:marTop w:val="0"/>
                      <w:marBottom w:val="360"/>
                      <w:divBdr>
                        <w:top w:val="none" w:sz="0" w:space="0" w:color="auto"/>
                        <w:left w:val="none" w:sz="0" w:space="0" w:color="auto"/>
                        <w:bottom w:val="none" w:sz="0" w:space="0" w:color="auto"/>
                        <w:right w:val="none" w:sz="0" w:space="0" w:color="auto"/>
                      </w:divBdr>
                      <w:divsChild>
                        <w:div w:id="781726837">
                          <w:marLeft w:val="0"/>
                          <w:marRight w:val="0"/>
                          <w:marTop w:val="0"/>
                          <w:marBottom w:val="0"/>
                          <w:divBdr>
                            <w:top w:val="none" w:sz="0" w:space="0" w:color="auto"/>
                            <w:left w:val="none" w:sz="0" w:space="0" w:color="auto"/>
                            <w:bottom w:val="none" w:sz="0" w:space="0" w:color="auto"/>
                            <w:right w:val="none" w:sz="0" w:space="0" w:color="auto"/>
                          </w:divBdr>
                          <w:divsChild>
                            <w:div w:id="14883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72248">
      <w:bodyDiv w:val="1"/>
      <w:marLeft w:val="0"/>
      <w:marRight w:val="0"/>
      <w:marTop w:val="0"/>
      <w:marBottom w:val="0"/>
      <w:divBdr>
        <w:top w:val="none" w:sz="0" w:space="0" w:color="auto"/>
        <w:left w:val="none" w:sz="0" w:space="0" w:color="auto"/>
        <w:bottom w:val="none" w:sz="0" w:space="0" w:color="auto"/>
        <w:right w:val="none" w:sz="0" w:space="0" w:color="auto"/>
      </w:divBdr>
      <w:divsChild>
        <w:div w:id="1185169056">
          <w:marLeft w:val="0"/>
          <w:marRight w:val="0"/>
          <w:marTop w:val="0"/>
          <w:marBottom w:val="360"/>
          <w:divBdr>
            <w:top w:val="none" w:sz="0" w:space="0" w:color="auto"/>
            <w:left w:val="none" w:sz="0" w:space="0" w:color="auto"/>
            <w:bottom w:val="none" w:sz="0" w:space="0" w:color="auto"/>
            <w:right w:val="none" w:sz="0" w:space="0" w:color="auto"/>
          </w:divBdr>
          <w:divsChild>
            <w:div w:id="1836651436">
              <w:marLeft w:val="0"/>
              <w:marRight w:val="0"/>
              <w:marTop w:val="0"/>
              <w:marBottom w:val="0"/>
              <w:divBdr>
                <w:top w:val="none" w:sz="0" w:space="0" w:color="auto"/>
                <w:left w:val="none" w:sz="0" w:space="0" w:color="auto"/>
                <w:bottom w:val="none" w:sz="0" w:space="0" w:color="auto"/>
                <w:right w:val="none" w:sz="0" w:space="0" w:color="auto"/>
              </w:divBdr>
              <w:divsChild>
                <w:div w:id="12873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0454">
      <w:bodyDiv w:val="1"/>
      <w:marLeft w:val="0"/>
      <w:marRight w:val="0"/>
      <w:marTop w:val="0"/>
      <w:marBottom w:val="0"/>
      <w:divBdr>
        <w:top w:val="none" w:sz="0" w:space="0" w:color="auto"/>
        <w:left w:val="none" w:sz="0" w:space="0" w:color="auto"/>
        <w:bottom w:val="none" w:sz="0" w:space="0" w:color="auto"/>
        <w:right w:val="none" w:sz="0" w:space="0" w:color="auto"/>
      </w:divBdr>
      <w:divsChild>
        <w:div w:id="826630278">
          <w:marLeft w:val="0"/>
          <w:marRight w:val="0"/>
          <w:marTop w:val="0"/>
          <w:marBottom w:val="360"/>
          <w:divBdr>
            <w:top w:val="none" w:sz="0" w:space="0" w:color="auto"/>
            <w:left w:val="none" w:sz="0" w:space="0" w:color="auto"/>
            <w:bottom w:val="none" w:sz="0" w:space="0" w:color="auto"/>
            <w:right w:val="none" w:sz="0" w:space="0" w:color="auto"/>
          </w:divBdr>
          <w:divsChild>
            <w:div w:id="1472207481">
              <w:marLeft w:val="0"/>
              <w:marRight w:val="0"/>
              <w:marTop w:val="0"/>
              <w:marBottom w:val="0"/>
              <w:divBdr>
                <w:top w:val="none" w:sz="0" w:space="0" w:color="auto"/>
                <w:left w:val="none" w:sz="0" w:space="0" w:color="auto"/>
                <w:bottom w:val="none" w:sz="0" w:space="0" w:color="auto"/>
                <w:right w:val="none" w:sz="0" w:space="0" w:color="auto"/>
              </w:divBdr>
              <w:divsChild>
                <w:div w:id="127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33047">
      <w:bodyDiv w:val="1"/>
      <w:marLeft w:val="0"/>
      <w:marRight w:val="0"/>
      <w:marTop w:val="0"/>
      <w:marBottom w:val="0"/>
      <w:divBdr>
        <w:top w:val="none" w:sz="0" w:space="0" w:color="auto"/>
        <w:left w:val="none" w:sz="0" w:space="0" w:color="auto"/>
        <w:bottom w:val="none" w:sz="0" w:space="0" w:color="auto"/>
        <w:right w:val="none" w:sz="0" w:space="0" w:color="auto"/>
      </w:divBdr>
      <w:divsChild>
        <w:div w:id="1036926111">
          <w:marLeft w:val="0"/>
          <w:marRight w:val="0"/>
          <w:marTop w:val="0"/>
          <w:marBottom w:val="360"/>
          <w:divBdr>
            <w:top w:val="none" w:sz="0" w:space="0" w:color="auto"/>
            <w:left w:val="none" w:sz="0" w:space="0" w:color="auto"/>
            <w:bottom w:val="none" w:sz="0" w:space="0" w:color="auto"/>
            <w:right w:val="none" w:sz="0" w:space="0" w:color="auto"/>
          </w:divBdr>
          <w:divsChild>
            <w:div w:id="482083244">
              <w:marLeft w:val="0"/>
              <w:marRight w:val="0"/>
              <w:marTop w:val="0"/>
              <w:marBottom w:val="0"/>
              <w:divBdr>
                <w:top w:val="none" w:sz="0" w:space="0" w:color="auto"/>
                <w:left w:val="none" w:sz="0" w:space="0" w:color="auto"/>
                <w:bottom w:val="none" w:sz="0" w:space="0" w:color="auto"/>
                <w:right w:val="none" w:sz="0" w:space="0" w:color="auto"/>
              </w:divBdr>
              <w:divsChild>
                <w:div w:id="17525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90205">
      <w:bodyDiv w:val="1"/>
      <w:marLeft w:val="0"/>
      <w:marRight w:val="0"/>
      <w:marTop w:val="0"/>
      <w:marBottom w:val="0"/>
      <w:divBdr>
        <w:top w:val="none" w:sz="0" w:space="0" w:color="auto"/>
        <w:left w:val="none" w:sz="0" w:space="0" w:color="auto"/>
        <w:bottom w:val="none" w:sz="0" w:space="0" w:color="auto"/>
        <w:right w:val="none" w:sz="0" w:space="0" w:color="auto"/>
      </w:divBdr>
      <w:divsChild>
        <w:div w:id="981739155">
          <w:marLeft w:val="0"/>
          <w:marRight w:val="0"/>
          <w:marTop w:val="0"/>
          <w:marBottom w:val="120"/>
          <w:divBdr>
            <w:top w:val="none" w:sz="0" w:space="0" w:color="auto"/>
            <w:left w:val="none" w:sz="0" w:space="0" w:color="auto"/>
            <w:bottom w:val="none" w:sz="0" w:space="0" w:color="auto"/>
            <w:right w:val="none" w:sz="0" w:space="0" w:color="auto"/>
          </w:divBdr>
          <w:divsChild>
            <w:div w:id="539439456">
              <w:marLeft w:val="0"/>
              <w:marRight w:val="0"/>
              <w:marTop w:val="0"/>
              <w:marBottom w:val="0"/>
              <w:divBdr>
                <w:top w:val="none" w:sz="0" w:space="0" w:color="auto"/>
                <w:left w:val="none" w:sz="0" w:space="0" w:color="auto"/>
                <w:bottom w:val="none" w:sz="0" w:space="0" w:color="auto"/>
                <w:right w:val="none" w:sz="0" w:space="0" w:color="auto"/>
              </w:divBdr>
              <w:divsChild>
                <w:div w:id="1792436746">
                  <w:marLeft w:val="0"/>
                  <w:marRight w:val="0"/>
                  <w:marTop w:val="0"/>
                  <w:marBottom w:val="0"/>
                  <w:divBdr>
                    <w:top w:val="none" w:sz="0" w:space="0" w:color="auto"/>
                    <w:left w:val="none" w:sz="0" w:space="0" w:color="auto"/>
                    <w:bottom w:val="none" w:sz="0" w:space="0" w:color="auto"/>
                    <w:right w:val="none" w:sz="0" w:space="0" w:color="auto"/>
                  </w:divBdr>
                  <w:divsChild>
                    <w:div w:id="408232381">
                      <w:marLeft w:val="0"/>
                      <w:marRight w:val="0"/>
                      <w:marTop w:val="0"/>
                      <w:marBottom w:val="360"/>
                      <w:divBdr>
                        <w:top w:val="none" w:sz="0" w:space="0" w:color="auto"/>
                        <w:left w:val="none" w:sz="0" w:space="0" w:color="auto"/>
                        <w:bottom w:val="none" w:sz="0" w:space="0" w:color="auto"/>
                        <w:right w:val="none" w:sz="0" w:space="0" w:color="auto"/>
                      </w:divBdr>
                      <w:divsChild>
                        <w:div w:id="1457329898">
                          <w:marLeft w:val="0"/>
                          <w:marRight w:val="0"/>
                          <w:marTop w:val="0"/>
                          <w:marBottom w:val="0"/>
                          <w:divBdr>
                            <w:top w:val="none" w:sz="0" w:space="0" w:color="auto"/>
                            <w:left w:val="none" w:sz="0" w:space="0" w:color="auto"/>
                            <w:bottom w:val="none" w:sz="0" w:space="0" w:color="auto"/>
                            <w:right w:val="none" w:sz="0" w:space="0" w:color="auto"/>
                          </w:divBdr>
                          <w:divsChild>
                            <w:div w:id="6149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003496">
      <w:bodyDiv w:val="1"/>
      <w:marLeft w:val="0"/>
      <w:marRight w:val="0"/>
      <w:marTop w:val="0"/>
      <w:marBottom w:val="0"/>
      <w:divBdr>
        <w:top w:val="none" w:sz="0" w:space="0" w:color="auto"/>
        <w:left w:val="none" w:sz="0" w:space="0" w:color="auto"/>
        <w:bottom w:val="none" w:sz="0" w:space="0" w:color="auto"/>
        <w:right w:val="none" w:sz="0" w:space="0" w:color="auto"/>
      </w:divBdr>
      <w:divsChild>
        <w:div w:id="624501702">
          <w:marLeft w:val="0"/>
          <w:marRight w:val="390"/>
          <w:marTop w:val="0"/>
          <w:marBottom w:val="0"/>
          <w:divBdr>
            <w:top w:val="none" w:sz="0" w:space="0" w:color="auto"/>
            <w:left w:val="none" w:sz="0" w:space="0" w:color="auto"/>
            <w:bottom w:val="none" w:sz="0" w:space="0" w:color="auto"/>
            <w:right w:val="none" w:sz="0" w:space="0" w:color="auto"/>
          </w:divBdr>
        </w:div>
        <w:div w:id="1817867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intimacao@glcm.com.b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lcmadv.com.br" TargetMode="External"/><Relationship Id="rId1" Type="http://schemas.openxmlformats.org/officeDocument/2006/relationships/hyperlink" Target="mailto:contato@glcmadv.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D22AA0428DF9640B09870F6105B99B2" ma:contentTypeVersion="13" ma:contentTypeDescription="Crie um novo documento." ma:contentTypeScope="" ma:versionID="767fc481316ac4f4025481fb48393820">
  <xsd:schema xmlns:xsd="http://www.w3.org/2001/XMLSchema" xmlns:xs="http://www.w3.org/2001/XMLSchema" xmlns:p="http://schemas.microsoft.com/office/2006/metadata/properties" xmlns:ns2="7110e5b5-bc0b-438b-a41f-a73359eb6337" xmlns:ns3="6b4e864d-a815-4097-ac90-2974c57a97e0" targetNamespace="http://schemas.microsoft.com/office/2006/metadata/properties" ma:root="true" ma:fieldsID="c82ae56593b73865e0e139c16538d1ad" ns2:_="" ns3:_="">
    <xsd:import namespace="7110e5b5-bc0b-438b-a41f-a73359eb6337"/>
    <xsd:import namespace="6b4e864d-a815-4097-ac90-2974c57a97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0e5b5-bc0b-438b-a41f-a73359eb6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00ec049-7312-4b4a-bb5a-0948420f3f9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4e864d-a815-4097-ac90-2974c57a97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ec48c8-6c8a-4fd4-a057-e8fe5acc4c24}" ma:internalName="TaxCatchAll" ma:showField="CatchAllData" ma:web="6b4e864d-a815-4097-ac90-2974c57a97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b4e864d-a815-4097-ac90-2974c57a97e0" xsi:nil="true"/>
    <lcf76f155ced4ddcb4097134ff3c332f xmlns="7110e5b5-bc0b-438b-a41f-a73359eb63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4FBC2C-B465-4417-940F-33ED6E8648E9}">
  <ds:schemaRefs>
    <ds:schemaRef ds:uri="http://schemas.microsoft.com/sharepoint/v3/contenttype/forms"/>
  </ds:schemaRefs>
</ds:datastoreItem>
</file>

<file path=customXml/itemProps2.xml><?xml version="1.0" encoding="utf-8"?>
<ds:datastoreItem xmlns:ds="http://schemas.openxmlformats.org/officeDocument/2006/customXml" ds:itemID="{7E9C26CA-C261-473A-AAF9-EC65C35F6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0e5b5-bc0b-438b-a41f-a73359eb6337"/>
    <ds:schemaRef ds:uri="6b4e864d-a815-4097-ac90-2974c57a97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5ADB81-A67D-473A-A4AD-CD7D74CD719D}">
  <ds:schemaRefs>
    <ds:schemaRef ds:uri="http://schemas.microsoft.com/office/2006/metadata/properties"/>
    <ds:schemaRef ds:uri="http://schemas.microsoft.com/office/infopath/2007/PartnerControls"/>
    <ds:schemaRef ds:uri="6b4e864d-a815-4097-ac90-2974c57a97e0"/>
    <ds:schemaRef ds:uri="7110e5b5-bc0b-438b-a41f-a73359eb6337"/>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3136</Words>
  <Characters>17817</Characters>
  <Application>Microsoft Office Word</Application>
  <DocSecurity>0</DocSecurity>
  <Lines>323</Lines>
  <Paragraphs>374</Paragraphs>
  <ScaleCrop>false</ScaleCrop>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106</cp:revision>
  <cp:lastPrinted>2025-03-07T08:24:00Z</cp:lastPrinted>
  <dcterms:created xsi:type="dcterms:W3CDTF">2025-02-20T15:21:00Z</dcterms:created>
  <dcterms:modified xsi:type="dcterms:W3CDTF">2026-04-30T17:53:00Z</dcterms:modified>
</cp:coreProperties>
</file>