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00"/>
        <w:jc w:val="center"/>
      </w:pPr>
      <w:r>
        <w:rPr>
          <w:rFonts w:ascii="Arial" w:cs="Arial" w:eastAsia="Arial" w:hAnsi="Arial"/>
          <w:b/>
          <w:bCs/>
          <w:color w:val="12355B"/>
          <w:sz w:val="54"/>
          <w:szCs w:val="54"/>
        </w:rPr>
        <w:t xml:space="preserve">LEMONCAPS</w:t>
      </w:r>
    </w:p>
    <w:p>
      <w:pPr>
        <w:pBdr>
          <w:bottom w:val="single" w:color="1F5C99" w:sz="18" w:space="8"/>
        </w:pBdr>
        <w:spacing w:after="0"/>
        <w:jc w:val="center"/>
      </w:pPr>
      <w:r>
        <w:rPr>
          <w:rFonts w:ascii="Arial" w:cs="Arial" w:eastAsia="Arial" w:hAnsi="Arial"/>
          <w:color w:val="1F5C99"/>
          <w:sz w:val="20"/>
          <w:szCs w:val="20"/>
        </w:rPr>
        <w:t xml:space="preserve">Indústria e Comércio Ltda — Fabricação de Suplementos Alimentares</w:t>
      </w:r>
    </w:p>
    <w:p>
      <w:pPr>
        <w:spacing w:after="360"/>
      </w:pPr>
      <w:r>
        <w:rPr>
          <w:rFonts w:ascii="Arial" w:cs="Arial" w:eastAsia="Arial" w:hAnsi="Arial"/>
        </w:rPr>
        <w:t xml:space="preserve"/>
      </w:r>
    </w:p>
    <w:p>
      <w:pPr>
        <w:spacing w:after="60"/>
        <w:jc w:val="center"/>
      </w:pPr>
      <w:r>
        <w:rPr>
          <w:rFonts w:ascii="Arial" w:cs="Arial" w:eastAsia="Arial" w:hAnsi="Arial"/>
          <w:color w:val="5A5A5A"/>
          <w:sz w:val="22"/>
          <w:szCs w:val="22"/>
        </w:rPr>
        <w:t xml:space="preserve">PROCEDIMENTO OPERACIONAL PADRONIZADO</w:t>
      </w: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12355B"/>
          <w:sz w:val="40"/>
          <w:szCs w:val="40"/>
        </w:rPr>
        <w:t xml:space="preserve">SANITIZAÇÃO</w:t>
      </w:r>
    </w:p>
    <w:p>
      <w:pPr>
        <w:spacing w:after="320"/>
        <w:jc w:val="center"/>
      </w:pPr>
      <w:r>
        <w:rPr>
          <w:rFonts w:ascii="Arial" w:cs="Arial" w:eastAsia="Arial" w:hAnsi="Arial"/>
          <w:i/>
          <w:iCs/>
          <w:color w:val="5A5A5A"/>
          <w:sz w:val="20"/>
          <w:szCs w:val="20"/>
        </w:rPr>
        <w:t xml:space="preserve">Redução da carga microbiana de superfícies</w:t>
      </w:r>
    </w:p>
    <w:tbl>
      <w:tblPr>
        <w:tblW w:type="dxa" w:w="8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5000"/>
      </w:tblGrid>
      <w:tr>
        <w:tc>
          <w:tcPr>
            <w:tcW w:type="dxa" w:w="3000"/>
            <w:tcBorders>
              <w:top w:val="single" w:color="FFFFFF" w:sz="3"/>
              <w:left w:val="single" w:color="12355B" w:sz="3"/>
              <w:bottom w:val="single" w:color="FFFFFF" w:sz="3"/>
              <w:right w:val="single" w:color="FFFFFF" w:sz="3"/>
            </w:tcBorders>
            <w:shd w:fill="12355B" w:val="clear"/>
            <w:tcMar>
              <w:top w:type="dxa" w:w="58"/>
              <w:left w:type="dxa" w:w="140"/>
              <w:bottom w:type="dxa" w:w="58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Empresa</w:t>
            </w:r>
          </w:p>
        </w:tc>
        <w:tc>
          <w:tcPr>
            <w:tcW w:type="dxa" w:w="5000"/>
            <w:tcBorders>
              <w:top w:val="single" w:color="FFFFFF" w:sz="3"/>
              <w:left w:val="single" w:color="FFFFFF" w:sz="3"/>
              <w:bottom w:val="single" w:color="FFFFFF" w:sz="3"/>
              <w:right w:val="single" w:color="EEF4FA" w:sz="3"/>
            </w:tcBorders>
            <w:shd w:fill="EEF4FA" w:val="clear"/>
            <w:tcMar>
              <w:top w:type="dxa" w:w="58"/>
              <w:left w:type="dxa" w:w="140"/>
              <w:bottom w:type="dxa" w:w="58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Lemoncaps Indústria e Comércio Ltda</w:t>
            </w:r>
          </w:p>
        </w:tc>
      </w:tr>
      <w:tr>
        <w:tc>
          <w:tcPr>
            <w:tcW w:type="dxa" w:w="3000"/>
            <w:tcBorders>
              <w:top w:val="single" w:color="FFFFFF" w:sz="3"/>
              <w:left w:val="single" w:color="12355B" w:sz="3"/>
              <w:bottom w:val="single" w:color="FFFFFF" w:sz="3"/>
              <w:right w:val="single" w:color="FFFFFF" w:sz="3"/>
            </w:tcBorders>
            <w:shd w:fill="12355B" w:val="clear"/>
            <w:tcMar>
              <w:top w:type="dxa" w:w="58"/>
              <w:left w:type="dxa" w:w="140"/>
              <w:bottom w:type="dxa" w:w="58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CNPJ</w:t>
            </w:r>
          </w:p>
        </w:tc>
        <w:tc>
          <w:tcPr>
            <w:tcW w:type="dxa" w:w="5000"/>
            <w:tcBorders>
              <w:top w:val="single" w:color="FFFFFF" w:sz="3"/>
              <w:left w:val="single" w:color="FFFFFF" w:sz="3"/>
              <w:bottom w:val="single" w:color="FFFFFF" w:sz="3"/>
              <w:right w:val="single" w:color="EEF4FA" w:sz="3"/>
            </w:tcBorders>
            <w:shd w:fill="EEF4FA" w:val="clear"/>
            <w:tcMar>
              <w:top w:type="dxa" w:w="58"/>
              <w:left w:type="dxa" w:w="140"/>
              <w:bottom w:type="dxa" w:w="58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55.836.075/0001-07</w:t>
            </w:r>
          </w:p>
        </w:tc>
      </w:tr>
      <w:tr>
        <w:tc>
          <w:tcPr>
            <w:tcW w:type="dxa" w:w="3000"/>
            <w:tcBorders>
              <w:top w:val="single" w:color="FFFFFF" w:sz="3"/>
              <w:left w:val="single" w:color="12355B" w:sz="3"/>
              <w:bottom w:val="single" w:color="FFFFFF" w:sz="3"/>
              <w:right w:val="single" w:color="FFFFFF" w:sz="3"/>
            </w:tcBorders>
            <w:shd w:fill="12355B" w:val="clear"/>
            <w:tcMar>
              <w:top w:type="dxa" w:w="58"/>
              <w:left w:type="dxa" w:w="140"/>
              <w:bottom w:type="dxa" w:w="58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Nome do documento</w:t>
            </w:r>
          </w:p>
        </w:tc>
        <w:tc>
          <w:tcPr>
            <w:tcW w:type="dxa" w:w="5000"/>
            <w:tcBorders>
              <w:top w:val="single" w:color="FFFFFF" w:sz="3"/>
              <w:left w:val="single" w:color="FFFFFF" w:sz="3"/>
              <w:bottom w:val="single" w:color="FFFFFF" w:sz="3"/>
              <w:right w:val="single" w:color="EEF4FA" w:sz="3"/>
            </w:tcBorders>
            <w:shd w:fill="EEF4FA" w:val="clear"/>
            <w:tcMar>
              <w:top w:type="dxa" w:w="58"/>
              <w:left w:type="dxa" w:w="140"/>
              <w:bottom w:type="dxa" w:w="58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Sanitização</w:t>
            </w:r>
          </w:p>
        </w:tc>
      </w:tr>
      <w:tr>
        <w:tc>
          <w:tcPr>
            <w:tcW w:type="dxa" w:w="3000"/>
            <w:tcBorders>
              <w:top w:val="single" w:color="FFFFFF" w:sz="3"/>
              <w:left w:val="single" w:color="12355B" w:sz="3"/>
              <w:bottom w:val="single" w:color="FFFFFF" w:sz="3"/>
              <w:right w:val="single" w:color="FFFFFF" w:sz="3"/>
            </w:tcBorders>
            <w:shd w:fill="12355B" w:val="clear"/>
            <w:tcMar>
              <w:top w:type="dxa" w:w="58"/>
              <w:left w:type="dxa" w:w="140"/>
              <w:bottom w:type="dxa" w:w="58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Código do documento</w:t>
            </w:r>
          </w:p>
        </w:tc>
        <w:tc>
          <w:tcPr>
            <w:tcW w:type="dxa" w:w="5000"/>
            <w:tcBorders>
              <w:top w:val="single" w:color="FFFFFF" w:sz="3"/>
              <w:left w:val="single" w:color="FFFFFF" w:sz="3"/>
              <w:bottom w:val="single" w:color="FFFFFF" w:sz="3"/>
              <w:right w:val="single" w:color="EEF4FA" w:sz="3"/>
            </w:tcBorders>
            <w:shd w:fill="EEF4FA" w:val="clear"/>
            <w:tcMar>
              <w:top w:type="dxa" w:w="58"/>
              <w:left w:type="dxa" w:w="140"/>
              <w:bottom w:type="dxa" w:w="58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POP-LMP-SAN-001</w:t>
            </w:r>
          </w:p>
        </w:tc>
      </w:tr>
      <w:tr>
        <w:tc>
          <w:tcPr>
            <w:tcW w:type="dxa" w:w="3000"/>
            <w:tcBorders>
              <w:top w:val="single" w:color="FFFFFF" w:sz="3"/>
              <w:left w:val="single" w:color="12355B" w:sz="3"/>
              <w:bottom w:val="single" w:color="FFFFFF" w:sz="3"/>
              <w:right w:val="single" w:color="FFFFFF" w:sz="3"/>
            </w:tcBorders>
            <w:shd w:fill="12355B" w:val="clear"/>
            <w:tcMar>
              <w:top w:type="dxa" w:w="58"/>
              <w:left w:type="dxa" w:w="140"/>
              <w:bottom w:type="dxa" w:w="58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Revisão</w:t>
            </w:r>
          </w:p>
        </w:tc>
        <w:tc>
          <w:tcPr>
            <w:tcW w:type="dxa" w:w="5000"/>
            <w:tcBorders>
              <w:top w:val="single" w:color="FFFFFF" w:sz="3"/>
              <w:left w:val="single" w:color="FFFFFF" w:sz="3"/>
              <w:bottom w:val="single" w:color="FFFFFF" w:sz="3"/>
              <w:right w:val="single" w:color="EEF4FA" w:sz="3"/>
            </w:tcBorders>
            <w:shd w:fill="EEF4FA" w:val="clear"/>
            <w:tcMar>
              <w:top w:type="dxa" w:w="58"/>
              <w:left w:type="dxa" w:w="140"/>
              <w:bottom w:type="dxa" w:w="58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00</w:t>
            </w:r>
          </w:p>
        </w:tc>
      </w:tr>
      <w:tr>
        <w:tc>
          <w:tcPr>
            <w:tcW w:type="dxa" w:w="3000"/>
            <w:tcBorders>
              <w:top w:val="single" w:color="FFFFFF" w:sz="3"/>
              <w:left w:val="single" w:color="12355B" w:sz="3"/>
              <w:bottom w:val="single" w:color="FFFFFF" w:sz="3"/>
              <w:right w:val="single" w:color="FFFFFF" w:sz="3"/>
            </w:tcBorders>
            <w:shd w:fill="12355B" w:val="clear"/>
            <w:tcMar>
              <w:top w:type="dxa" w:w="58"/>
              <w:left w:type="dxa" w:w="140"/>
              <w:bottom w:type="dxa" w:w="58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Data de emissão</w:t>
            </w:r>
          </w:p>
        </w:tc>
        <w:tc>
          <w:tcPr>
            <w:tcW w:type="dxa" w:w="5000"/>
            <w:tcBorders>
              <w:top w:val="single" w:color="FFFFFF" w:sz="3"/>
              <w:left w:val="single" w:color="FFFFFF" w:sz="3"/>
              <w:bottom w:val="single" w:color="FFFFFF" w:sz="3"/>
              <w:right w:val="single" w:color="EEF4FA" w:sz="3"/>
            </w:tcBorders>
            <w:shd w:fill="EEF4FA" w:val="clear"/>
            <w:tcMar>
              <w:top w:type="dxa" w:w="58"/>
              <w:left w:type="dxa" w:w="140"/>
              <w:bottom w:type="dxa" w:w="58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____/____/________</w:t>
            </w:r>
          </w:p>
        </w:tc>
      </w:tr>
      <w:tr>
        <w:tc>
          <w:tcPr>
            <w:tcW w:type="dxa" w:w="3000"/>
            <w:tcBorders>
              <w:top w:val="single" w:color="FFFFFF" w:sz="3"/>
              <w:left w:val="single" w:color="12355B" w:sz="3"/>
              <w:bottom w:val="single" w:color="FFFFFF" w:sz="3"/>
              <w:right w:val="single" w:color="FFFFFF" w:sz="3"/>
            </w:tcBorders>
            <w:shd w:fill="12355B" w:val="clear"/>
            <w:tcMar>
              <w:top w:type="dxa" w:w="58"/>
              <w:left w:type="dxa" w:w="140"/>
              <w:bottom w:type="dxa" w:w="58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Data de revisão</w:t>
            </w:r>
          </w:p>
        </w:tc>
        <w:tc>
          <w:tcPr>
            <w:tcW w:type="dxa" w:w="5000"/>
            <w:tcBorders>
              <w:top w:val="single" w:color="FFFFFF" w:sz="3"/>
              <w:left w:val="single" w:color="FFFFFF" w:sz="3"/>
              <w:bottom w:val="single" w:color="FFFFFF" w:sz="3"/>
              <w:right w:val="single" w:color="EEF4FA" w:sz="3"/>
            </w:tcBorders>
            <w:shd w:fill="EEF4FA" w:val="clear"/>
            <w:tcMar>
              <w:top w:type="dxa" w:w="58"/>
              <w:left w:type="dxa" w:w="140"/>
              <w:bottom w:type="dxa" w:w="58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____/____/________ (revisar em até 24 meses)</w:t>
            </w:r>
          </w:p>
        </w:tc>
      </w:tr>
      <w:tr>
        <w:tc>
          <w:tcPr>
            <w:tcW w:type="dxa" w:w="3000"/>
            <w:tcBorders>
              <w:top w:val="single" w:color="FFFFFF" w:sz="3"/>
              <w:left w:val="single" w:color="12355B" w:sz="3"/>
              <w:bottom w:val="single" w:color="FFFFFF" w:sz="3"/>
              <w:right w:val="single" w:color="FFFFFF" w:sz="3"/>
            </w:tcBorders>
            <w:shd w:fill="12355B" w:val="clear"/>
            <w:tcMar>
              <w:top w:type="dxa" w:w="58"/>
              <w:left w:type="dxa" w:w="140"/>
              <w:bottom w:type="dxa" w:w="58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Classificação</w:t>
            </w:r>
          </w:p>
        </w:tc>
        <w:tc>
          <w:tcPr>
            <w:tcW w:type="dxa" w:w="5000"/>
            <w:tcBorders>
              <w:top w:val="single" w:color="FFFFFF" w:sz="3"/>
              <w:left w:val="single" w:color="FFFFFF" w:sz="3"/>
              <w:bottom w:val="single" w:color="FFFFFF" w:sz="3"/>
              <w:right w:val="single" w:color="EEF4FA" w:sz="3"/>
            </w:tcBorders>
            <w:shd w:fill="EEF4FA" w:val="clear"/>
            <w:tcMar>
              <w:top w:type="dxa" w:w="58"/>
              <w:left w:type="dxa" w:w="140"/>
              <w:bottom w:type="dxa" w:w="58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Documento Controlado — Uso Interno</w:t>
            </w:r>
          </w:p>
        </w:tc>
      </w:tr>
      <w:tr>
        <w:tc>
          <w:tcPr>
            <w:tcW w:type="dxa" w:w="3000"/>
            <w:tcBorders>
              <w:top w:val="single" w:color="FFFFFF" w:sz="3"/>
              <w:left w:val="single" w:color="12355B" w:sz="3"/>
              <w:bottom w:val="single" w:color="FFFFFF" w:sz="3"/>
              <w:right w:val="single" w:color="FFFFFF" w:sz="3"/>
            </w:tcBorders>
            <w:shd w:fill="12355B" w:val="clear"/>
            <w:tcMar>
              <w:top w:type="dxa" w:w="58"/>
              <w:left w:type="dxa" w:w="140"/>
              <w:bottom w:type="dxa" w:w="58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Responsável pela elaboração</w:t>
            </w:r>
          </w:p>
        </w:tc>
        <w:tc>
          <w:tcPr>
            <w:tcW w:type="dxa" w:w="5000"/>
            <w:tcBorders>
              <w:top w:val="single" w:color="FFFFFF" w:sz="3"/>
              <w:left w:val="single" w:color="FFFFFF" w:sz="3"/>
              <w:bottom w:val="single" w:color="FFFFFF" w:sz="3"/>
              <w:right w:val="single" w:color="EEF4FA" w:sz="3"/>
            </w:tcBorders>
            <w:shd w:fill="EEF4FA" w:val="clear"/>
            <w:tcMar>
              <w:top w:type="dxa" w:w="58"/>
              <w:left w:type="dxa" w:w="140"/>
              <w:bottom w:type="dxa" w:w="58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________________________ (Garantia da Qualidade)</w:t>
            </w:r>
          </w:p>
        </w:tc>
      </w:tr>
      <w:tr>
        <w:tc>
          <w:tcPr>
            <w:tcW w:type="dxa" w:w="3000"/>
            <w:tcBorders>
              <w:top w:val="single" w:color="FFFFFF" w:sz="3"/>
              <w:left w:val="single" w:color="12355B" w:sz="3"/>
              <w:bottom w:val="single" w:color="FFFFFF" w:sz="3"/>
              <w:right w:val="single" w:color="FFFFFF" w:sz="3"/>
            </w:tcBorders>
            <w:shd w:fill="12355B" w:val="clear"/>
            <w:tcMar>
              <w:top w:type="dxa" w:w="58"/>
              <w:left w:type="dxa" w:w="140"/>
              <w:bottom w:type="dxa" w:w="58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Responsável pela aprovação</w:t>
            </w:r>
          </w:p>
        </w:tc>
        <w:tc>
          <w:tcPr>
            <w:tcW w:type="dxa" w:w="5000"/>
            <w:tcBorders>
              <w:top w:val="single" w:color="FFFFFF" w:sz="3"/>
              <w:left w:val="single" w:color="FFFFFF" w:sz="3"/>
              <w:bottom w:val="single" w:color="FFFFFF" w:sz="3"/>
              <w:right w:val="single" w:color="EEF4FA" w:sz="3"/>
            </w:tcBorders>
            <w:shd w:fill="EEF4FA" w:val="clear"/>
            <w:tcMar>
              <w:top w:type="dxa" w:w="58"/>
              <w:left w:type="dxa" w:w="140"/>
              <w:bottom w:type="dxa" w:w="58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________________________ (Responsável Técnico)</w:t>
            </w:r>
          </w:p>
        </w:tc>
      </w:tr>
    </w:tbl>
    <w:p>
      <w:pPr>
        <w:spacing w:after="40"/>
      </w:pPr>
      <w:r>
        <w:rPr>
          <w:rFonts w:ascii="Arial" w:cs="Arial" w:eastAsia="Arial" w:hAnsi="Arial"/>
        </w:rPr>
        <w:t xml:space="preserve"/>
      </w:r>
    </w:p>
    <w:p>
      <w:pPr>
        <w:pStyle w:val="Heading1"/>
        <w:pBdr>
          <w:bottom w:val="single" w:color="1F5C99" w:sz="12" w:space="4"/>
        </w:pBdr>
        <w:spacing w:after="150" w:before="220"/>
      </w:pPr>
      <w:r>
        <w:rPr>
          <w:rFonts w:ascii="Arial" w:cs="Arial" w:eastAsia="Arial" w:hAnsi="Arial"/>
          <w:b/>
          <w:bCs/>
          <w:color w:val="12355B"/>
          <w:sz w:val="28"/>
          <w:szCs w:val="28"/>
        </w:rPr>
        <w:t xml:space="preserve">1. CONTROLE DE REVISÕES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500"/>
        <w:gridCol w:w="5160"/>
        <w:gridCol w:w="1800"/>
      </w:tblGrid>
      <w:tr>
        <w:trPr>
          <w:tblHeader/>
        </w:trP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Rev.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Data</w:t>
            </w:r>
          </w:p>
        </w:tc>
        <w:tc>
          <w:tcPr>
            <w:tcW w:type="dxa" w:w="5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Alteração realizada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Responsável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00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__/__/____</w:t>
            </w:r>
          </w:p>
        </w:tc>
        <w:tc>
          <w:tcPr>
            <w:tcW w:type="dxa" w:w="5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Emissão inicial do procedimento.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GQ / RT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01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5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02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5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</w:tbl>
    <w:p>
      <w:pPr>
        <w:pStyle w:val="Heading1"/>
        <w:pBdr>
          <w:bottom w:val="single" w:color="1F5C99" w:sz="12" w:space="4"/>
        </w:pBdr>
        <w:spacing w:after="150" w:before="220"/>
      </w:pPr>
      <w:r>
        <w:rPr>
          <w:rFonts w:ascii="Arial" w:cs="Arial" w:eastAsia="Arial" w:hAnsi="Arial"/>
          <w:b/>
          <w:bCs/>
          <w:color w:val="12355B"/>
          <w:sz w:val="28"/>
          <w:szCs w:val="28"/>
        </w:rPr>
        <w:t xml:space="preserve">2. OBJETIVO</w:t>
      </w:r>
    </w:p>
    <w:p>
      <w:pPr>
        <w:spacing w:after="120" w:line="276"/>
        <w:jc w:val="both"/>
      </w:pPr>
      <w:r>
        <w:rPr>
          <w:rFonts w:ascii="Arial" w:cs="Arial" w:eastAsia="Arial" w:hAnsi="Arial"/>
        </w:rPr>
        <w:t xml:space="preserve">Padronizar a sanitização de superfícies, equipamentos e utensílios após a limpeza, reduzindo a carga microbiana a níveis seguros, com uso correto de sanitizantes autorizados.</w:t>
      </w:r>
    </w:p>
    <w:p>
      <w:pPr>
        <w:pStyle w:val="Heading1"/>
        <w:pBdr>
          <w:bottom w:val="single" w:color="1F5C99" w:sz="12" w:space="4"/>
        </w:pBdr>
        <w:spacing w:after="150" w:before="220"/>
      </w:pPr>
      <w:r>
        <w:rPr>
          <w:rFonts w:ascii="Arial" w:cs="Arial" w:eastAsia="Arial" w:hAnsi="Arial"/>
          <w:b/>
          <w:bCs/>
          <w:color w:val="12355B"/>
          <w:sz w:val="28"/>
          <w:szCs w:val="28"/>
        </w:rPr>
        <w:t xml:space="preserve">3. CAMPO DE APLICAÇÃO</w:t>
      </w:r>
    </w:p>
    <w:p>
      <w:pPr>
        <w:spacing w:after="120" w:line="276"/>
        <w:jc w:val="both"/>
      </w:pPr>
      <w:r>
        <w:rPr>
          <w:rFonts w:ascii="Arial" w:cs="Arial" w:eastAsia="Arial" w:hAnsi="Arial"/>
        </w:rPr>
        <w:t xml:space="preserve">Aplica-se a toda sanitização realizada na Lemoncaps. Abrange:</w:t>
      </w:r>
    </w:p>
    <w:p>
      <w:pPr>
        <w:pStyle w:val="ListParagraph"/>
        <w:numPr>
          <w:ilvl w:val="0"/>
          <w:numId w:val="2"/>
        </w:numPr>
        <w:spacing w:after="50" w:line="264"/>
        <w:jc w:val="both"/>
      </w:pPr>
      <w:r>
        <w:rPr>
          <w:rFonts w:ascii="Arial" w:cs="Arial" w:eastAsia="Arial" w:hAnsi="Arial"/>
        </w:rPr>
        <w:t xml:space="preserve">Seleção e preparo de sanitizantes;</w:t>
      </w:r>
    </w:p>
    <w:p>
      <w:pPr>
        <w:pStyle w:val="ListParagraph"/>
        <w:numPr>
          <w:ilvl w:val="0"/>
          <w:numId w:val="2"/>
        </w:numPr>
        <w:spacing w:after="50" w:line="264"/>
        <w:jc w:val="both"/>
      </w:pPr>
      <w:r>
        <w:rPr>
          <w:rFonts w:ascii="Arial" w:cs="Arial" w:eastAsia="Arial" w:hAnsi="Arial"/>
        </w:rPr>
        <w:t xml:space="preserve">Aplicação (concentração e tempo de contato);</w:t>
      </w:r>
    </w:p>
    <w:p>
      <w:pPr>
        <w:pStyle w:val="ListParagraph"/>
        <w:numPr>
          <w:ilvl w:val="0"/>
          <w:numId w:val="2"/>
        </w:numPr>
        <w:spacing w:after="50" w:line="264"/>
        <w:jc w:val="both"/>
      </w:pPr>
      <w:r>
        <w:rPr>
          <w:rFonts w:ascii="Arial" w:cs="Arial" w:eastAsia="Arial" w:hAnsi="Arial"/>
        </w:rPr>
        <w:t xml:space="preserve">Verificação e registro.</w:t>
      </w:r>
    </w:p>
    <w:p>
      <w:pPr>
        <w:pStyle w:val="Heading1"/>
        <w:pBdr>
          <w:bottom w:val="single" w:color="1F5C99" w:sz="12" w:space="4"/>
        </w:pBdr>
        <w:spacing w:after="150" w:before="220"/>
      </w:pPr>
      <w:r>
        <w:rPr>
          <w:rFonts w:ascii="Arial" w:cs="Arial" w:eastAsia="Arial" w:hAnsi="Arial"/>
          <w:b/>
          <w:bCs/>
          <w:color w:val="12355B"/>
          <w:sz w:val="28"/>
          <w:szCs w:val="28"/>
        </w:rPr>
        <w:t xml:space="preserve">4. RESPONSABILIDADES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rPr>
          <w:tblHeader/>
        </w:trP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Função</w:t>
            </w:r>
          </w:p>
        </w:tc>
        <w:tc>
          <w:tcPr>
            <w:tcW w:type="dxa" w:w="6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Responsabilidades</w:t>
            </w:r>
          </w:p>
        </w:tc>
      </w:tr>
      <w:t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Operadores / Equipe de limpeza</w:t>
            </w:r>
          </w:p>
        </w:tc>
        <w:tc>
          <w:tcPr>
            <w:tcW w:type="dxa" w:w="6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Executar a limpeza/sanitização conforme este POP; preencher registros; usar EPIs e produtos corretos.</w:t>
            </w:r>
          </w:p>
        </w:tc>
      </w:tr>
      <w:t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Supervisores</w:t>
            </w:r>
          </w:p>
        </w:tc>
        <w:tc>
          <w:tcPr>
            <w:tcW w:type="dxa" w:w="6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Supervisionar e verificar a limpeza; liberar a área/equipamento; tratar desvios.</w:t>
            </w:r>
          </w:p>
        </w:tc>
      </w:tr>
      <w:t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Controle de Qualidade (CQ)</w:t>
            </w:r>
          </w:p>
        </w:tc>
        <w:tc>
          <w:tcPr>
            <w:tcW w:type="dxa" w:w="6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Verificar a eficácia (visual/swab/enxágue) e validar a limpeza; aprovar a liberação.</w:t>
            </w:r>
          </w:p>
        </w:tc>
      </w:tr>
      <w:t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Garantia da Qualidade (GQ)</w:t>
            </w:r>
          </w:p>
        </w:tc>
        <w:tc>
          <w:tcPr>
            <w:tcW w:type="dxa" w:w="6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Manter o POP e os registros; gerir desvios/NC/CAPA; auditar.</w:t>
            </w:r>
          </w:p>
        </w:tc>
      </w:tr>
      <w:t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Responsável Técnico (RT)</w:t>
            </w:r>
          </w:p>
        </w:tc>
        <w:tc>
          <w:tcPr>
            <w:tcW w:type="dxa" w:w="6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Aprovar o POP; supervisionar; decidir em casos críticos.</w:t>
            </w:r>
          </w:p>
        </w:tc>
      </w:tr>
    </w:tbl>
    <w:p>
      <w:pPr>
        <w:pStyle w:val="Heading1"/>
        <w:pBdr>
          <w:bottom w:val="single" w:color="1F5C99" w:sz="12" w:space="4"/>
        </w:pBdr>
        <w:spacing w:after="150" w:before="220"/>
      </w:pPr>
      <w:r>
        <w:rPr>
          <w:rFonts w:ascii="Arial" w:cs="Arial" w:eastAsia="Arial" w:hAnsi="Arial"/>
          <w:b/>
          <w:bCs/>
          <w:color w:val="12355B"/>
          <w:sz w:val="28"/>
          <w:szCs w:val="28"/>
        </w:rPr>
        <w:t xml:space="preserve">5. DEFINIÇÕES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rPr>
          <w:tblHeader/>
        </w:trP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Termo</w:t>
            </w:r>
          </w:p>
        </w:tc>
        <w:tc>
          <w:tcPr>
            <w:tcW w:type="dxa" w:w="6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Definição</w:t>
            </w:r>
          </w:p>
        </w:tc>
      </w:tr>
      <w:t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Sanitizante</w:t>
            </w:r>
          </w:p>
        </w:tc>
        <w:tc>
          <w:tcPr>
            <w:tcW w:type="dxa" w:w="6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Agente químico autorizado que reduz a carga microbiana.</w:t>
            </w:r>
          </w:p>
        </w:tc>
      </w:tr>
      <w:t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Tempo de contato</w:t>
            </w:r>
          </w:p>
        </w:tc>
        <w:tc>
          <w:tcPr>
            <w:tcW w:type="dxa" w:w="6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Período mínimo de ação do sanitizante na superfície.</w:t>
            </w:r>
          </w:p>
        </w:tc>
      </w:tr>
      <w:t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POP</w:t>
            </w:r>
          </w:p>
        </w:tc>
        <w:tc>
          <w:tcPr>
            <w:tcW w:type="dxa" w:w="6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Procedimento Operacional Padronizado.</w:t>
            </w:r>
          </w:p>
        </w:tc>
      </w:tr>
      <w:t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BPF</w:t>
            </w:r>
          </w:p>
        </w:tc>
        <w:tc>
          <w:tcPr>
            <w:tcW w:type="dxa" w:w="6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Boas Práticas de Fabricação.</w:t>
            </w:r>
          </w:p>
        </w:tc>
      </w:tr>
      <w:t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PCC</w:t>
            </w:r>
          </w:p>
        </w:tc>
        <w:tc>
          <w:tcPr>
            <w:tcW w:type="dxa" w:w="6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Ponto Crítico de Controle.</w:t>
            </w:r>
          </w:p>
        </w:tc>
      </w:tr>
      <w:t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Limpeza</w:t>
            </w:r>
          </w:p>
        </w:tc>
        <w:tc>
          <w:tcPr>
            <w:tcW w:type="dxa" w:w="6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Remoção de sujidades e resíduos de superfícies.</w:t>
            </w:r>
          </w:p>
        </w:tc>
      </w:tr>
      <w:t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Sanitização</w:t>
            </w:r>
          </w:p>
        </w:tc>
        <w:tc>
          <w:tcPr>
            <w:tcW w:type="dxa" w:w="6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Redução da carga microbiana a níveis seguros após a limpeza.</w:t>
            </w:r>
          </w:p>
        </w:tc>
      </w:tr>
      <w:t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Contaminação cruzada</w:t>
            </w:r>
          </w:p>
        </w:tc>
        <w:tc>
          <w:tcPr>
            <w:tcW w:type="dxa" w:w="6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Transferência de contaminantes (inclusive alergênicos) entre produtos/superfícies.</w:t>
            </w:r>
          </w:p>
        </w:tc>
      </w:tr>
    </w:tbl>
    <w:p>
      <w:pPr>
        <w:pStyle w:val="Heading1"/>
        <w:pBdr>
          <w:bottom w:val="single" w:color="1F5C99" w:sz="12" w:space="4"/>
        </w:pBdr>
        <w:spacing w:after="150" w:before="220"/>
      </w:pPr>
      <w:r>
        <w:rPr>
          <w:rFonts w:ascii="Arial" w:cs="Arial" w:eastAsia="Arial" w:hAnsi="Arial"/>
          <w:b/>
          <w:bCs/>
          <w:color w:val="12355B"/>
          <w:sz w:val="28"/>
          <w:szCs w:val="28"/>
        </w:rPr>
        <w:t xml:space="preserve">6. BASE LEGAL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460"/>
      </w:tblGrid>
      <w:tr>
        <w:trPr>
          <w:tblHeader/>
        </w:trPr>
        <w:tc>
          <w:tcPr>
            <w:tcW w:type="dxa" w:w="2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Norma / Referência</w:t>
            </w:r>
          </w:p>
        </w:tc>
        <w:tc>
          <w:tcPr>
            <w:tcW w:type="dxa" w:w="64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Aplicação</w:t>
            </w:r>
          </w:p>
        </w:tc>
      </w:tr>
      <w:tr>
        <w:tc>
          <w:tcPr>
            <w:tcW w:type="dxa" w:w="2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RDC 275/2002</w:t>
            </w:r>
          </w:p>
        </w:tc>
        <w:tc>
          <w:tcPr>
            <w:tcW w:type="dxa" w:w="64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POPs de higienização e BPF.</w:t>
            </w:r>
          </w:p>
        </w:tc>
      </w:tr>
      <w:tr>
        <w:tc>
          <w:tcPr>
            <w:tcW w:type="dxa" w:w="2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RDC 243/2018</w:t>
            </w:r>
          </w:p>
        </w:tc>
        <w:tc>
          <w:tcPr>
            <w:tcW w:type="dxa" w:w="64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Requisitos sanitários dos suplementos.</w:t>
            </w:r>
          </w:p>
        </w:tc>
      </w:tr>
      <w:tr>
        <w:tc>
          <w:tcPr>
            <w:tcW w:type="dxa" w:w="2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Portaria GM/MS 888/2021</w:t>
            </w:r>
          </w:p>
        </w:tc>
        <w:tc>
          <w:tcPr>
            <w:tcW w:type="dxa" w:w="64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Potabilidade da água de higienização.</w:t>
            </w:r>
          </w:p>
        </w:tc>
      </w:tr>
      <w:tr>
        <w:tc>
          <w:tcPr>
            <w:tcW w:type="dxa" w:w="2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RDC 26/2015</w:t>
            </w:r>
          </w:p>
        </w:tc>
        <w:tc>
          <w:tcPr>
            <w:tcW w:type="dxa" w:w="64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Alergênicos (controle na limpeza por troca de produto).</w:t>
            </w:r>
          </w:p>
        </w:tc>
      </w:tr>
    </w:tbl>
    <w:p>
      <w:pPr>
        <w:pStyle w:val="Heading1"/>
        <w:pBdr>
          <w:bottom w:val="single" w:color="1F5C99" w:sz="12" w:space="4"/>
        </w:pBdr>
        <w:spacing w:after="150" w:before="220"/>
      </w:pPr>
      <w:r>
        <w:rPr>
          <w:rFonts w:ascii="Arial" w:cs="Arial" w:eastAsia="Arial" w:hAnsi="Arial"/>
          <w:b/>
          <w:bCs/>
          <w:color w:val="12355B"/>
          <w:sz w:val="28"/>
          <w:szCs w:val="28"/>
        </w:rPr>
        <w:t xml:space="preserve">7. PROCEDIMENTO</w:t>
      </w:r>
    </w:p>
    <w:p>
      <w:pPr>
        <w:spacing w:after="120" w:line="276"/>
        <w:jc w:val="both"/>
      </w:pPr>
      <w:r>
        <w:rPr>
          <w:rFonts w:ascii="Arial" w:cs="Arial" w:eastAsia="Arial" w:hAnsi="Arial"/>
        </w:rPr>
        <w:t xml:space="preserve">A sanitização só é eficaz após a limpeza adequada e com concentração e tempo de contato corretos.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060"/>
      </w:tblGrid>
      <w:tr>
        <w:tc>
          <w:tcPr>
            <w:tcW w:type="dxa" w:w="74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70"/>
              <w:left w:type="dxa" w:w="100"/>
              <w:bottom w:type="dxa" w:w="7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ETAPA 1 — Preparo do sanitizante</w:t>
            </w:r>
          </w:p>
        </w:tc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3261E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PCC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Objetivo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  <w:jc w:val="both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Preparar o sanitizante na concentração correta.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Responsável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  <w:jc w:val="both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Equipe de limpeza.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Método de execução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40" w:line="252"/>
              <w:ind w:left="360" w:hanging="300"/>
              <w:jc w:val="both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1)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Selecionar sanitizante autorizado (registrado) compatível com a superfície.</w:t>
            </w:r>
          </w:p>
          <w:p>
            <w:pPr>
              <w:spacing w:after="40" w:line="252"/>
              <w:ind w:left="360" w:hanging="300"/>
              <w:jc w:val="both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2)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Preparar a diluição conforme a ficha técnica.</w:t>
            </w:r>
          </w:p>
          <w:p>
            <w:pPr>
              <w:spacing w:after="0" w:line="252"/>
              <w:ind w:left="360" w:hanging="300"/>
              <w:jc w:val="both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3)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Registrar produto, lote e concentração.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Critério de aceitação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Sanitizante autorizado, na concentração correta.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Critério de reprovação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B3261E"/>
                <w:sz w:val="18"/>
                <w:szCs w:val="18"/>
              </w:rPr>
              <w:t xml:space="preserve">Produto não autorizado; concentração incorreta.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Evidências exigidas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  <w:jc w:val="both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FOR-LMP-01 (sanitizante/concentração).</w:t>
            </w:r>
          </w:p>
        </w:tc>
      </w:tr>
    </w:tbl>
    <w:p>
      <w:pPr>
        <w:spacing w:after="15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060"/>
      </w:tblGrid>
      <w:tr>
        <w:tc>
          <w:tcPr>
            <w:tcW w:type="dxa" w:w="74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70"/>
              <w:left w:type="dxa" w:w="100"/>
              <w:bottom w:type="dxa" w:w="7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ETAPA 2 — Aplicação</w:t>
            </w:r>
          </w:p>
        </w:tc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3261E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PCC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Objetivo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  <w:jc w:val="both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Aplicar respeitando o tempo de contato.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Responsável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  <w:jc w:val="both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Equipe de limpeza.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Método de execução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40" w:line="252"/>
              <w:ind w:left="360" w:hanging="300"/>
              <w:jc w:val="both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1)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Aplicar uniformemente sobre a superfície previamente limpa.</w:t>
            </w:r>
          </w:p>
          <w:p>
            <w:pPr>
              <w:spacing w:after="40" w:line="252"/>
              <w:ind w:left="360" w:hanging="300"/>
              <w:jc w:val="both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2)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Respeitar o tempo de contato definido.</w:t>
            </w:r>
          </w:p>
          <w:p>
            <w:pPr>
              <w:spacing w:after="0" w:line="252"/>
              <w:ind w:left="360" w:hanging="300"/>
              <w:jc w:val="both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3)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Enxaguar com água potável quando exigido.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Critério de aceitação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Cobertura uniforme; tempo de contato respeitado.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Critério de reprovação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B3261E"/>
                <w:sz w:val="18"/>
                <w:szCs w:val="18"/>
              </w:rPr>
              <w:t xml:space="preserve">Tempo de contato insuficiente; cobertura irregular.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Evidências exigidas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  <w:jc w:val="both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FOR-LMP-01 (tempo de contato).</w:t>
            </w:r>
          </w:p>
        </w:tc>
      </w:tr>
    </w:tbl>
    <w:p>
      <w:pPr>
        <w:spacing w:after="15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060"/>
      </w:tblGrid>
      <w:tr>
        <w:tc>
          <w:tcPr>
            <w:tcW w:type="dxa" w:w="74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70"/>
              <w:left w:type="dxa" w:w="100"/>
              <w:bottom w:type="dxa" w:w="7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ETAPA 3 — Verificação e registro</w:t>
            </w:r>
          </w:p>
        </w:tc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5C99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ETAPA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Objetivo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  <w:jc w:val="both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Confirmar e registrar.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Responsável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  <w:jc w:val="both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Supervisor/CQ.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Método de execução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40" w:line="252"/>
              <w:ind w:left="360" w:hanging="300"/>
              <w:jc w:val="both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1)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Inspecionar; quando aplicável, monitorar por swab (validação).</w:t>
            </w:r>
          </w:p>
          <w:p>
            <w:pPr>
              <w:spacing w:after="0" w:line="252"/>
              <w:ind w:left="360" w:hanging="300"/>
              <w:jc w:val="both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2)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Registrar e liberar a superfície/equipamento.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Critério de aceitação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Verificação conforme; registro feito.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Critério de reprovação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B3261E"/>
                <w:sz w:val="18"/>
                <w:szCs w:val="18"/>
              </w:rPr>
              <w:t xml:space="preserve">Uso sem verificação/registro.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Evidências exigidas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  <w:jc w:val="both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FOR-LMP-01; resultado de monitoramento.</w:t>
            </w:r>
          </w:p>
        </w:tc>
      </w:tr>
    </w:tbl>
    <w:p>
      <w:pPr>
        <w:spacing w:after="150"/>
      </w:pPr>
      <w:r>
        <w:rPr>
          <w:rFonts w:ascii="Arial" w:cs="Arial" w:eastAsia="Arial" w:hAnsi="Arial"/>
        </w:rPr>
        <w:t xml:space="preserve"/>
      </w:r>
    </w:p>
    <w:p>
      <w:pPr>
        <w:pStyle w:val="Heading1"/>
        <w:pBdr>
          <w:bottom w:val="single" w:color="1F5C99" w:sz="12" w:space="4"/>
        </w:pBdr>
        <w:spacing w:after="150" w:before="220"/>
      </w:pPr>
      <w:r>
        <w:rPr>
          <w:rFonts w:ascii="Arial" w:cs="Arial" w:eastAsia="Arial" w:hAnsi="Arial"/>
          <w:b/>
          <w:bCs/>
          <w:color w:val="12355B"/>
          <w:sz w:val="28"/>
          <w:szCs w:val="28"/>
        </w:rPr>
        <w:t xml:space="preserve">8. FREQUÊNCIAS</w:t>
      </w:r>
    </w:p>
    <w:p>
      <w:pPr>
        <w:spacing w:after="120" w:line="276"/>
        <w:jc w:val="both"/>
      </w:pPr>
      <w:r>
        <w:rPr>
          <w:rFonts w:ascii="Arial" w:cs="Arial" w:eastAsia="Arial" w:hAnsi="Arial"/>
        </w:rPr>
        <w:t xml:space="preserve">Periodicidade das atividades e verificações deste procedimento: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3000"/>
        <w:gridCol w:w="1960"/>
      </w:tblGrid>
      <w:tr>
        <w:trPr>
          <w:tblHeader/>
        </w:trPr>
        <w:tc>
          <w:tcPr>
            <w:tcW w:type="dxa" w:w="4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Atividade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Frequência</w:t>
            </w:r>
          </w:p>
        </w:tc>
        <w:tc>
          <w:tcPr>
            <w:tcW w:type="dxa" w:w="1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Responsável</w:t>
            </w:r>
          </w:p>
        </w:tc>
      </w:tr>
      <w:tr>
        <w:tc>
          <w:tcPr>
            <w:tcW w:type="dxa" w:w="4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Superfícies de contato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Após cada limpeza</w:t>
            </w:r>
          </w:p>
        </w:tc>
        <w:tc>
          <w:tcPr>
            <w:tcW w:type="dxa" w:w="1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Equipe de limpeza</w:t>
            </w:r>
          </w:p>
        </w:tc>
      </w:tr>
      <w:tr>
        <w:tc>
          <w:tcPr>
            <w:tcW w:type="dxa" w:w="4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Equipamentos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Conforme POP de limpeza</w:t>
            </w:r>
          </w:p>
        </w:tc>
        <w:tc>
          <w:tcPr>
            <w:tcW w:type="dxa" w:w="1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Equipe de limpeza</w:t>
            </w:r>
          </w:p>
        </w:tc>
      </w:tr>
      <w:tr>
        <w:tc>
          <w:tcPr>
            <w:tcW w:type="dxa" w:w="4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Monitoramento (swab)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Conforme validação</w:t>
            </w:r>
          </w:p>
        </w:tc>
        <w:tc>
          <w:tcPr>
            <w:tcW w:type="dxa" w:w="1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CQ</w:t>
            </w:r>
          </w:p>
        </w:tc>
      </w:tr>
    </w:tbl>
    <w:p>
      <w:pPr>
        <w:pStyle w:val="Heading1"/>
        <w:pBdr>
          <w:bottom w:val="single" w:color="1F5C99" w:sz="12" w:space="4"/>
        </w:pBdr>
        <w:spacing w:after="150" w:before="220"/>
      </w:pPr>
      <w:r>
        <w:rPr>
          <w:rFonts w:ascii="Arial" w:cs="Arial" w:eastAsia="Arial" w:hAnsi="Arial"/>
          <w:b/>
          <w:bCs/>
          <w:color w:val="12355B"/>
          <w:sz w:val="28"/>
          <w:szCs w:val="28"/>
        </w:rPr>
        <w:t xml:space="preserve">9. CRITÉRIOS DE ACEITAÇÃO E PONTOS CRÍTICOS DE CONTROLE (PCC)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4560"/>
        <w:gridCol w:w="1500"/>
      </w:tblGrid>
      <w:tr>
        <w:trPr>
          <w:tblHeader/>
        </w:trPr>
        <w:tc>
          <w:tcPr>
            <w:tcW w:type="dxa" w:w="3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Parâmetro / item</w:t>
            </w:r>
          </w:p>
        </w:tc>
        <w:tc>
          <w:tcPr>
            <w:tcW w:type="dxa" w:w="4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Critério de aceitação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É PCC?</w:t>
            </w:r>
          </w:p>
        </w:tc>
      </w:tr>
      <w:tr>
        <w:tc>
          <w:tcPr>
            <w:tcW w:type="dxa" w:w="3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Sanitizante</w:t>
            </w:r>
          </w:p>
        </w:tc>
        <w:tc>
          <w:tcPr>
            <w:tcW w:type="dxa" w:w="4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Autorizado e na concentração correta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Sim</w:t>
            </w:r>
          </w:p>
        </w:tc>
      </w:tr>
      <w:tr>
        <w:tc>
          <w:tcPr>
            <w:tcW w:type="dxa" w:w="3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Tempo de contato</w:t>
            </w:r>
          </w:p>
        </w:tc>
        <w:tc>
          <w:tcPr>
            <w:tcW w:type="dxa" w:w="4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Respeitado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Sim</w:t>
            </w:r>
          </w:p>
        </w:tc>
      </w:tr>
      <w:tr>
        <w:tc>
          <w:tcPr>
            <w:tcW w:type="dxa" w:w="3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Monitoramento microbiológico</w:t>
            </w:r>
          </w:p>
        </w:tc>
        <w:tc>
          <w:tcPr>
            <w:tcW w:type="dxa" w:w="4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Dentro do limite (quando aplicável)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Sim</w:t>
            </w:r>
          </w:p>
        </w:tc>
      </w:tr>
    </w:tbl>
    <w:tbl>
      <w:tblPr>
        <w:tblW w:type="dxa" w:w="9360"/>
        <w:tblBorders>
          <w:top w:val="single" w:color="B3261E" w:sz="4"/>
          <w:left w:val="single" w:color="B3261E" w:sz="18"/>
          <w:bottom w:val="single" w:color="B3261E" w:sz="4"/>
          <w:right w:val="single" w:color="B3261E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7E2E0" w:val="clear"/>
            <w:tcMar>
              <w:top w:type="dxa" w:w="110"/>
              <w:left w:type="dxa" w:w="180"/>
              <w:bottom w:type="dxa" w:w="11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B3261E"/>
                <w:sz w:val="22"/>
                <w:szCs w:val="22"/>
              </w:rPr>
              <w:t xml:space="preserve">Pontos Críticos de Controle (PCC)</w:t>
            </w:r>
          </w:p>
          <w:p>
            <w:pPr>
              <w:spacing w:after="0" w:line="262"/>
              <w:jc w:val="both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Concentração e tempo de contato são críticos: sanitização inadequada não reduz a carga microbiana e compromete o produto.</w:t>
            </w:r>
          </w:p>
        </w:tc>
      </w:tr>
    </w:tbl>
    <w:p>
      <w:pPr>
        <w:pStyle w:val="Heading1"/>
        <w:pBdr>
          <w:bottom w:val="single" w:color="1F5C99" w:sz="12" w:space="4"/>
        </w:pBdr>
        <w:spacing w:after="150" w:before="220"/>
      </w:pPr>
      <w:r>
        <w:rPr>
          <w:rFonts w:ascii="Arial" w:cs="Arial" w:eastAsia="Arial" w:hAnsi="Arial"/>
          <w:b/>
          <w:bCs/>
          <w:color w:val="12355B"/>
          <w:sz w:val="28"/>
          <w:szCs w:val="28"/>
        </w:rPr>
        <w:t xml:space="preserve">10. AÇÕES CORRETIVAS</w:t>
      </w:r>
    </w:p>
    <w:p>
      <w:pPr>
        <w:spacing w:after="120" w:line="276"/>
        <w:jc w:val="both"/>
      </w:pPr>
      <w:r>
        <w:rPr>
          <w:rFonts w:ascii="Arial" w:cs="Arial" w:eastAsia="Arial" w:hAnsi="Arial"/>
        </w:rPr>
        <w:t xml:space="preserve">Diante de não atendimento aos critérios deste POP, adotam-se as ações corretivas abaixo, com registro de desvio/NC e tratamento via CAPA quando aplicável:</w:t>
      </w:r>
    </w:p>
    <w:p>
      <w:pPr>
        <w:pStyle w:val="ListParagraph"/>
        <w:numPr>
          <w:ilvl w:val="0"/>
          <w:numId w:val="2"/>
        </w:numPr>
        <w:spacing w:after="50" w:line="264"/>
        <w:jc w:val="both"/>
      </w:pPr>
      <w:r>
        <w:rPr>
          <w:rFonts w:ascii="Arial" w:cs="Arial" w:eastAsia="Arial" w:hAnsi="Arial"/>
        </w:rPr>
        <w:t xml:space="preserve">Repetir a sanitização com parâmetros corretos;</w:t>
      </w:r>
    </w:p>
    <w:p>
      <w:pPr>
        <w:pStyle w:val="ListParagraph"/>
        <w:numPr>
          <w:ilvl w:val="0"/>
          <w:numId w:val="2"/>
        </w:numPr>
        <w:spacing w:after="50" w:line="264"/>
        <w:jc w:val="both"/>
      </w:pPr>
      <w:r>
        <w:rPr>
          <w:rFonts w:ascii="Arial" w:cs="Arial" w:eastAsia="Arial" w:hAnsi="Arial"/>
        </w:rPr>
        <w:t xml:space="preserve">Bloquear a superfície/equipamento até nova sanitização;</w:t>
      </w:r>
    </w:p>
    <w:p>
      <w:pPr>
        <w:pStyle w:val="ListParagraph"/>
        <w:numPr>
          <w:ilvl w:val="0"/>
          <w:numId w:val="2"/>
        </w:numPr>
        <w:spacing w:after="50" w:line="264"/>
        <w:jc w:val="both"/>
      </w:pPr>
      <w:r>
        <w:rPr>
          <w:rFonts w:ascii="Arial" w:cs="Arial" w:eastAsia="Arial" w:hAnsi="Arial"/>
        </w:rPr>
        <w:t xml:space="preserve">Investigar via CAPA resultados de monitoramento fora do limite.</w:t>
      </w:r>
    </w:p>
    <w:p>
      <w:pPr>
        <w:pStyle w:val="Heading1"/>
        <w:pBdr>
          <w:bottom w:val="single" w:color="1F5C99" w:sz="12" w:space="4"/>
        </w:pBdr>
        <w:spacing w:after="150" w:before="220"/>
      </w:pPr>
      <w:r>
        <w:rPr>
          <w:rFonts w:ascii="Arial" w:cs="Arial" w:eastAsia="Arial" w:hAnsi="Arial"/>
          <w:b/>
          <w:bCs/>
          <w:color w:val="12355B"/>
          <w:sz w:val="28"/>
          <w:szCs w:val="28"/>
        </w:rPr>
        <w:t xml:space="preserve">11. REGISTROS E FORMULÁRIOS</w:t>
      </w:r>
    </w:p>
    <w:p>
      <w:pPr>
        <w:spacing w:after="120" w:line="276"/>
        <w:jc w:val="both"/>
      </w:pPr>
      <w:r>
        <w:rPr>
          <w:rFonts w:ascii="Arial" w:cs="Arial" w:eastAsia="Arial" w:hAnsi="Arial"/>
        </w:rPr>
        <w:t xml:space="preserve">Os formulários a seguir integram este POP e devem ser preenchidos em tempo real, datados, assinados e arquivados. Rasuras: traço único, rubrica e data.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F5C99"/>
          <w:sz w:val="25"/>
          <w:szCs w:val="25"/>
        </w:rPr>
        <w:t xml:space="preserve">FOR-LMP-01 — Registro de Sanitização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5C99" w:val="clear"/>
            <w:tcMar>
              <w:top w:type="dxa" w:w="70"/>
              <w:left w:type="dxa" w:w="100"/>
              <w:bottom w:type="dxa" w:w="7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FOR-LMP-01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70"/>
              <w:left w:type="dxa" w:w="12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Registro de Sanitização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580"/>
        <w:gridCol w:w="2100"/>
        <w:gridCol w:w="2580"/>
      </w:tblGrid>
      <w:tr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2355B"/>
                <w:sz w:val="17"/>
                <w:szCs w:val="17"/>
              </w:rPr>
              <w:t xml:space="preserve">Superfície/Equipamento</w:t>
            </w:r>
          </w:p>
        </w:tc>
        <w:tc>
          <w:tcPr>
            <w:tcW w:type="dxa" w:w="25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2355B"/>
                <w:sz w:val="17"/>
                <w:szCs w:val="17"/>
              </w:rPr>
              <w:t xml:space="preserve">Sanitizante/lote</w:t>
            </w:r>
          </w:p>
        </w:tc>
        <w:tc>
          <w:tcPr>
            <w:tcW w:type="dxa" w:w="25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2355B"/>
                <w:sz w:val="17"/>
                <w:szCs w:val="17"/>
              </w:rPr>
              <w:t xml:space="preserve">Concentração</w:t>
            </w:r>
          </w:p>
        </w:tc>
        <w:tc>
          <w:tcPr>
            <w:tcW w:type="dxa" w:w="25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2355B"/>
                <w:sz w:val="17"/>
                <w:szCs w:val="17"/>
              </w:rPr>
              <w:t xml:space="preserve">Tempo de contato</w:t>
            </w:r>
          </w:p>
        </w:tc>
        <w:tc>
          <w:tcPr>
            <w:tcW w:type="dxa" w:w="25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2355B"/>
                <w:sz w:val="17"/>
                <w:szCs w:val="17"/>
              </w:rPr>
              <w:t xml:space="preserve">Data/Hora</w:t>
            </w:r>
          </w:p>
        </w:tc>
        <w:tc>
          <w:tcPr>
            <w:tcW w:type="dxa" w:w="25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2355B"/>
                <w:sz w:val="17"/>
                <w:szCs w:val="17"/>
              </w:rPr>
              <w:t xml:space="preserve">Responsável</w:t>
            </w:r>
          </w:p>
        </w:tc>
        <w:tc>
          <w:tcPr>
            <w:tcW w:type="dxa" w:w="25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</w:tbl>
    <w:p>
      <w:pPr>
        <w:spacing w:after="4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800"/>
        <w:gridCol w:w="2360"/>
        <w:gridCol w:w="2000"/>
      </w:tblGrid>
      <w:tr>
        <w:trPr>
          <w:tblHeader/>
        </w:trP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55"/>
              <w:left w:type="dxa" w:w="70"/>
              <w:bottom w:type="dxa" w:w="55"/>
              <w:right w:type="dxa" w:w="7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Item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55"/>
              <w:left w:type="dxa" w:w="70"/>
              <w:bottom w:type="dxa" w:w="55"/>
              <w:right w:type="dxa" w:w="7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Aplicado (S/N)</w:t>
            </w:r>
          </w:p>
        </w:tc>
        <w:tc>
          <w:tcPr>
            <w:tcW w:type="dxa" w:w="2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55"/>
              <w:left w:type="dxa" w:w="70"/>
              <w:bottom w:type="dxa" w:w="55"/>
              <w:right w:type="dxa" w:w="7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Verificação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55"/>
              <w:left w:type="dxa" w:w="70"/>
              <w:bottom w:type="dxa" w:w="55"/>
              <w:right w:type="dxa" w:w="7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Responsável</w:t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</w:tbl>
    <w:p>
      <w:pPr>
        <w:spacing w:after="4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60"/>
              <w:left w:type="dxa" w:w="120"/>
              <w:bottom w:type="dxa" w:w="40"/>
              <w:right w:type="dxa" w:w="120"/>
            </w:tcMar>
          </w:tcPr>
          <w:p>
            <w:pPr>
              <w:pBdr>
                <w:top w:val="single" w:color="111111" w:sz="6" w:space="2"/>
              </w:pBdr>
              <w:spacing w:after="0" w:before="300"/>
              <w:jc w:val="center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2355B"/>
                <w:sz w:val="16"/>
                <w:szCs w:val="16"/>
              </w:rPr>
              <w:t xml:space="preserve">Executante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5A5A5A"/>
                <w:sz w:val="14"/>
                <w:szCs w:val="14"/>
              </w:rPr>
              <w:t xml:space="preserve">Nome / Assinatura / Data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60"/>
              <w:left w:type="dxa" w:w="120"/>
              <w:bottom w:type="dxa" w:w="40"/>
              <w:right w:type="dxa" w:w="120"/>
            </w:tcMar>
          </w:tcPr>
          <w:p>
            <w:pPr>
              <w:pBdr>
                <w:top w:val="single" w:color="111111" w:sz="6" w:space="2"/>
              </w:pBdr>
              <w:spacing w:after="0" w:before="300"/>
              <w:jc w:val="center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2355B"/>
                <w:sz w:val="16"/>
                <w:szCs w:val="16"/>
              </w:rPr>
              <w:t xml:space="preserve">Conferente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5A5A5A"/>
                <w:sz w:val="14"/>
                <w:szCs w:val="14"/>
              </w:rPr>
              <w:t xml:space="preserve">Nome / Assinatura / Data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60"/>
              <w:left w:type="dxa" w:w="120"/>
              <w:bottom w:type="dxa" w:w="40"/>
              <w:right w:type="dxa" w:w="120"/>
            </w:tcMar>
          </w:tcPr>
          <w:p>
            <w:pPr>
              <w:pBdr>
                <w:top w:val="single" w:color="111111" w:sz="6" w:space="2"/>
              </w:pBdr>
              <w:spacing w:after="0" w:before="300"/>
              <w:jc w:val="center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2355B"/>
                <w:sz w:val="16"/>
                <w:szCs w:val="16"/>
              </w:rPr>
              <w:t xml:space="preserve">Supervisor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5A5A5A"/>
                <w:sz w:val="14"/>
                <w:szCs w:val="14"/>
              </w:rPr>
              <w:t xml:space="preserve">Nome / Assinatura / Data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60"/>
              <w:left w:type="dxa" w:w="120"/>
              <w:bottom w:type="dxa" w:w="40"/>
              <w:right w:type="dxa" w:w="120"/>
            </w:tcMar>
          </w:tcPr>
          <w:p>
            <w:pPr>
              <w:pBdr>
                <w:top w:val="single" w:color="111111" w:sz="6" w:space="2"/>
              </w:pBdr>
              <w:spacing w:after="0" w:before="300"/>
              <w:jc w:val="center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2355B"/>
                <w:sz w:val="16"/>
                <w:szCs w:val="16"/>
              </w:rPr>
              <w:t xml:space="preserve">CQ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5A5A5A"/>
                <w:sz w:val="14"/>
                <w:szCs w:val="14"/>
              </w:rPr>
              <w:t xml:space="preserve">Nome / Assinatura / Data</w:t>
            </w:r>
          </w:p>
        </w:tc>
      </w:tr>
    </w:tbl>
    <w:p>
      <w:pPr>
        <w:pStyle w:val="Heading1"/>
        <w:pBdr>
          <w:bottom w:val="single" w:color="1F5C99" w:sz="12" w:space="4"/>
        </w:pBdr>
        <w:spacing w:after="150" w:before="220"/>
      </w:pPr>
      <w:r>
        <w:rPr>
          <w:rFonts w:ascii="Arial" w:cs="Arial" w:eastAsia="Arial" w:hAnsi="Arial"/>
          <w:b/>
          <w:bCs/>
          <w:color w:val="12355B"/>
          <w:sz w:val="28"/>
          <w:szCs w:val="28"/>
        </w:rPr>
        <w:t xml:space="preserve">12. FORMULÁRIOS RELACIONADOS E ANEXOS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Código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Documento / Formulário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FOR-LMP-01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Registro de Sanitização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POP-LMP-VAL-001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Validação de Limpeza</w:t>
            </w:r>
          </w:p>
        </w:tc>
      </w:tr>
    </w:tbl>
    <w:p>
      <w:pPr>
        <w:pStyle w:val="Heading1"/>
        <w:pBdr>
          <w:bottom w:val="single" w:color="1F5C99" w:sz="12" w:space="4"/>
        </w:pBdr>
        <w:spacing w:after="150" w:before="220"/>
      </w:pPr>
      <w:r>
        <w:rPr>
          <w:rFonts w:ascii="Arial" w:cs="Arial" w:eastAsia="Arial" w:hAnsi="Arial"/>
          <w:b/>
          <w:bCs/>
          <w:color w:val="12355B"/>
          <w:sz w:val="28"/>
          <w:szCs w:val="28"/>
        </w:rPr>
        <w:t xml:space="preserve">13. APROVAÇÃO</w:t>
      </w:r>
    </w:p>
    <w:p>
      <w:pPr>
        <w:spacing w:after="120" w:line="276"/>
        <w:jc w:val="both"/>
      </w:pPr>
      <w:r>
        <w:rPr>
          <w:rFonts w:ascii="Arial" w:cs="Arial" w:eastAsia="Arial" w:hAnsi="Arial"/>
        </w:rPr>
        <w:t xml:space="preserve">Este procedimento entra em vigor após a aprovação pelos responsáveis abaixo.</w:t>
      </w:r>
    </w:p>
    <w:p>
      <w:pPr>
        <w:spacing w:after="12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600"/>
        <w:gridCol w:w="2200"/>
        <w:gridCol w:w="1560"/>
        <w:gridCol w:w="900"/>
      </w:tblGrid>
      <w:tr>
        <w:trPr>
          <w:tblHeader/>
        </w:trPr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Etapa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Nome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Cargo</w:t>
            </w:r>
          </w:p>
        </w:tc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Assinatura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Data</w:t>
            </w:r>
          </w:p>
        </w:tc>
      </w:tr>
      <w:tr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ELABORADO POR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Garantia da Qualidade</w:t>
            </w:r>
          </w:p>
        </w:tc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__/__/____</w:t>
            </w:r>
          </w:p>
        </w:tc>
      </w:tr>
      <w:tr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REVISADO POR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Controle de Qualidade</w:t>
            </w:r>
          </w:p>
        </w:tc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__/__/____</w:t>
            </w:r>
          </w:p>
        </w:tc>
      </w:tr>
      <w:tr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APROVADO POR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Responsável Técnico</w:t>
            </w:r>
          </w:p>
        </w:tc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__/__/____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18" w:right="1440" w:bottom="1418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2"/>
      </w:pBdr>
      <w:tabs>
        <w:tab w:val="center" w:pos="4680"/>
        <w:tab w:val="right" w:pos="9360"/>
      </w:tabs>
      <w:spacing w:before="40"/>
    </w:pPr>
    <w:r>
      <w:rPr>
        <w:rFonts w:ascii="Arial" w:cs="Arial" w:eastAsia="Arial" w:hAnsi="Arial"/>
        <w:color w:val="5A5A5A"/>
        <w:sz w:val="14"/>
        <w:szCs w:val="14"/>
      </w:rPr>
      <w:t xml:space="preserve">Documento controlado — Uso interno</w:t>
    </w:r>
    <w:r>
      <w:rPr>
        <w:rFonts w:ascii="Arial" w:cs="Arial" w:eastAsia="Arial" w:hAnsi="Arial"/>
        <w:color w:val="5A5A5A"/>
        <w:sz w:val="14"/>
        <w:szCs w:val="14"/>
      </w:rPr>
      <w:t xml:space="preserve">	Proibida a reprodução não autorizada</w:t>
    </w:r>
    <w:r>
      <w:rPr>
        <w:rFonts w:ascii="Arial" w:cs="Arial" w:eastAsia="Arial" w:hAnsi="Arial"/>
        <w:color w:val="5A5A5A"/>
        <w:sz w:val="14"/>
        <w:szCs w:val="14"/>
      </w:rPr>
      <w:t xml:space="preserve">	Pág.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2"/>
      </w:pBdr>
      <w:tabs>
        <w:tab w:val="right" w:pos="9360"/>
      </w:tabs>
      <w:spacing w:after="40"/>
    </w:pPr>
    <w:r>
      <w:rPr>
        <w:rFonts w:ascii="Arial" w:cs="Arial" w:eastAsia="Arial" w:hAnsi="Arial"/>
        <w:b/>
        <w:bCs/>
        <w:color w:val="12355B"/>
        <w:sz w:val="16"/>
        <w:szCs w:val="16"/>
      </w:rPr>
      <w:t xml:space="preserve">LEMONCAPS</w:t>
    </w:r>
    <w:r>
      <w:rPr>
        <w:rFonts w:ascii="Arial" w:cs="Arial" w:eastAsia="Arial" w:hAnsi="Arial"/>
        <w:color w:val="5A5A5A"/>
        <w:sz w:val="14"/>
        <w:szCs w:val="14"/>
      </w:rPr>
      <w:t xml:space="preserve">	Sanitização — POP-LMP-SAN-001 — Rev. 00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290"/>
      </w:pPr>
      <w:rPr>
        <w:color w:val="1F5C99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29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50" w:before="220"/>
      <w:outlineLvl w:val="0"/>
    </w:pPr>
    <w:rPr>
      <w:rFonts w:ascii="Arial" w:cs="Arial" w:eastAsia="Arial" w:hAnsi="Arial"/>
      <w:b/>
      <w:bCs/>
      <w:color w:val="12355B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1F5C99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80" w:before="140"/>
      <w:outlineLvl w:val="2"/>
    </w:pPr>
    <w:rPr>
      <w:rFonts w:ascii="Arial" w:cs="Arial" w:eastAsia="Arial" w:hAnsi="Arial"/>
      <w:b/>
      <w:bCs/>
      <w:color w:val="12355B"/>
      <w:sz w:val="22"/>
      <w:szCs w:val="22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Sanitização</dc:title>
  <dc:creator>Lemoncaps - GQ/RT</dc:creator>
  <cp:lastModifiedBy>Un-named</cp:lastModifiedBy>
  <cp:revision>1</cp:revision>
  <dcterms:created xsi:type="dcterms:W3CDTF">2026-06-18T22:46:51.066Z</dcterms:created>
  <dcterms:modified xsi:type="dcterms:W3CDTF">2026-06-18T22:46:51.066Z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