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Arial" w:cs="Arial" w:eastAsia="Arial" w:hAnsi="Arial"/>
          <w:b w:val="false"/>
          <w:bCs w:val="false"/>
          <w:caps w:val="false"/>
          <w:color w:val="111111"/>
          <w:sz w:val="20"/>
          <w:szCs w:val="20"/>
        </w:rPr>
        <w:t xml:space="preserve"/>
      </w:r>
    </w:p>
    <w:p>
      <w:pPr>
        <w:spacing w:after="120" w:before="0"/>
        <w:jc w:val="center"/>
      </w:pPr>
      <w:r>
        <w:rPr>
          <w:rFonts w:ascii="Arial" w:cs="Arial" w:eastAsia="Arial" w:hAnsi="Arial"/>
          <w:b/>
          <w:bCs/>
          <w:caps/>
          <w:color w:val="1F3864"/>
          <w:sz w:val="24"/>
          <w:szCs w:val="24"/>
        </w:rPr>
        <w:t xml:space="preserve">INDÚSTRIA DE SUPLEMENTOS ALIMENTARES</w:t>
      </w:r>
    </w:p>
    <w:p>
      <w:pPr>
        <w:pBdr>
          <w:bottom w:val="single" w:color="2E75B6" w:sz="8"/>
        </w:pBdr>
        <w:spacing w:after="600" w:before="0"/>
        <w:jc w:val="center"/>
      </w:pPr>
      <w:r>
        <w:rPr>
          <w:rFonts w:ascii="Arial" w:cs="Arial" w:eastAsia="Arial" w:hAnsi="Arial"/>
          <w:b w:val="false"/>
          <w:bCs w:val="false"/>
          <w:caps w:val="false"/>
          <w:color w:val="2E75B6"/>
          <w:sz w:val="20"/>
          <w:szCs w:val="20"/>
        </w:rPr>
        <w:t xml:space="preserve">Sistema de Gestão da Qualidade</w:t>
      </w:r>
    </w:p>
    <w:p>
      <w:pPr>
        <w:spacing w:after="160" w:before="800"/>
        <w:jc w:val="center"/>
      </w:pPr>
      <w:r>
        <w:rPr>
          <w:rFonts w:ascii="Arial" w:cs="Arial" w:eastAsia="Arial" w:hAnsi="Arial"/>
          <w:b/>
          <w:bCs/>
          <w:caps w:val="false"/>
          <w:color w:val="1F3864"/>
          <w:sz w:val="40"/>
          <w:szCs w:val="40"/>
        </w:rPr>
        <w:t xml:space="preserve">PROCEDIMENTOS OPERACIONAIS PADRÃO</w:t>
      </w:r>
    </w:p>
    <w:p>
      <w:pPr>
        <w:spacing w:after="400" w:before="0"/>
        <w:jc w:val="center"/>
      </w:pPr>
      <w:r>
        <w:rPr>
          <w:rFonts w:ascii="Arial" w:cs="Arial" w:eastAsia="Arial" w:hAnsi="Arial"/>
          <w:b/>
          <w:bCs/>
          <w:caps w:val="false"/>
          <w:color w:val="111111"/>
          <w:sz w:val="26"/>
          <w:szCs w:val="26"/>
        </w:rPr>
        <w:t xml:space="preserve">Série Produção — POP-PROD-005 a POP-PROD-014</w:t>
      </w:r>
    </w:p>
    <w:p>
      <w:pPr>
        <w:spacing w:after="80" w:before="0"/>
        <w:jc w:val="center"/>
      </w:pPr>
      <w:r>
        <w:rPr>
          <w:rFonts w:ascii="Arial" w:cs="Arial" w:eastAsia="Arial" w:hAnsi="Arial"/>
          <w:b w:val="false"/>
          <w:bCs w:val="false"/>
          <w:caps w:val="false"/>
          <w:color w:val="888888"/>
          <w:sz w:val="18"/>
          <w:szCs w:val="18"/>
        </w:rPr>
        <w:t xml:space="preserve">Gotas  •  Pesagem  •  Peneiramento  •  Mistura e Homogeneização</w:t>
      </w:r>
    </w:p>
    <w:p>
      <w:pPr>
        <w:spacing w:after="80" w:before="0"/>
        <w:jc w:val="center"/>
      </w:pPr>
      <w:r>
        <w:rPr>
          <w:rFonts w:ascii="Arial" w:cs="Arial" w:eastAsia="Arial" w:hAnsi="Arial"/>
          <w:b w:val="false"/>
          <w:bCs w:val="false"/>
          <w:caps w:val="false"/>
          <w:color w:val="888888"/>
          <w:sz w:val="18"/>
          <w:szCs w:val="18"/>
        </w:rPr>
        <w:t xml:space="preserve">Encapsulamento  •  Moldagem de Gummies  •  Envase</w:t>
      </w:r>
    </w:p>
    <w:p>
      <w:pPr>
        <w:spacing w:after="800" w:before="0"/>
        <w:jc w:val="center"/>
      </w:pPr>
      <w:r>
        <w:rPr>
          <w:rFonts w:ascii="Arial" w:cs="Arial" w:eastAsia="Arial" w:hAnsi="Arial"/>
          <w:b w:val="false"/>
          <w:bCs w:val="false"/>
          <w:caps w:val="false"/>
          <w:color w:val="888888"/>
          <w:sz w:val="18"/>
          <w:szCs w:val="18"/>
        </w:rPr>
        <w:t xml:space="preserve">Selagem  •  Rotulagem  •  Armazenamento de Produto Acabado</w:t>
      </w:r>
    </w:p>
    <w:p>
      <w:pPr>
        <w:spacing w:after="40" w:before="1400"/>
        <w:jc w:val="center"/>
      </w:pPr>
      <w:r>
        <w:rPr>
          <w:rFonts w:ascii="Arial" w:cs="Arial" w:eastAsia="Arial" w:hAnsi="Arial"/>
          <w:b w:val="false"/>
          <w:bCs w:val="false"/>
          <w:caps w:val="false"/>
          <w:color w:val="888888"/>
          <w:sz w:val="16"/>
          <w:szCs w:val="16"/>
        </w:rPr>
        <w:t xml:space="preserve">Documento elaborado em conformidade com:</w:t>
      </w:r>
    </w:p>
    <w:p>
      <w:pPr>
        <w:spacing w:after="40" w:before="0"/>
        <w:jc w:val="center"/>
      </w:pPr>
      <w:r>
        <w:rPr>
          <w:rFonts w:ascii="Arial" w:cs="Arial" w:eastAsia="Arial" w:hAnsi="Arial"/>
          <w:b w:val="false"/>
          <w:bCs w:val="false"/>
          <w:caps w:val="false"/>
          <w:color w:val="888888"/>
          <w:sz w:val="15"/>
          <w:szCs w:val="15"/>
        </w:rPr>
        <w:t xml:space="preserve">RDC 275/2002  •  RDC 243/2018  •  IN 28/2018  •  RDC 429/2020  •  IN 75/2020</w:t>
      </w:r>
    </w:p>
    <w:p>
      <w:pPr>
        <w:spacing w:after="0" w:before="600"/>
        <w:jc w:val="center"/>
      </w:pPr>
      <w:r>
        <w:rPr>
          <w:rFonts w:ascii="Arial" w:cs="Arial" w:eastAsia="Arial" w:hAnsi="Arial"/>
          <w:b/>
          <w:bCs/>
          <w:caps w:val="false"/>
          <w:color w:val="1F3864"/>
          <w:sz w:val="16"/>
          <w:szCs w:val="16"/>
        </w:rPr>
        <w:t xml:space="preserve">Versão 01  —  Junho de 2025</w:t>
      </w:r>
    </w:p>
    <w:p>
      <w:r>
        <w:br w:type="page"/>
      </w:r>
    </w:p>
    <w:p>
      <w:r>
        <w:br w:type="page"/>
      </w:r>
    </w:p>
    <w:p>
      <w:pPr>
        <w:pStyle w:val="Heading1"/>
        <w:spacing w:after="0" w:before="0"/>
      </w:pPr>
      <w:r>
        <w:rPr>
          <w:rFonts w:ascii="Arial" w:cs="Arial" w:eastAsia="Arial" w:hAnsi="Arial"/>
          <w:b w:val="false"/>
          <w:bCs w:val="false"/>
          <w:caps w:val="false"/>
          <w:color w:val="FFFFFF"/>
          <w:sz w:val="2"/>
          <w:szCs w:val="2"/>
        </w:rPr>
        <w:t xml:space="preserve">POP-PROD-005 — Produção de Suplementos na Forma de Gotas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120"/>
        <w:gridCol w:w="4915"/>
        <w:gridCol w:w="2602"/>
      </w:tblGrid>
      <w:tr>
        <w:tc>
          <w:tcPr>
            <w:tcW w:type="dxa" w:w="2120"/>
            <w:vMerge w:val="restart"/>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FFFFFF"/>
                <w:sz w:val="17"/>
                <w:szCs w:val="17"/>
              </w:rPr>
              <w:t xml:space="preserve">INDÚSTRIA DE SUPLEMENTOS</w:t>
            </w:r>
          </w:p>
          <w:p>
            <w:pPr>
              <w:spacing w:after="60" w:before="0"/>
              <w:jc w:val="center"/>
            </w:pPr>
            <w:r>
              <w:rPr>
                <w:rFonts w:ascii="Arial" w:cs="Arial" w:eastAsia="Arial" w:hAnsi="Arial"/>
                <w:b w:val="false"/>
                <w:bCs w:val="false"/>
                <w:caps w:val="false"/>
                <w:color w:val="D6E4F0"/>
                <w:sz w:val="15"/>
                <w:szCs w:val="15"/>
              </w:rPr>
              <w:t xml:space="preserve">Alimentos para Fins Especiais</w:t>
            </w:r>
          </w:p>
        </w:tc>
        <w:tc>
          <w:tcPr>
            <w:tcW w:type="dxa" w:w="4915"/>
            <w:vMerge w:val="restart"/>
            <w:tcBorders>
              <w:top w:val="single" w:color="1F3864" w:sz="4"/>
              <w:left w:val="single" w:color="1F3864" w:sz="4"/>
              <w:bottom w:val="single" w:color="1F3864" w:sz="4"/>
              <w:right w:val="single" w:color="1F3864" w:sz="4"/>
            </w:tcBorders>
            <w:shd w:fill="D6E4F0" w:val="clear"/>
            <w:tcMar>
              <w:top w:type="dxa" w:w="80"/>
              <w:left w:type="dxa" w:w="100"/>
              <w:bottom w:type="dxa" w:w="80"/>
              <w:right w:type="dxa" w:w="100"/>
            </w:tcMar>
            <w:vAlign w:val="center"/>
          </w:tcPr>
          <w:p>
            <w:pPr>
              <w:spacing w:after="40" w:before="60"/>
              <w:jc w:val="center"/>
            </w:pPr>
            <w:r>
              <w:rPr>
                <w:rFonts w:ascii="Arial" w:cs="Arial" w:eastAsia="Arial" w:hAnsi="Arial"/>
                <w:b/>
                <w:bCs/>
                <w:caps/>
                <w:color w:val="1F3864"/>
                <w:sz w:val="17"/>
                <w:szCs w:val="17"/>
              </w:rPr>
              <w:t xml:space="preserve">PROCEDIMENTO OPERACIONAL PADRÃO</w:t>
            </w:r>
          </w:p>
          <w:p>
            <w:pPr>
              <w:spacing w:after="60" w:before="0"/>
              <w:jc w:val="center"/>
            </w:pPr>
            <w:r>
              <w:rPr>
                <w:rFonts w:ascii="Arial" w:cs="Arial" w:eastAsia="Arial" w:hAnsi="Arial"/>
                <w:b/>
                <w:bCs/>
                <w:caps w:val="false"/>
                <w:color w:val="1F3864"/>
                <w:sz w:val="22"/>
                <w:szCs w:val="22"/>
              </w:rPr>
              <w:t xml:space="preserve">Produção de Suplementos na Forma de Gotas</w:t>
            </w: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left"/>
            </w:pPr>
            <w:r>
              <w:rPr>
                <w:rFonts w:ascii="Arial" w:cs="Arial" w:eastAsia="Arial" w:hAnsi="Arial"/>
                <w:b/>
                <w:bCs/>
                <w:caps w:val="false"/>
                <w:color w:val="D6E4F0"/>
                <w:sz w:val="16"/>
                <w:szCs w:val="16"/>
              </w:rPr>
              <w:t xml:space="preserve">Código: </w:t>
            </w:r>
            <w:r>
              <w:rPr>
                <w:rFonts w:ascii="Arial" w:cs="Arial" w:eastAsia="Arial" w:hAnsi="Arial"/>
                <w:b/>
                <w:bCs/>
                <w:caps w:val="false"/>
                <w:color w:val="FFFFFF"/>
                <w:sz w:val="18"/>
                <w:szCs w:val="18"/>
              </w:rPr>
              <w:t xml:space="preserve">POP-PROD-005</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20"/>
              <w:jc w:val="left"/>
            </w:pPr>
            <w:r>
              <w:rPr>
                <w:rFonts w:ascii="Arial" w:cs="Arial" w:eastAsia="Arial" w:hAnsi="Arial"/>
                <w:b/>
                <w:bCs/>
                <w:caps w:val="false"/>
                <w:color w:val="D6E4F0"/>
                <w:sz w:val="16"/>
                <w:szCs w:val="16"/>
              </w:rPr>
              <w:t xml:space="preserve">Versão: </w:t>
            </w:r>
            <w:r>
              <w:rPr>
                <w:rFonts w:ascii="Arial" w:cs="Arial" w:eastAsia="Arial" w:hAnsi="Arial"/>
                <w:b/>
                <w:bCs/>
                <w:caps w:val="false"/>
                <w:color w:val="FFFFFF"/>
                <w:sz w:val="18"/>
                <w:szCs w:val="18"/>
              </w:rPr>
              <w:t xml:space="preserve">01</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60" w:before="20"/>
              <w:jc w:val="left"/>
            </w:pPr>
            <w:r>
              <w:rPr>
                <w:rFonts w:ascii="Arial" w:cs="Arial" w:eastAsia="Arial" w:hAnsi="Arial"/>
                <w:b/>
                <w:bCs/>
                <w:caps w:val="false"/>
                <w:color w:val="D6E4F0"/>
                <w:sz w:val="16"/>
                <w:szCs w:val="16"/>
              </w:rPr>
              <w:t xml:space="preserve">Emissão: </w:t>
            </w:r>
            <w:r>
              <w:rPr>
                <w:rFonts w:ascii="Arial" w:cs="Arial" w:eastAsia="Arial" w:hAnsi="Arial"/>
                <w:b w:val="false"/>
                <w:bCs w:val="false"/>
                <w:caps w:val="false"/>
                <w:color w:val="FFFFFF"/>
                <w:sz w:val="18"/>
                <w:szCs w:val="18"/>
              </w:rPr>
              <w:t xml:space="preserve">Jun/2025</w:t>
            </w:r>
          </w:p>
        </w:tc>
      </w:tr>
      <w:tr>
        <w:tc>
          <w:tcPr>
            <w:tcW w:type="dxa" w:w="2120"/>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Elaborado por:</w:t>
            </w:r>
          </w:p>
          <w:p>
            <w:pPr>
              <w:spacing w:after="20" w:before="0"/>
              <w:jc w:val="center"/>
            </w:pPr>
            <w:r>
              <w:rPr>
                <w:rFonts w:ascii="Arial" w:cs="Arial" w:eastAsia="Arial" w:hAnsi="Arial"/>
                <w:b w:val="false"/>
                <w:bCs w:val="false"/>
                <w:caps w:val="false"/>
                <w:color w:val="111111"/>
                <w:sz w:val="16"/>
                <w:szCs w:val="16"/>
              </w:rPr>
              <w:t xml:space="preserve">Responsável Técnico</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4915"/>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Verificado por:</w:t>
            </w:r>
          </w:p>
          <w:p>
            <w:pPr>
              <w:spacing w:after="20" w:before="0"/>
              <w:jc w:val="center"/>
            </w:pPr>
            <w:r>
              <w:rPr>
                <w:rFonts w:ascii="Arial" w:cs="Arial" w:eastAsia="Arial" w:hAnsi="Arial"/>
                <w:b w:val="false"/>
                <w:bCs w:val="false"/>
                <w:caps w:val="false"/>
                <w:color w:val="111111"/>
                <w:sz w:val="16"/>
                <w:szCs w:val="16"/>
              </w:rPr>
              <w:t xml:space="preserve">Garantia da Qualidade</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2602"/>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Aprovado por:</w:t>
            </w:r>
          </w:p>
          <w:p>
            <w:pPr>
              <w:spacing w:after="20" w:before="0"/>
              <w:jc w:val="center"/>
            </w:pPr>
            <w:r>
              <w:rPr>
                <w:rFonts w:ascii="Arial" w:cs="Arial" w:eastAsia="Arial" w:hAnsi="Arial"/>
                <w:b w:val="false"/>
                <w:bCs w:val="false"/>
                <w:caps w:val="false"/>
                <w:color w:val="111111"/>
                <w:sz w:val="16"/>
                <w:szCs w:val="16"/>
              </w:rPr>
              <w:t xml:space="preserve">Diretoria / RT</w:t>
            </w:r>
          </w:p>
          <w:p>
            <w:pPr>
              <w:spacing w:after="60" w:before="20"/>
              <w:jc w:val="center"/>
            </w:pPr>
            <w:r>
              <w:rPr>
                <w:rFonts w:ascii="Arial" w:cs="Arial" w:eastAsia="Arial" w:hAnsi="Arial"/>
                <w:b w:val="false"/>
                <w:bCs w:val="false"/>
                <w:caps w:val="false"/>
                <w:color w:val="888888"/>
                <w:sz w:val="15"/>
                <w:szCs w:val="15"/>
              </w:rPr>
              <w:t xml:space="preserve">_____ / ____/____</w:t>
            </w:r>
          </w:p>
        </w:tc>
      </w:tr>
    </w:tbl>
    <w:p>
      <w:pPr>
        <w:spacing w:after="80" w:before="16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 OBJETIVO</w:t>
      </w:r>
    </w:p>
    <w:p>
      <w:pPr>
        <w:spacing w:after="80" w:before="80"/>
        <w:jc w:val="both"/>
      </w:pPr>
      <w:r>
        <w:rPr>
          <w:rFonts w:ascii="Arial" w:cs="Arial" w:eastAsia="Arial" w:hAnsi="Arial"/>
          <w:b w:val="false"/>
          <w:bCs w:val="false"/>
          <w:caps w:val="false"/>
          <w:color w:val="111111"/>
          <w:sz w:val="20"/>
          <w:szCs w:val="20"/>
        </w:rPr>
        <w:t xml:space="preserve">Padronizar o processo de fabricação de suplementos alimentares na forma de gotas, assegurando a concentração dos ativos conforme especificação, a homogeneidade da formulação e a conformidade com as exigências da ANVISA, em particular a RDC 243/2018 e a IN 28/2018.</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2. CAMPO DE APLICAÇÃO</w:t>
      </w:r>
    </w:p>
    <w:p>
      <w:pPr>
        <w:spacing w:after="80" w:before="80"/>
        <w:jc w:val="both"/>
      </w:pPr>
      <w:r>
        <w:rPr>
          <w:rFonts w:ascii="Arial" w:cs="Arial" w:eastAsia="Arial" w:hAnsi="Arial"/>
          <w:b w:val="false"/>
          <w:bCs w:val="false"/>
          <w:caps w:val="false"/>
          <w:color w:val="111111"/>
          <w:sz w:val="20"/>
          <w:szCs w:val="20"/>
        </w:rPr>
        <w:t xml:space="preserve">Aplica-se a todos os lotes de suplementos na forma de gotas fabricados nesta indústria, abrangendo formulações oleosas (base MCT, triglicerídeos), aquosas e hidroalcoólicas, em embalagem de frasco gotejador. Aplica-se a todos os operadores e supervisores da área de produção.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3. RESPONSABILIDADES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6746"/>
      </w:tblGrid>
      <w:tr>
        <w:trPr>
          <w:tblHeader/>
        </w:trPr>
        <w:tc>
          <w:tcPr>
            <w:tcW w:type="dxa" w:w="289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Função / Cargo</w:t>
            </w:r>
          </w:p>
        </w:tc>
        <w:tc>
          <w:tcPr>
            <w:tcW w:type="dxa" w:w="6746"/>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Responsabilidade</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Operador de Produção</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Executar todas as etapas do processo conforme este POP e registrar na Ordem de Produção.</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Supervisor de Produção</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Supervisionar a execução, verificar registros e autorizar início e encerramento do lote.</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Responsável Técnico (RT)</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Aprovar o POP, liberar lotes com desvio e garantir conformidade com a legislação vigente.</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Controle de Qualidade (CQ)</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Realizar inspeções em processo, amostrar o produto, emitir laudos de aprovação/reprovação.</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Garantia da Qualidade (GQ)</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Gerenciar o documento, investigar desvios e aprovar alterações de processo.</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4. DEFINIÇÕES E ABREVIAÇÕES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698"/>
        <w:gridCol w:w="6939"/>
      </w:tblGrid>
      <w:tr>
        <w:trPr>
          <w:tblHeader/>
        </w:trPr>
        <w:tc>
          <w:tcPr>
            <w:tcW w:type="dxa" w:w="2698"/>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Termo / Sigla</w:t>
            </w:r>
          </w:p>
        </w:tc>
        <w:tc>
          <w:tcPr>
            <w:tcW w:type="dxa" w:w="693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Definição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BPF</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Boas Práticas de Fabricação, conforme RDC 275/2002 e normas aplicáveis a suplementos alimentares.</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OP</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Ordem de Produção – documento que autoriza e registra a fabricação de um lote específico.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MCT</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Triglicerídeo de Cadeia Média – excipiente oleoso amplamente utilizado em gotas de suplementos.</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pH</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Potencial hidrogeniônico – medida de acidez ou basicidade de soluções aquosas (0–14).</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Conta-gotas</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Sistema de dosagem por gotejamento, parte integrante da embalagem primária de gotas.</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Quarentena</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Status de bloqueio de material aguardando análise ou decisão do CQ.</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Rendimento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Relação percentual entre quantidade produzida real e a quantidade teórica esperada.</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EPI</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Equipamento de Proteção Individual – jaleco, luvas, máscara, touca, óculos, propé.</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RDC 243/2018</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Regulamento técnico que estabelece os requisitos para fabricação de suplementos alimentares no Brasil.</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5. MATERIAIS, EQUIPAMENTOS E EPIs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Ingredientes ativos conforme formulação aprovada, com laudos de CQ liberados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Excipiente veículo: MCT, glicerina USP, solução alcoólica ou água purificada (conforme fórmula)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Frascos gotejadores de vidro âmbar ou PEAD aprovados pelo CQ (laudo de embalagem vigente)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Conta-gotas e tampas com lacre de indução – lote aprovado pelo CQ</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Balança analítica calibrada (d ≤ 0,001 g) com verificação diária documentada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Balança semianalítica calibrada (d ≤ 0,01 g)</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Agitador magnético com chapa aquecedora ou homogeneizador de alta velocidade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pHmetro calibrado (para formulações aquosas/alcoólicas)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Termômetro calibrado e refratômetro (quando aplicável)</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Sistema de filtração por membrana (0,45 μm ou 0,22 μm conforme especificação)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Envasadora de líquidos com controle de volume ou de peso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EPI completo: jaleco branco, luvas nitrílicas, máscara PFF2, óculos, touca, propé</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6. PROCEDIMENTO DETALHADO</w:t>
      </w:r>
    </w:p>
    <w:p>
      <w:pPr>
        <w:spacing w:after="60" w:before="140"/>
        <w:jc w:val="left"/>
      </w:pPr>
      <w:r>
        <w:rPr>
          <w:rFonts w:ascii="Arial" w:cs="Arial" w:eastAsia="Arial" w:hAnsi="Arial"/>
          <w:b/>
          <w:bCs/>
          <w:caps w:val="false"/>
          <w:color w:val="1F3864"/>
          <w:sz w:val="20"/>
          <w:szCs w:val="20"/>
        </w:rPr>
        <w:t xml:space="preserve">6.1 Preparação da Área e Documentação</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Verificar se a área de produção está limpa e sanitizada, com o cartão de identificação indicando "LIMPO / DISPONÍVEL" e o registro de limpeza assinado. Caso contrário, acionar POP-LIMP-001 antes de prosseguir.</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Monitorar e registrar em FOR-AMBI-001 a temperatura (18–25 °C) e a umidade relativa (máx. 60% UR). Se fora dos limites, interromper e acionar o supervisor imediatamente.</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Receber a Ordem de Produção (OP) aprovada e verificar: código do produto, número do lote, fórmula qualitativa/quantitativa, quantidade a fabricar e assinaturas de aprovação.</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Receber do almoxarifado as matérias-primas pesadas e identificadas. Conferir cada item contra a OP (nome, código, lote, peso). Qualquer discrepância superior a 0,5% deve ser comunicada ao CQ antes de prosseguir.</w:t>
      </w:r>
    </w:p>
    <w:p>
      <w:pPr>
        <w:spacing w:after="60" w:before="140"/>
        <w:jc w:val="left"/>
      </w:pPr>
      <w:r>
        <w:rPr>
          <w:rFonts w:ascii="Arial" w:cs="Arial" w:eastAsia="Arial" w:hAnsi="Arial"/>
          <w:b/>
          <w:bCs/>
          <w:caps w:val="false"/>
          <w:color w:val="1F3864"/>
          <w:sz w:val="20"/>
          <w:szCs w:val="20"/>
        </w:rPr>
        <w:t xml:space="preserve">6.2 Preparação do Excipiente Veículo</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Para formulações oleosas: medir o volume do excipiente (MCT, glicerina) em proveta calibrada. Verificar aspecto (límpido, sem particulados) e registrar.</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Para formulações aquosas: utilizar água purificada com condutividade ≤ 1,3 μS/cm, verificada no certificado de análise do CQ. Registrar pH e condutividade no FOR-PROD-005.</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Para formulações hidroalcoólicas: preparar a solução alcoólica na concentração especificada pela fórmula, utilizando álcool farmacêutico (93,8–95,5 °GL) e água purificada. Verificar a concentração alcoólica com alcoolômetro calibrado.</w:t>
      </w:r>
    </w:p>
    <w:p>
      <w:pPr>
        <w:pBdr>
          <w:left w:val="single" w:color="C00000" w:sz="12"/>
        </w:pBdr>
        <w:spacing w:after="100" w:before="100"/>
        <w:ind w:left="600"/>
      </w:pPr>
      <w:r>
        <w:rPr>
          <w:rFonts w:ascii="Arial" w:cs="Arial" w:eastAsia="Arial" w:hAnsi="Arial"/>
          <w:b/>
          <w:bCs/>
          <w:caps w:val="false"/>
          <w:color w:val="C00000"/>
          <w:sz w:val="20"/>
          <w:szCs w:val="20"/>
        </w:rPr>
        <w:t xml:space="preserve">ATENÇÃO: </w:t>
      </w:r>
      <w:r>
        <w:rPr>
          <w:rFonts w:ascii="Arial" w:cs="Arial" w:eastAsia="Arial" w:hAnsi="Arial"/>
          <w:b/>
          <w:bCs/>
          <w:caps w:val="false"/>
          <w:color w:val="C00000"/>
          <w:sz w:val="20"/>
          <w:szCs w:val="20"/>
        </w:rPr>
        <w:t xml:space="preserve">Formulações alcoólicas requerem ventilação forçada. Eliminar fontes de ignição. Proibido fumar ou utilizar chamas abertas na área.</w:t>
      </w:r>
    </w:p>
    <w:p>
      <w:pPr>
        <w:spacing w:after="60" w:before="140"/>
        <w:jc w:val="left"/>
      </w:pPr>
      <w:r>
        <w:rPr>
          <w:rFonts w:ascii="Arial" w:cs="Arial" w:eastAsia="Arial" w:hAnsi="Arial"/>
          <w:b/>
          <w:bCs/>
          <w:caps w:val="false"/>
          <w:color w:val="1F3864"/>
          <w:sz w:val="20"/>
          <w:szCs w:val="20"/>
        </w:rPr>
        <w:t xml:space="preserve">6.3 Incorporação dos Ingredientes Ativos</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Conferir novamente o peso de cada ativo na balança analítica e registrar na OP. Tolerância para conferência: ≤ 0,5% de variação em relação à pesagem original.</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Adicionar os ativos ao excipiente na sequência indicada na fórmula (menor para maior concentração). Para vitaminas lipossolúveis (A, D, E, K), dissolver previamente em alíquota do excipiente oleoso antes de incorporar ao bulk.</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Agitar com agitador magnético por no mínimo 10 minutos a 200–400 rpm (conforme parâmetro validado) após cada adição. Verificar visualmente a ausência de particulados e de separação de fases.</w:t>
      </w:r>
    </w:p>
    <w:p>
      <w:pPr>
        <w:pBdr>
          <w:left w:val="single" w:color="2E75B6" w:sz="12"/>
        </w:pBdr>
        <w:spacing w:after="80" w:before="80"/>
        <w:ind w:left="600"/>
      </w:pPr>
      <w:r>
        <w:rPr>
          <w:rFonts w:ascii="Arial" w:cs="Arial" w:eastAsia="Arial" w:hAnsi="Arial"/>
          <w:b/>
          <w:bCs/>
          <w:caps w:val="false"/>
          <w:color w:val="2E75B6"/>
          <w:sz w:val="18"/>
          <w:szCs w:val="18"/>
        </w:rPr>
        <w:t xml:space="preserve">NOTA: </w:t>
      </w:r>
      <w:r>
        <w:rPr>
          <w:rFonts w:ascii="Arial" w:cs="Arial" w:eastAsia="Arial" w:hAnsi="Arial"/>
          <w:b w:val="false"/>
          <w:bCs w:val="false"/>
          <w:caps w:val="false"/>
          <w:color w:val="111111"/>
          <w:sz w:val="18"/>
          <w:szCs w:val="18"/>
        </w:rPr>
        <w:t xml:space="preserve">Ingredientes com baixa solubilidade podem requerer aquecimento controlado (≤ 40 °C para oleosos; ≤ 60 °C para aquosos, salvo especificação contrária). Registrar temperatura atingida em FOR-PROD-005.</w:t>
      </w:r>
    </w:p>
    <w:p>
      <w:pPr>
        <w:spacing w:after="60" w:before="140"/>
        <w:jc w:val="left"/>
      </w:pPr>
      <w:r>
        <w:rPr>
          <w:rFonts w:ascii="Arial" w:cs="Arial" w:eastAsia="Arial" w:hAnsi="Arial"/>
          <w:b/>
          <w:bCs/>
          <w:caps w:val="false"/>
          <w:color w:val="1F3864"/>
          <w:sz w:val="20"/>
          <w:szCs w:val="20"/>
        </w:rPr>
        <w:t xml:space="preserve">6.4 Controle em Processo (Pré-Envase)</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Coletar amostra de 10–15 mL do produto homogeneizado e encaminhar ao CQ com identificação (lote, produto, hora, operador). O CQ deve analisar: aspecto, pH (aquosos/alcoólicos), densidade e, se disponível, teor dos ativos.</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Aguardar aprovação formal do CQ (registro em FOR-PROD-005) antes de prosseguir para envase. Em caso de reprovação, o lote deve ser segregado em quarentena e o RT notificado.</w:t>
      </w:r>
    </w:p>
    <w:p>
      <w:pPr>
        <w:spacing w:after="60" w:before="140"/>
        <w:jc w:val="left"/>
      </w:pPr>
      <w:r>
        <w:rPr>
          <w:rFonts w:ascii="Arial" w:cs="Arial" w:eastAsia="Arial" w:hAnsi="Arial"/>
          <w:b/>
          <w:bCs/>
          <w:caps w:val="false"/>
          <w:color w:val="1F3864"/>
          <w:sz w:val="20"/>
          <w:szCs w:val="20"/>
        </w:rPr>
        <w:t xml:space="preserve">6.5 Filtração (quando aplicável)</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Filtrar o produto por membrana de 0,45 μm (filtrado clarificante) ou 0,22 μm (filtrado esterilizante), conforme especificação do produto. Verificar integridade do filtro antes e após a filtração (teste de pressão). Registrar em FOR-PROD-005.</w:t>
      </w:r>
    </w:p>
    <w:p>
      <w:pPr>
        <w:spacing w:after="60" w:before="140"/>
        <w:jc w:val="left"/>
      </w:pPr>
      <w:r>
        <w:rPr>
          <w:rFonts w:ascii="Arial" w:cs="Arial" w:eastAsia="Arial" w:hAnsi="Arial"/>
          <w:b/>
          <w:bCs/>
          <w:caps w:val="false"/>
          <w:color w:val="1F3864"/>
          <w:sz w:val="20"/>
          <w:szCs w:val="20"/>
        </w:rPr>
        <w:t xml:space="preserve">6.6 Envase</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Inspecionar os frascos gotejadores: ausência de trincas, fragmentos ou contaminação visível. Confirmar que pertencem ao lote aprovado pelo CQ.</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Ajustar a envasadora para o volume nominal especificado. Verificar os 10 primeiros frascos: pesar individualmente (tara + massa líquida) e calcular o volume com a densidade do produto. Ajustar se necessário antes de iniciar o lote.</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Realizar controle em processo a cada 30 minutos: pesar 5 frascos aleatórios e verificar se o volume calculado está dentro de ±2% do especificado. Registrar em FOR-PROD-007.</w:t>
      </w:r>
    </w:p>
    <w:p>
      <w:pPr>
        <w:spacing w:after="60" w:before="140"/>
        <w:jc w:val="left"/>
      </w:pPr>
      <w:r>
        <w:rPr>
          <w:rFonts w:ascii="Arial" w:cs="Arial" w:eastAsia="Arial" w:hAnsi="Arial"/>
          <w:b/>
          <w:bCs/>
          <w:caps w:val="false"/>
          <w:color w:val="1F3864"/>
          <w:sz w:val="20"/>
          <w:szCs w:val="20"/>
        </w:rPr>
        <w:t xml:space="preserve">6.7 Selagem e Fechamento</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Instalar o conta-gotas e a tampa. Acionar o selador de indução com os parâmetros validados (conforme POP-PROD-012). Inspecionar 100% dos frascos quanto à integridade do lacre. Lacres ausentes ou parciais constituem NC crítica – segregar imediatamente.</w:t>
      </w:r>
    </w:p>
    <w:p>
      <w:pPr>
        <w:spacing w:after="60" w:before="140"/>
        <w:jc w:val="left"/>
      </w:pPr>
      <w:r>
        <w:rPr>
          <w:rFonts w:ascii="Arial" w:cs="Arial" w:eastAsia="Arial" w:hAnsi="Arial"/>
          <w:b/>
          <w:bCs/>
          <w:caps w:val="false"/>
          <w:color w:val="1F3864"/>
          <w:sz w:val="20"/>
          <w:szCs w:val="20"/>
        </w:rPr>
        <w:t xml:space="preserve">6.8 Encerramento do Lote</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Registrar na OP: quantidade produzida (frascos), refugo, rendimento final. Rendimento esperado: ≥ 95%. Valores abaixo devem ser investigados e justificados.</w:t>
      </w:r>
    </w:p>
    <w:p>
      <w:pPr>
        <w:pStyle w:val="ListParagraph"/>
        <w:numPr>
          <w:ilvl w:val="0"/>
          <w:numId w:val="3"/>
        </w:numPr>
        <w:spacing w:after="80" w:before="80"/>
        <w:jc w:val="both"/>
      </w:pPr>
      <w:r>
        <w:rPr>
          <w:rFonts w:ascii="Arial" w:cs="Arial" w:eastAsia="Arial" w:hAnsi="Arial"/>
          <w:b w:val="false"/>
          <w:bCs w:val="false"/>
          <w:caps w:val="false"/>
          <w:color w:val="111111"/>
          <w:sz w:val="20"/>
          <w:szCs w:val="20"/>
        </w:rPr>
        <w:t xml:space="preserve">Entregar toda a documentação ao CQ para revisão e liberação final. Realizar limpeza da área conforme POP-LIMP-001.</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7. FREQUÊNCIA DE EXECUÇÃO</w:t>
      </w:r>
    </w:p>
    <w:p>
      <w:pPr>
        <w:spacing w:after="80" w:before="80"/>
        <w:jc w:val="both"/>
      </w:pPr>
      <w:r>
        <w:rPr>
          <w:rFonts w:ascii="Arial" w:cs="Arial" w:eastAsia="Arial" w:hAnsi="Arial"/>
          <w:b w:val="false"/>
          <w:bCs w:val="false"/>
          <w:caps w:val="false"/>
          <w:color w:val="111111"/>
          <w:sz w:val="20"/>
          <w:szCs w:val="20"/>
        </w:rPr>
        <w:t xml:space="preserve">Aplica-se a cada lote de gotas produzido, sem exceção de tamanho ou produto.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8. REGISTROS OBRIGATÓRIOS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FOR-PROD-001 – Ordem de Produção (assinada em cada etapa)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FOR-PROD-003 – Registro de Pesagem de Ingredientes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FOR-PROD-005 – Controle em Processo de Líquidos/Gotas (pH, densidade, aspecto)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FOR-PROD-007 – Controle de Envase (volume/peso e horário)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FOR-AMBI-001 – Controle Ambiental (temperatura e umidade)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FOR-LIMP-002 – Registro de Limpeza e Sanitização de Equipamentos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Laudos de CQ: matéria-prima, embalagem e produto acabado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9. CRITÉRIOS DE ACEITAÇÃO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Aspecto: límpido, ausência de partículas em suspensão (exceto emulsões – conforme especificação)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Cor e odor: conformes ao padrão aprovado; ausência de odor de ranço ou de solventes estranhos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pH (aquosos/alcoólicos): conforme especificação de cada produto (tolerância ± 0,2 unidades)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Densidade: conforme especificação (tolerância ± 0,02 g/mL)</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Volume de envase: especificação ± 2%; máximo ± 5% no controle em processo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Teor de ativos: 90–110% do valor declarado no rótulo (por análise laboratorial)</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Lacre de indução: 100% dos frascos com lacre íntegro, sem destacamento ou abertura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10. PONTOS CRÍTICOS DE CONTROLE (PCC / HACCP)</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675"/>
        <w:gridCol w:w="1735"/>
        <w:gridCol w:w="2024"/>
        <w:gridCol w:w="3469"/>
        <w:gridCol w:w="1735"/>
      </w:tblGrid>
      <w:tr>
        <w:trPr>
          <w:tblHeader/>
        </w:trPr>
        <w:tc>
          <w:tcPr>
            <w:tcW w:type="dxa" w:w="67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PCC</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Parâmetro</w:t>
            </w:r>
          </w:p>
        </w:tc>
        <w:tc>
          <w:tcPr>
            <w:tcW w:type="dxa" w:w="202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Limite Crítico</w:t>
            </w:r>
          </w:p>
        </w:tc>
        <w:tc>
          <w:tcPr>
            <w:tcW w:type="dxa" w:w="346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Ação Corretiva</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Frequência</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PCC1</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Concentração dos ativos</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Teor: 90–110% do declarado</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Segregar lote. Coletar amostra confirmatória. Investigar causa. Reprovar se confirmado fora do limite. Acionar RT e abrir CAPA.</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Por lote (pré-envase)</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PCC2</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pH do produto acabado</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Conforme especificação ± 0,2 unidades</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Ajustar com regulador de pH aprovado. Se inajustável, reprovar e segregar o lote. Registrar desvio e abrir NC.</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Por lote (pré-envase)</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PCC3</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Volume/Peso de envase</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Especificação ± 2%</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Reajustar envasadora. Segregar frascos com desvio &gt; 5%. Registrar NC.</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 cada 30 min durante envase</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PCC4</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Integridade do lacre</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com lacre íntegro</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Segregar e descartar frascos sem lacre. Reajustar parâmetros do selador. Verificar 100% após reajuste.</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inspeção visual pós-selagem</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PCC5</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Contaminação microbiana</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Máx. 100 UFC/mL (aeróbios); ausência de Salmonella e E. coli (conforme RDC 243/2018)</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Reprovar lote. Investigar fonte de contaminação (água, equipamento, operador). Acionar RT e GQ.</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Por lote (produto acabado)</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11. AÇÕES CORRETIVAS EM CASO DE DESVIO</w:t>
      </w:r>
    </w:p>
    <w:p>
      <w:pPr>
        <w:pStyle w:val="ListParagraph"/>
        <w:numPr>
          <w:ilvl w:val="0"/>
          <w:numId w:val="4"/>
        </w:numPr>
        <w:spacing w:after="80" w:before="80"/>
        <w:jc w:val="both"/>
      </w:pPr>
      <w:r>
        <w:rPr>
          <w:rFonts w:ascii="Arial" w:cs="Arial" w:eastAsia="Arial" w:hAnsi="Arial"/>
          <w:b w:val="false"/>
          <w:bCs w:val="false"/>
          <w:caps w:val="false"/>
          <w:color w:val="111111"/>
          <w:sz w:val="20"/>
          <w:szCs w:val="20"/>
        </w:rPr>
        <w:t xml:space="preserve">Interromper imediatamente a operação ao identificar qualquer desvio. Registrar no FOR-NC-001: o que ocorreu, quando, quem identificou e a quantidade potencialmente afetada.</w:t>
      </w:r>
    </w:p>
    <w:p>
      <w:pPr>
        <w:pStyle w:val="ListParagraph"/>
        <w:numPr>
          <w:ilvl w:val="0"/>
          <w:numId w:val="4"/>
        </w:numPr>
        <w:spacing w:after="80" w:before="80"/>
        <w:jc w:val="both"/>
      </w:pPr>
      <w:r>
        <w:rPr>
          <w:rFonts w:ascii="Arial" w:cs="Arial" w:eastAsia="Arial" w:hAnsi="Arial"/>
          <w:b w:val="false"/>
          <w:bCs w:val="false"/>
          <w:caps w:val="false"/>
          <w:color w:val="111111"/>
          <w:sz w:val="20"/>
          <w:szCs w:val="20"/>
        </w:rPr>
        <w:t xml:space="preserve">Segregar fisicamente o material em quarentena com etiqueta vermelha de "EM QUARENTENA – AGUARDANDO ANÁLISE". Não expedir nem utilizar o material segregado até decisão do CQ.</w:t>
      </w:r>
    </w:p>
    <w:p>
      <w:pPr>
        <w:pStyle w:val="ListParagraph"/>
        <w:numPr>
          <w:ilvl w:val="0"/>
          <w:numId w:val="4"/>
        </w:numPr>
        <w:spacing w:after="80" w:before="80"/>
        <w:jc w:val="both"/>
      </w:pPr>
      <w:r>
        <w:rPr>
          <w:rFonts w:ascii="Arial" w:cs="Arial" w:eastAsia="Arial" w:hAnsi="Arial"/>
          <w:b w:val="false"/>
          <w:bCs w:val="false"/>
          <w:caps w:val="false"/>
          <w:color w:val="111111"/>
          <w:sz w:val="20"/>
          <w:szCs w:val="20"/>
        </w:rPr>
        <w:t xml:space="preserve">O CQ classifica o desvio: Crítico (risco à saúde), Maior (impacto significativo na qualidade) ou Menor. A classificação define a resposta imediata e o prazo de investigação.</w:t>
      </w:r>
    </w:p>
    <w:p>
      <w:pPr>
        <w:pStyle w:val="ListParagraph"/>
        <w:numPr>
          <w:ilvl w:val="0"/>
          <w:numId w:val="4"/>
        </w:numPr>
        <w:spacing w:after="80" w:before="80"/>
        <w:jc w:val="both"/>
      </w:pPr>
      <w:r>
        <w:rPr>
          <w:rFonts w:ascii="Arial" w:cs="Arial" w:eastAsia="Arial" w:hAnsi="Arial"/>
          <w:b w:val="false"/>
          <w:bCs w:val="false"/>
          <w:caps w:val="false"/>
          <w:color w:val="111111"/>
          <w:sz w:val="20"/>
          <w:szCs w:val="20"/>
        </w:rPr>
        <w:t xml:space="preserve">Para desvio em teor de ativos: coletar nova amostra para análise confirmatória. Se confirmado fora de especificação, reprovar o lote. Abrir CAPA (FOR-GQ-003) para investigação de causa raiz.</w:t>
      </w:r>
    </w:p>
    <w:p>
      <w:pPr>
        <w:pStyle w:val="ListParagraph"/>
        <w:numPr>
          <w:ilvl w:val="0"/>
          <w:numId w:val="4"/>
        </w:numPr>
        <w:spacing w:after="80" w:before="80"/>
        <w:jc w:val="both"/>
      </w:pPr>
      <w:r>
        <w:rPr>
          <w:rFonts w:ascii="Arial" w:cs="Arial" w:eastAsia="Arial" w:hAnsi="Arial"/>
          <w:b w:val="false"/>
          <w:bCs w:val="false"/>
          <w:caps w:val="false"/>
          <w:color w:val="111111"/>
          <w:sz w:val="20"/>
          <w:szCs w:val="20"/>
        </w:rPr>
        <w:t xml:space="preserve">Para desvio de volume: reajustar a envasadora, verificar 10 frascos consecutivos e somente retomar a produção após confirmação do ajuste.</w:t>
      </w:r>
    </w:p>
    <w:p>
      <w:pPr>
        <w:pStyle w:val="ListParagraph"/>
        <w:numPr>
          <w:ilvl w:val="0"/>
          <w:numId w:val="4"/>
        </w:numPr>
        <w:spacing w:after="80" w:before="80"/>
        <w:jc w:val="both"/>
      </w:pPr>
      <w:r>
        <w:rPr>
          <w:rFonts w:ascii="Arial" w:cs="Arial" w:eastAsia="Arial" w:hAnsi="Arial"/>
          <w:b w:val="false"/>
          <w:bCs w:val="false"/>
          <w:caps w:val="false"/>
          <w:color w:val="111111"/>
          <w:sz w:val="20"/>
          <w:szCs w:val="20"/>
        </w:rPr>
        <w:t xml:space="preserve">Para lacre ausente ou comprometido: descartar todos os frascos afetados. Verificar temperatura e tempo de selagem; revalidar os parâmetros antes de reiniciar.</w:t>
      </w:r>
    </w:p>
    <w:p>
      <w:pPr>
        <w:pStyle w:val="ListParagraph"/>
        <w:numPr>
          <w:ilvl w:val="0"/>
          <w:numId w:val="4"/>
        </w:numPr>
        <w:spacing w:after="80" w:before="80"/>
        <w:jc w:val="both"/>
      </w:pPr>
      <w:r>
        <w:rPr>
          <w:rFonts w:ascii="Arial" w:cs="Arial" w:eastAsia="Arial" w:hAnsi="Arial"/>
          <w:b w:val="false"/>
          <w:bCs w:val="false"/>
          <w:caps w:val="false"/>
          <w:color w:val="111111"/>
          <w:sz w:val="20"/>
          <w:szCs w:val="20"/>
        </w:rPr>
        <w:t xml:space="preserve">Registrar todas as ações no CAPA com responsável e prazo. Notificar o RT em até 24 h para desvios críticos ou maiores.</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12. FORMULÁRIOS E DOCUMENTOS RELACIONADOS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FOR-PROD-001 – Ordem de Produção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FOR-PROD-003 – Pesagem de Ingredientes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FOR-PROD-005 – Controle em Processo (Líquidos e Gotas)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FOR-PROD-007 – Controle de Envase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FOR-AMBI-001 – Controle Ambiental</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FOR-LIMP-002 – Limpeza de Equipamentos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FOR-NC-001 – Registro de Não Conformidade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FOR-GQ-003 – Plano CAPA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POP-PROD-012 – Selagem | POP-PROD-013 – Rotulagem | POP-LIMP-001 – Limpeza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13. HISTÓRICO DE REVISÕES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5493"/>
        <w:gridCol w:w="1831"/>
      </w:tblGrid>
      <w:tr>
        <w:trPr>
          <w:tblHeader/>
        </w:trPr>
        <w:tc>
          <w:tcPr>
            <w:tcW w:type="dxa" w:w="96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Versão</w:t>
            </w:r>
          </w:p>
        </w:tc>
        <w:tc>
          <w:tcPr>
            <w:tcW w:type="dxa" w:w="134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Data</w:t>
            </w:r>
          </w:p>
        </w:tc>
        <w:tc>
          <w:tcPr>
            <w:tcW w:type="dxa" w:w="5493"/>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Descrição</w:t>
            </w:r>
          </w:p>
        </w:tc>
        <w:tc>
          <w:tcPr>
            <w:tcW w:type="dxa" w:w="183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Resp.</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01</w:t>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Jun/2025</w:t>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Emissão inicial do documento.</w:t>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RT/GQ</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r>
    </w:tbl>
    <w:p>
      <w:pPr>
        <w:spacing w:after="100" w:before="200"/>
      </w:pPr>
      <w:r>
        <w:rPr>
          <w:rFonts w:ascii="Arial" w:cs="Arial" w:eastAsia="Arial" w:hAnsi="Arial"/>
          <w:b w:val="false"/>
          <w:bCs w:val="false"/>
          <w:caps w:val="false"/>
          <w:color w:val="111111"/>
          <w:sz w:val="20"/>
          <w:szCs w:val="20"/>
        </w:rPr>
        <w:t xml:space="preserve"/>
      </w:r>
    </w:p>
    <w:p>
      <w:r>
        <w:br w:type="page"/>
      </w:r>
    </w:p>
    <w:p>
      <w:pPr>
        <w:pStyle w:val="Heading1"/>
        <w:spacing w:after="0" w:before="0"/>
      </w:pPr>
      <w:r>
        <w:rPr>
          <w:rFonts w:ascii="Arial" w:cs="Arial" w:eastAsia="Arial" w:hAnsi="Arial"/>
          <w:b w:val="false"/>
          <w:bCs w:val="false"/>
          <w:caps w:val="false"/>
          <w:color w:val="FFFFFF"/>
          <w:sz w:val="2"/>
          <w:szCs w:val="2"/>
        </w:rPr>
        <w:t xml:space="preserve">POP-PROD-006 — Pesagem de Ingredientes e Matérias-Primas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120"/>
        <w:gridCol w:w="4915"/>
        <w:gridCol w:w="2602"/>
      </w:tblGrid>
      <w:tr>
        <w:tc>
          <w:tcPr>
            <w:tcW w:type="dxa" w:w="2120"/>
            <w:vMerge w:val="restart"/>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FFFFFF"/>
                <w:sz w:val="17"/>
                <w:szCs w:val="17"/>
              </w:rPr>
              <w:t xml:space="preserve">INDÚSTRIA DE SUPLEMENTOS</w:t>
            </w:r>
          </w:p>
          <w:p>
            <w:pPr>
              <w:spacing w:after="60" w:before="0"/>
              <w:jc w:val="center"/>
            </w:pPr>
            <w:r>
              <w:rPr>
                <w:rFonts w:ascii="Arial" w:cs="Arial" w:eastAsia="Arial" w:hAnsi="Arial"/>
                <w:b w:val="false"/>
                <w:bCs w:val="false"/>
                <w:caps w:val="false"/>
                <w:color w:val="D6E4F0"/>
                <w:sz w:val="15"/>
                <w:szCs w:val="15"/>
              </w:rPr>
              <w:t xml:space="preserve">Alimentos para Fins Especiais</w:t>
            </w:r>
          </w:p>
        </w:tc>
        <w:tc>
          <w:tcPr>
            <w:tcW w:type="dxa" w:w="4915"/>
            <w:vMerge w:val="restart"/>
            <w:tcBorders>
              <w:top w:val="single" w:color="1F3864" w:sz="4"/>
              <w:left w:val="single" w:color="1F3864" w:sz="4"/>
              <w:bottom w:val="single" w:color="1F3864" w:sz="4"/>
              <w:right w:val="single" w:color="1F3864" w:sz="4"/>
            </w:tcBorders>
            <w:shd w:fill="D6E4F0" w:val="clear"/>
            <w:tcMar>
              <w:top w:type="dxa" w:w="80"/>
              <w:left w:type="dxa" w:w="100"/>
              <w:bottom w:type="dxa" w:w="80"/>
              <w:right w:type="dxa" w:w="100"/>
            </w:tcMar>
            <w:vAlign w:val="center"/>
          </w:tcPr>
          <w:p>
            <w:pPr>
              <w:spacing w:after="40" w:before="60"/>
              <w:jc w:val="center"/>
            </w:pPr>
            <w:r>
              <w:rPr>
                <w:rFonts w:ascii="Arial" w:cs="Arial" w:eastAsia="Arial" w:hAnsi="Arial"/>
                <w:b/>
                <w:bCs/>
                <w:caps/>
                <w:color w:val="1F3864"/>
                <w:sz w:val="17"/>
                <w:szCs w:val="17"/>
              </w:rPr>
              <w:t xml:space="preserve">PROCEDIMENTO OPERACIONAL PADRÃO</w:t>
            </w:r>
          </w:p>
          <w:p>
            <w:pPr>
              <w:spacing w:after="60" w:before="0"/>
              <w:jc w:val="center"/>
            </w:pPr>
            <w:r>
              <w:rPr>
                <w:rFonts w:ascii="Arial" w:cs="Arial" w:eastAsia="Arial" w:hAnsi="Arial"/>
                <w:b/>
                <w:bCs/>
                <w:caps w:val="false"/>
                <w:color w:val="1F3864"/>
                <w:sz w:val="22"/>
                <w:szCs w:val="22"/>
              </w:rPr>
              <w:t xml:space="preserve">Pesagem de Ingredientes e Matérias-Primas</w:t>
            </w: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left"/>
            </w:pPr>
            <w:r>
              <w:rPr>
                <w:rFonts w:ascii="Arial" w:cs="Arial" w:eastAsia="Arial" w:hAnsi="Arial"/>
                <w:b/>
                <w:bCs/>
                <w:caps w:val="false"/>
                <w:color w:val="D6E4F0"/>
                <w:sz w:val="16"/>
                <w:szCs w:val="16"/>
              </w:rPr>
              <w:t xml:space="preserve">Código: </w:t>
            </w:r>
            <w:r>
              <w:rPr>
                <w:rFonts w:ascii="Arial" w:cs="Arial" w:eastAsia="Arial" w:hAnsi="Arial"/>
                <w:b/>
                <w:bCs/>
                <w:caps w:val="false"/>
                <w:color w:val="FFFFFF"/>
                <w:sz w:val="18"/>
                <w:szCs w:val="18"/>
              </w:rPr>
              <w:t xml:space="preserve">POP-PROD-006</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20"/>
              <w:jc w:val="left"/>
            </w:pPr>
            <w:r>
              <w:rPr>
                <w:rFonts w:ascii="Arial" w:cs="Arial" w:eastAsia="Arial" w:hAnsi="Arial"/>
                <w:b/>
                <w:bCs/>
                <w:caps w:val="false"/>
                <w:color w:val="D6E4F0"/>
                <w:sz w:val="16"/>
                <w:szCs w:val="16"/>
              </w:rPr>
              <w:t xml:space="preserve">Versão: </w:t>
            </w:r>
            <w:r>
              <w:rPr>
                <w:rFonts w:ascii="Arial" w:cs="Arial" w:eastAsia="Arial" w:hAnsi="Arial"/>
                <w:b/>
                <w:bCs/>
                <w:caps w:val="false"/>
                <w:color w:val="FFFFFF"/>
                <w:sz w:val="18"/>
                <w:szCs w:val="18"/>
              </w:rPr>
              <w:t xml:space="preserve">01</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60" w:before="20"/>
              <w:jc w:val="left"/>
            </w:pPr>
            <w:r>
              <w:rPr>
                <w:rFonts w:ascii="Arial" w:cs="Arial" w:eastAsia="Arial" w:hAnsi="Arial"/>
                <w:b/>
                <w:bCs/>
                <w:caps w:val="false"/>
                <w:color w:val="D6E4F0"/>
                <w:sz w:val="16"/>
                <w:szCs w:val="16"/>
              </w:rPr>
              <w:t xml:space="preserve">Emissão: </w:t>
            </w:r>
            <w:r>
              <w:rPr>
                <w:rFonts w:ascii="Arial" w:cs="Arial" w:eastAsia="Arial" w:hAnsi="Arial"/>
                <w:b w:val="false"/>
                <w:bCs w:val="false"/>
                <w:caps w:val="false"/>
                <w:color w:val="FFFFFF"/>
                <w:sz w:val="18"/>
                <w:szCs w:val="18"/>
              </w:rPr>
              <w:t xml:space="preserve">Jun/2025</w:t>
            </w:r>
          </w:p>
        </w:tc>
      </w:tr>
      <w:tr>
        <w:tc>
          <w:tcPr>
            <w:tcW w:type="dxa" w:w="2120"/>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Elaborado por:</w:t>
            </w:r>
          </w:p>
          <w:p>
            <w:pPr>
              <w:spacing w:after="20" w:before="0"/>
              <w:jc w:val="center"/>
            </w:pPr>
            <w:r>
              <w:rPr>
                <w:rFonts w:ascii="Arial" w:cs="Arial" w:eastAsia="Arial" w:hAnsi="Arial"/>
                <w:b w:val="false"/>
                <w:bCs w:val="false"/>
                <w:caps w:val="false"/>
                <w:color w:val="111111"/>
                <w:sz w:val="16"/>
                <w:szCs w:val="16"/>
              </w:rPr>
              <w:t xml:space="preserve">Responsável Técnico</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4915"/>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Verificado por:</w:t>
            </w:r>
          </w:p>
          <w:p>
            <w:pPr>
              <w:spacing w:after="20" w:before="0"/>
              <w:jc w:val="center"/>
            </w:pPr>
            <w:r>
              <w:rPr>
                <w:rFonts w:ascii="Arial" w:cs="Arial" w:eastAsia="Arial" w:hAnsi="Arial"/>
                <w:b w:val="false"/>
                <w:bCs w:val="false"/>
                <w:caps w:val="false"/>
                <w:color w:val="111111"/>
                <w:sz w:val="16"/>
                <w:szCs w:val="16"/>
              </w:rPr>
              <w:t xml:space="preserve">Garantia da Qualidade</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2602"/>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Aprovado por:</w:t>
            </w:r>
          </w:p>
          <w:p>
            <w:pPr>
              <w:spacing w:after="20" w:before="0"/>
              <w:jc w:val="center"/>
            </w:pPr>
            <w:r>
              <w:rPr>
                <w:rFonts w:ascii="Arial" w:cs="Arial" w:eastAsia="Arial" w:hAnsi="Arial"/>
                <w:b w:val="false"/>
                <w:bCs w:val="false"/>
                <w:caps w:val="false"/>
                <w:color w:val="111111"/>
                <w:sz w:val="16"/>
                <w:szCs w:val="16"/>
              </w:rPr>
              <w:t xml:space="preserve">Diretoria / RT</w:t>
            </w:r>
          </w:p>
          <w:p>
            <w:pPr>
              <w:spacing w:after="60" w:before="20"/>
              <w:jc w:val="center"/>
            </w:pPr>
            <w:r>
              <w:rPr>
                <w:rFonts w:ascii="Arial" w:cs="Arial" w:eastAsia="Arial" w:hAnsi="Arial"/>
                <w:b w:val="false"/>
                <w:bCs w:val="false"/>
                <w:caps w:val="false"/>
                <w:color w:val="888888"/>
                <w:sz w:val="15"/>
                <w:szCs w:val="15"/>
              </w:rPr>
              <w:t xml:space="preserve">_____ / ____/____</w:t>
            </w:r>
          </w:p>
        </w:tc>
      </w:tr>
    </w:tbl>
    <w:p>
      <w:pPr>
        <w:spacing w:after="80" w:before="16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 OBJETIVO</w:t>
      </w:r>
    </w:p>
    <w:p>
      <w:pPr>
        <w:spacing w:after="80" w:before="80"/>
        <w:jc w:val="both"/>
      </w:pPr>
      <w:r>
        <w:rPr>
          <w:rFonts w:ascii="Arial" w:cs="Arial" w:eastAsia="Arial" w:hAnsi="Arial"/>
          <w:b w:val="false"/>
          <w:bCs w:val="false"/>
          <w:caps w:val="false"/>
          <w:color w:val="111111"/>
          <w:sz w:val="20"/>
          <w:szCs w:val="20"/>
        </w:rPr>
        <w:t xml:space="preserve">Padronizar o processo de pesagem de todos os ingredientes e matérias-primas utilizados na fabricação de suplementos alimentares, garantindo a exatidão das quantidades, a correta identificação dos materiais e a rastreabilidade total dos lotes utilizados em cada produção.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2. CAMPO DE APLICAÇÃO</w:t>
      </w:r>
    </w:p>
    <w:p>
      <w:pPr>
        <w:spacing w:after="80" w:before="80"/>
        <w:jc w:val="both"/>
      </w:pPr>
      <w:r>
        <w:rPr>
          <w:rFonts w:ascii="Arial" w:cs="Arial" w:eastAsia="Arial" w:hAnsi="Arial"/>
          <w:b w:val="false"/>
          <w:bCs w:val="false"/>
          <w:caps w:val="false"/>
          <w:color w:val="111111"/>
          <w:sz w:val="20"/>
          <w:szCs w:val="20"/>
        </w:rPr>
        <w:t xml:space="preserve">Aplica-se à pesagem de todos os ingredientes ativos, excipientes, aromatizantes e aditivos tecnológicos utilizados na fabricação de qualquer forma de apresentação (cápsulas, gummies, solúveis, líquidos e gotas). Deve ser executado na sala de pesagem ou área de produção designada.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3. RESPONSABILIDADES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6746"/>
      </w:tblGrid>
      <w:tr>
        <w:trPr>
          <w:tblHeader/>
        </w:trPr>
        <w:tc>
          <w:tcPr>
            <w:tcW w:type="dxa" w:w="289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Função / Cargo</w:t>
            </w:r>
          </w:p>
        </w:tc>
        <w:tc>
          <w:tcPr>
            <w:tcW w:type="dxa" w:w="6746"/>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Responsabilidade</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Operador de Pesagem</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Executar a pesagem conforme OP, registrar todos os dados e garantir a correta identificação dos recipientes.</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Segundo Operador (conferente)</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Verificar e assinar a pesagem de ingredientes de alta potência ou de concentração crítica (dupla verificação obrigatória).</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Supervisor de Produção</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Liberar a área de pesagem, verificar os equipamentos e supervisionar a execução.</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Controle de Qualidade</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Verificar a calibração das balanças, aprovar os registros de pesagem e assinar o laudo do lote.</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Almoxarifado</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Separar os ingredientes do lote correto, conferir os laudos vigentes e entregar ao operador de pesagem.</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4. DEFINIÇÕES E ABREVIAÇÕES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698"/>
        <w:gridCol w:w="6939"/>
      </w:tblGrid>
      <w:tr>
        <w:trPr>
          <w:tblHeader/>
        </w:trPr>
        <w:tc>
          <w:tcPr>
            <w:tcW w:type="dxa" w:w="2698"/>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Termo / Sigla</w:t>
            </w:r>
          </w:p>
        </w:tc>
        <w:tc>
          <w:tcPr>
            <w:tcW w:type="dxa" w:w="693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Definição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OP</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Ordem de Produção – documento primário que define quantidades, lotes e sequência de pesagem.</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Tara</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Massa do recipiente vazio, descontada na pesagem do ingrediente.</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d (resolução)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Menor incremento legível da balança; balança analítica: d ≤ 0,001 g; semianalítica: d ≤ 0,01 g.</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Calibração</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Conjunto de operações que estabelece a relação entre os valores indicados pelo instrumento e os valores convencionalmente verdadeiros.</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Dupla verificação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Confirmação independente por segundo operador da identidade e do peso do ingrediente.</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Alta potência</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Ingrediente cuja dose ativa é ≤ 10 mg/dose – requer dupla verificação obrigatória em cada pesagem.</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Segregação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Separação física de materiais de diferentes lotes ou status para evitar misturas ou erros.</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CMC</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Certificado de Matéria-Prima Controlada – inclui especificação e laudo de aprovação do CQ.</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INMETRO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Instituto Nacional de Metrologia – referência para calibração e aferição de instrumentos de medição.</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5. MATERIAIS, EQUIPAMENTOS E EPIs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Balança analítica calibrada (d ≤ 0,001 g) – verificação diária com pesos rastreados ao INMETRO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Balança semianalítica calibrada (d ≤ 0,01 g) – verificação diária documentada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Balança de bancada calibrada (d ≤ 0,1 g) – para ingredientes ≥ 500 g</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Pesos padrão rastreados ao INMETRO (classes M1 ou E2) para verificação diária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Espátulas de aço inox polido (uma por ingrediente ou limpas entre ingredientes)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Recipientes de pesagem: sacos kraft, copos de béquer, potes de PEAD – identificados com etiqueta de pesagem</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Etiquetas de identificação de recipiente: nome do ingrediente, código, lote, peso, data, operador</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Ordem de Produção com fórmula qualitativa/quantitativa e campo para registro de pesagem</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EPI: jaleco branco, luvas nitrílicas, máscara PFF2 ou N95, óculos de proteção, touca, propé</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Manga/sobretudo descartável para ingredientes com alta capacidade de contaminação cruzada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6. PROCEDIMENTO DETALHADO</w:t>
      </w:r>
    </w:p>
    <w:p>
      <w:pPr>
        <w:spacing w:after="60" w:before="140"/>
        <w:jc w:val="left"/>
      </w:pPr>
      <w:r>
        <w:rPr>
          <w:rFonts w:ascii="Arial" w:cs="Arial" w:eastAsia="Arial" w:hAnsi="Arial"/>
          <w:b/>
          <w:bCs/>
          <w:caps w:val="false"/>
          <w:color w:val="1F3864"/>
          <w:sz w:val="20"/>
          <w:szCs w:val="20"/>
        </w:rPr>
        <w:t xml:space="preserve">6.1 Preparação da Área e dos Equipamentos</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Verificar se a sala de pesagem está limpa, com registro de limpeza vigente assinado. Confirmar o cartão de status: "LIMPO / DISPONÍVEL". Caso contrário, executar POP-LIMP-001.</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Monitorar e registrar temperatura (18–25 °C) e umidade relativa (máx. 60% UR) em FOR-AMBI-001. Fora dos limites, interromper e acionar o supervisor.</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Verificar a balança analítica com pelo menos 3 pesos padrão (p. ex., 1 g, 10 g, 100 g). A leitura deve estar dentro de ± 0,05% do valor nominal. Registrar em FOR-CQ-010. Se fora do limite, não utilizar a balança e acionar o CQ.</w:t>
      </w:r>
    </w:p>
    <w:p>
      <w:pPr>
        <w:pBdr>
          <w:left w:val="single" w:color="2E75B6" w:sz="12"/>
        </w:pBdr>
        <w:spacing w:after="80" w:before="80"/>
        <w:ind w:left="600"/>
      </w:pPr>
      <w:r>
        <w:rPr>
          <w:rFonts w:ascii="Arial" w:cs="Arial" w:eastAsia="Arial" w:hAnsi="Arial"/>
          <w:b/>
          <w:bCs/>
          <w:caps w:val="false"/>
          <w:color w:val="2E75B6"/>
          <w:sz w:val="18"/>
          <w:szCs w:val="18"/>
        </w:rPr>
        <w:t xml:space="preserve">NOTA: </w:t>
      </w:r>
      <w:r>
        <w:rPr>
          <w:rFonts w:ascii="Arial" w:cs="Arial" w:eastAsia="Arial" w:hAnsi="Arial"/>
          <w:b w:val="false"/>
          <w:bCs w:val="false"/>
          <w:caps w:val="false"/>
          <w:color w:val="111111"/>
          <w:sz w:val="18"/>
          <w:szCs w:val="18"/>
        </w:rPr>
        <w:t xml:space="preserve">A verificação diária da balança não substitui a calibração periódica por laboratório acreditado. A calibração deve ser realizada conforme cronograma do PGQ-001 (Programa de Gestão de Equipamentos).</w:t>
      </w:r>
    </w:p>
    <w:p>
      <w:pPr>
        <w:spacing w:after="60" w:before="140"/>
        <w:jc w:val="left"/>
      </w:pPr>
      <w:r>
        <w:rPr>
          <w:rFonts w:ascii="Arial" w:cs="Arial" w:eastAsia="Arial" w:hAnsi="Arial"/>
          <w:b/>
          <w:bCs/>
          <w:caps w:val="false"/>
          <w:color w:val="1F3864"/>
          <w:sz w:val="20"/>
          <w:szCs w:val="20"/>
        </w:rPr>
        <w:t xml:space="preserve">6.2 Recebimento e Conferência dos Ingredientes</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Receber do almoxarifado os ingredientes separados para o lote. Conferir para cada um: nome do ingrediente, código interno, número do lote do fornecedor, número de lote interno, status de aprovação (etiqueta verde do CQ). NÃO utilizar ingredientes com etiqueta amarela (quarentena) ou vermelha (reprovado).</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Verificar o laudo de aprovação do CQ para cada ingrediente. O laudo deve estar dentro do prazo de validade e aprovado para o produto em questão.</w:t>
      </w:r>
    </w:p>
    <w:p>
      <w:pPr>
        <w:spacing w:after="60" w:before="140"/>
        <w:jc w:val="left"/>
      </w:pPr>
      <w:r>
        <w:rPr>
          <w:rFonts w:ascii="Arial" w:cs="Arial" w:eastAsia="Arial" w:hAnsi="Arial"/>
          <w:b/>
          <w:bCs/>
          <w:caps w:val="false"/>
          <w:color w:val="1F3864"/>
          <w:sz w:val="20"/>
          <w:szCs w:val="20"/>
        </w:rPr>
        <w:t xml:space="preserve">6.3 Execução da Pesagem</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Colocar o recipiente de pesagem vazio sobre a balança e realizar a tara. O display deve mostrar 0,000 g (balança analítica) ou 0,00 g (semianalítica).</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Identificar o recipiente com a etiqueta de pesagem ANTES de iniciar a pesagem: nome do ingrediente, código, lote, produto, número do lote de produção, data, operador.</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Adicionar o ingrediente ao recipiente lentamente com espátula, até atingir o peso especificado na OP. A variação aceitável é de ± 0,5% para ingredientes ≥ 10 g e ± 0,2% para ingredientes &lt; 10 g (alta potência).</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Registrar o peso obtido na OP, na linha do respectivo ingrediente. Assinar e datar.</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Para ingredientes de alta potência (dose ≤ 10 mg/dose ou conforme marcação na fórmula): convocar o segundo operador para conferência. O segundo operador deve verificar o recipiente, comparar com a OP e assinar o campo de dupla verificação.</w:t>
      </w:r>
    </w:p>
    <w:p>
      <w:pPr>
        <w:pBdr>
          <w:left w:val="single" w:color="C00000" w:sz="12"/>
        </w:pBdr>
        <w:spacing w:after="100" w:before="100"/>
        <w:ind w:left="600"/>
      </w:pPr>
      <w:r>
        <w:rPr>
          <w:rFonts w:ascii="Arial" w:cs="Arial" w:eastAsia="Arial" w:hAnsi="Arial"/>
          <w:b/>
          <w:bCs/>
          <w:caps w:val="false"/>
          <w:color w:val="C00000"/>
          <w:sz w:val="20"/>
          <w:szCs w:val="20"/>
        </w:rPr>
        <w:t xml:space="preserve">ATENÇÃO: </w:t>
      </w:r>
      <w:r>
        <w:rPr>
          <w:rFonts w:ascii="Arial" w:cs="Arial" w:eastAsia="Arial" w:hAnsi="Arial"/>
          <w:b/>
          <w:bCs/>
          <w:caps w:val="false"/>
          <w:color w:val="C00000"/>
          <w:sz w:val="20"/>
          <w:szCs w:val="20"/>
        </w:rPr>
        <w:t xml:space="preserve">Ingredientes de alta potência devem ser pesados por último, com a balança analítica limpa e a espátula dedicada. Em caso de dúvida sobre a identidade do ingrediente, NÃO utilizar – acionar o CQ imediatamente.</w:t>
      </w:r>
    </w:p>
    <w:p>
      <w:pPr>
        <w:spacing w:after="60" w:before="140"/>
        <w:jc w:val="left"/>
      </w:pPr>
      <w:r>
        <w:rPr>
          <w:rFonts w:ascii="Arial" w:cs="Arial" w:eastAsia="Arial" w:hAnsi="Arial"/>
          <w:b/>
          <w:bCs/>
          <w:caps w:val="false"/>
          <w:color w:val="1F3864"/>
          <w:sz w:val="20"/>
          <w:szCs w:val="20"/>
        </w:rPr>
        <w:t xml:space="preserve">6.4 Identificação e Segregação Pós-Pesagem</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Após a pesagem de cada ingrediente, fechar hermeticamente o recipiente e manter a etiqueta visível. Agrupar todos os recipientes de um mesmo lote em bandeja identificada com número do lote de produção.</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Ingredientes não utilizados (sobras) devem ser devolvidos ao almoxarifado com a embalagem original fechada, etiqueta de identificação e registro da quantidade devolvida na OP.</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Não deixar recipientes pesados sem identificação ou misturados com materiais de outros lotes. Segregação física obrigatória.</w:t>
      </w:r>
    </w:p>
    <w:p>
      <w:pPr>
        <w:spacing w:after="60" w:before="140"/>
        <w:jc w:val="left"/>
      </w:pPr>
      <w:r>
        <w:rPr>
          <w:rFonts w:ascii="Arial" w:cs="Arial" w:eastAsia="Arial" w:hAnsi="Arial"/>
          <w:b/>
          <w:bCs/>
          <w:caps w:val="false"/>
          <w:color w:val="1F3864"/>
          <w:sz w:val="20"/>
          <w:szCs w:val="20"/>
        </w:rPr>
        <w:t xml:space="preserve">6.5 Encerramento e Transferência</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Ao finalizar todas as pesagens do lote, o operador assina e data a OP. O supervisor verifica os registros e também assina.</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Transportar os recipientes pesados para a área de produção em carrinho limpo e tampado. Registrar a transferência na OP com hora, operador que transportou e operador que recebeu.</w:t>
      </w:r>
    </w:p>
    <w:p>
      <w:pPr>
        <w:pStyle w:val="ListParagraph"/>
        <w:numPr>
          <w:ilvl w:val="0"/>
          <w:numId w:val="5"/>
        </w:numPr>
        <w:spacing w:after="80" w:before="80"/>
        <w:jc w:val="both"/>
      </w:pPr>
      <w:r>
        <w:rPr>
          <w:rFonts w:ascii="Arial" w:cs="Arial" w:eastAsia="Arial" w:hAnsi="Arial"/>
          <w:b w:val="false"/>
          <w:bCs w:val="false"/>
          <w:caps w:val="false"/>
          <w:color w:val="111111"/>
          <w:sz w:val="20"/>
          <w:szCs w:val="20"/>
        </w:rPr>
        <w:t xml:space="preserve">Limpar a área de pesagem conforme POP-LIMP-001, retirando todos os resíduos de ingredientes. Atualizar o cartão de status para "EM LIMPEZA" e, após conclusão, para "LIMPO / DISPONÍVEL".</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7. FREQUÊNCIA DE EXECUÇÃO</w:t>
      </w:r>
    </w:p>
    <w:p>
      <w:pPr>
        <w:spacing w:after="80" w:before="80"/>
        <w:jc w:val="both"/>
      </w:pPr>
      <w:r>
        <w:rPr>
          <w:rFonts w:ascii="Arial" w:cs="Arial" w:eastAsia="Arial" w:hAnsi="Arial"/>
          <w:b w:val="false"/>
          <w:bCs w:val="false"/>
          <w:caps w:val="false"/>
          <w:color w:val="111111"/>
          <w:sz w:val="20"/>
          <w:szCs w:val="20"/>
        </w:rPr>
        <w:t xml:space="preserve">A cada lote produzido. Cada pesagem deve ser realizada no dia da produção ou no dia anterior, desde que os ingredientes pesados permaneçam identificados e segregados até o uso.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8. REGISTROS OBRIGATÓRIOS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FOR-PROD-003 – Registro de Pesagem de Ingredientes (um registro por ingrediente por lote)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FOR-PROD-001 – Ordem de Produção (campo de registro de pesagem assinado)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FOR-CQ-010 – Verificação Diária de Balanças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FOR-AMBI-001 – Controle Ambiental da Área de Pesagem</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FOR-LIMP-002 – Limpeza e Sanitização da Sala de Pesagem</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9. CRITÉRIOS DE ACEITAÇÃO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Variação de peso admissível: ≤ 0,5% para ingredientes ≥ 10 g; ≤ 0,2% para ingredientes &lt; 10 g (alta potência)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Verificação da balança: leitura dos pesos padrão dentro de ± 0,05% do valor nominal</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Todos os recipientes com identificação completa (nome, código, lote, peso, operador) antes da transferência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Dupla verificação assinada para 100% dos ingredientes de alta potência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Laudo de aprovação do CQ vigente para 100% dos ingredientes utilizados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Zero tolerância para ingredientes sem etiqueta de aprovação ou em quarentena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10. PONTOS CRÍTICOS DE CONTROLE (PCC / HACCP)</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675"/>
        <w:gridCol w:w="1735"/>
        <w:gridCol w:w="2024"/>
        <w:gridCol w:w="3469"/>
        <w:gridCol w:w="1735"/>
      </w:tblGrid>
      <w:tr>
        <w:trPr>
          <w:tblHeader/>
        </w:trPr>
        <w:tc>
          <w:tcPr>
            <w:tcW w:type="dxa" w:w="67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PCC</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Parâmetro</w:t>
            </w:r>
          </w:p>
        </w:tc>
        <w:tc>
          <w:tcPr>
            <w:tcW w:type="dxa" w:w="202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Limite Crítico</w:t>
            </w:r>
          </w:p>
        </w:tc>
        <w:tc>
          <w:tcPr>
            <w:tcW w:type="dxa" w:w="346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Ação Corretiva</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Frequência</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PCC1</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Identidade do ingrediente</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de correspondência entre ingrediente físico e OP (nome, código, lote)</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Suspender pesagem. Segregar ingrediente em quarentena. Acionar CQ para identificação e análise de identidade.</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Antes de cada pesagem (100%)</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PCC2</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Exatidão da pesagem</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Variação ≤ 0,5% (padrão) ou ≤ 0,2% (alta potência)</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Rejeitar pesagem. Retarar a balança. Repesar o ingrediente. Registrar o desvio na OP com justificativa.</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dos ingredientes pesados</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PCC3</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Calibração/verificação da balança</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Verificação diária dentro de ± 0,05%</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Bloquear a balança para uso produtivo. Acionar CQ. Não utilizar até recalibração ou troca por balança aferida.</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Diariamente (antes do uso)</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PCC4</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Dupla verificação de alta potência</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dos ingredientes de alta potência com dupla assinatura</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Não transferir o ingrediente sem dupla verificação. Acionar segundo operador ou supervisor.</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ingredientes de alta potência</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11. AÇÕES CORRETIVAS EM CASO DE DESVIO</w:t>
      </w:r>
    </w:p>
    <w:p>
      <w:pPr>
        <w:pStyle w:val="ListParagraph"/>
        <w:numPr>
          <w:ilvl w:val="0"/>
          <w:numId w:val="6"/>
        </w:numPr>
        <w:spacing w:after="80" w:before="80"/>
        <w:jc w:val="both"/>
      </w:pPr>
      <w:r>
        <w:rPr>
          <w:rFonts w:ascii="Arial" w:cs="Arial" w:eastAsia="Arial" w:hAnsi="Arial"/>
          <w:b w:val="false"/>
          <w:bCs w:val="false"/>
          <w:caps w:val="false"/>
          <w:color w:val="111111"/>
          <w:sz w:val="20"/>
          <w:szCs w:val="20"/>
        </w:rPr>
        <w:t xml:space="preserve">Ao identificar pesagem fora da especificação: não transferir o ingrediente. Registrar em FOR-NC-001. Retarar a balança e repesar.</w:t>
      </w:r>
    </w:p>
    <w:p>
      <w:pPr>
        <w:pStyle w:val="ListParagraph"/>
        <w:numPr>
          <w:ilvl w:val="0"/>
          <w:numId w:val="6"/>
        </w:numPr>
        <w:spacing w:after="80" w:before="80"/>
        <w:jc w:val="both"/>
      </w:pPr>
      <w:r>
        <w:rPr>
          <w:rFonts w:ascii="Arial" w:cs="Arial" w:eastAsia="Arial" w:hAnsi="Arial"/>
          <w:b w:val="false"/>
          <w:bCs w:val="false"/>
          <w:caps w:val="false"/>
          <w:color w:val="111111"/>
          <w:sz w:val="20"/>
          <w:szCs w:val="20"/>
        </w:rPr>
        <w:t xml:space="preserve">Ao encontrar ingrediente em quarentena ou reprovado na linha de pesagem: segregar imediatamente com etiqueta vermelha. Acionar CQ e almoxarifado. Investigar como chegou à área de pesagem.</w:t>
      </w:r>
    </w:p>
    <w:p>
      <w:pPr>
        <w:pStyle w:val="ListParagraph"/>
        <w:numPr>
          <w:ilvl w:val="0"/>
          <w:numId w:val="6"/>
        </w:numPr>
        <w:spacing w:after="80" w:before="80"/>
        <w:jc w:val="both"/>
      </w:pPr>
      <w:r>
        <w:rPr>
          <w:rFonts w:ascii="Arial" w:cs="Arial" w:eastAsia="Arial" w:hAnsi="Arial"/>
          <w:b w:val="false"/>
          <w:bCs w:val="false"/>
          <w:caps w:val="false"/>
          <w:color w:val="111111"/>
          <w:sz w:val="20"/>
          <w:szCs w:val="20"/>
        </w:rPr>
        <w:t xml:space="preserve">Ao constatar ingrediente sem laudo de aprovação vigente: suspender o uso. Encaminhar ao almoxarifado para análise do CQ. Abrir NC se o ingrediente já tiver sido utilizado.</w:t>
      </w:r>
    </w:p>
    <w:p>
      <w:pPr>
        <w:pStyle w:val="ListParagraph"/>
        <w:numPr>
          <w:ilvl w:val="0"/>
          <w:numId w:val="6"/>
        </w:numPr>
        <w:spacing w:after="80" w:before="80"/>
        <w:jc w:val="both"/>
      </w:pPr>
      <w:r>
        <w:rPr>
          <w:rFonts w:ascii="Arial" w:cs="Arial" w:eastAsia="Arial" w:hAnsi="Arial"/>
          <w:b w:val="false"/>
          <w:bCs w:val="false"/>
          <w:caps w:val="false"/>
          <w:color w:val="111111"/>
          <w:sz w:val="20"/>
          <w:szCs w:val="20"/>
        </w:rPr>
        <w:t xml:space="preserve">Ao verificar falha de calibração da balança: bloquear o instrumento, afixar etiqueta "FORA DE SERVIÇO". Revisar todas as pesagens realizadas desde a última verificação válida. Abrir CAPA.</w:t>
      </w:r>
    </w:p>
    <w:p>
      <w:pPr>
        <w:pStyle w:val="ListParagraph"/>
        <w:numPr>
          <w:ilvl w:val="0"/>
          <w:numId w:val="6"/>
        </w:numPr>
        <w:spacing w:after="80" w:before="80"/>
        <w:jc w:val="both"/>
      </w:pPr>
      <w:r>
        <w:rPr>
          <w:rFonts w:ascii="Arial" w:cs="Arial" w:eastAsia="Arial" w:hAnsi="Arial"/>
          <w:b w:val="false"/>
          <w:bCs w:val="false"/>
          <w:caps w:val="false"/>
          <w:color w:val="111111"/>
          <w:sz w:val="20"/>
          <w:szCs w:val="20"/>
        </w:rPr>
        <w:t xml:space="preserve">Em caso de derramamento ou mistura acidental de ingredientes: segregar todo o material afetado em quarentena. Acionar RT e CQ para avaliação e descarte ou reaproveitamento.</w:t>
      </w:r>
    </w:p>
    <w:p>
      <w:pPr>
        <w:pStyle w:val="ListParagraph"/>
        <w:numPr>
          <w:ilvl w:val="0"/>
          <w:numId w:val="6"/>
        </w:numPr>
        <w:spacing w:after="80" w:before="80"/>
        <w:jc w:val="both"/>
      </w:pPr>
      <w:r>
        <w:rPr>
          <w:rFonts w:ascii="Arial" w:cs="Arial" w:eastAsia="Arial" w:hAnsi="Arial"/>
          <w:b w:val="false"/>
          <w:bCs w:val="false"/>
          <w:caps w:val="false"/>
          <w:color w:val="111111"/>
          <w:sz w:val="20"/>
          <w:szCs w:val="20"/>
        </w:rPr>
        <w:t xml:space="preserve">Registrar todas as ações no FOR-NC-001 e, quando aplicável, no FOR-GQ-003 (CAPA) com responsável e prazo de conclusão definidos.</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12. FORMULÁRIOS E DOCUMENTOS RELACIONADOS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FOR-PROD-001 – Ordem de Produção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FOR-PROD-003 – Registro de Pesagem de Ingredientes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FOR-CQ-010 – Verificação Diária de Balanças e Equipamentos de Medição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FOR-AMBI-001 – Controle Ambiental</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FOR-LIMP-002 – Limpeza da Sala de Pesagem</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FOR-NC-001 – Não Conformidade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FOR-GQ-003 – CAPA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13. HISTÓRICO DE REVISÕES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5493"/>
        <w:gridCol w:w="1831"/>
      </w:tblGrid>
      <w:tr>
        <w:trPr>
          <w:tblHeader/>
        </w:trPr>
        <w:tc>
          <w:tcPr>
            <w:tcW w:type="dxa" w:w="96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Versão</w:t>
            </w:r>
          </w:p>
        </w:tc>
        <w:tc>
          <w:tcPr>
            <w:tcW w:type="dxa" w:w="134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Data</w:t>
            </w:r>
          </w:p>
        </w:tc>
        <w:tc>
          <w:tcPr>
            <w:tcW w:type="dxa" w:w="5493"/>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Descrição</w:t>
            </w:r>
          </w:p>
        </w:tc>
        <w:tc>
          <w:tcPr>
            <w:tcW w:type="dxa" w:w="183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Resp.</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01</w:t>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Jun/2025</w:t>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Emissão inicial do documento.</w:t>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RT/GQ</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r>
    </w:tbl>
    <w:p>
      <w:pPr>
        <w:spacing w:after="100" w:before="200"/>
      </w:pPr>
      <w:r>
        <w:rPr>
          <w:rFonts w:ascii="Arial" w:cs="Arial" w:eastAsia="Arial" w:hAnsi="Arial"/>
          <w:b w:val="false"/>
          <w:bCs w:val="false"/>
          <w:caps w:val="false"/>
          <w:color w:val="111111"/>
          <w:sz w:val="20"/>
          <w:szCs w:val="20"/>
        </w:rPr>
        <w:t xml:space="preserve"/>
      </w:r>
    </w:p>
    <w:p>
      <w:r>
        <w:br w:type="page"/>
      </w:r>
    </w:p>
    <w:p>
      <w:pPr>
        <w:pStyle w:val="Heading1"/>
        <w:spacing w:after="0" w:before="0"/>
      </w:pPr>
      <w:r>
        <w:rPr>
          <w:rFonts w:ascii="Arial" w:cs="Arial" w:eastAsia="Arial" w:hAnsi="Arial"/>
          <w:b w:val="false"/>
          <w:bCs w:val="false"/>
          <w:caps w:val="false"/>
          <w:color w:val="FFFFFF"/>
          <w:sz w:val="2"/>
          <w:szCs w:val="2"/>
        </w:rPr>
        <w:t xml:space="preserve">POP-PROD-007 — Peneiramento de Matérias-Primas e Misturas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120"/>
        <w:gridCol w:w="4915"/>
        <w:gridCol w:w="2602"/>
      </w:tblGrid>
      <w:tr>
        <w:tc>
          <w:tcPr>
            <w:tcW w:type="dxa" w:w="2120"/>
            <w:vMerge w:val="restart"/>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FFFFFF"/>
                <w:sz w:val="17"/>
                <w:szCs w:val="17"/>
              </w:rPr>
              <w:t xml:space="preserve">INDÚSTRIA DE SUPLEMENTOS</w:t>
            </w:r>
          </w:p>
          <w:p>
            <w:pPr>
              <w:spacing w:after="60" w:before="0"/>
              <w:jc w:val="center"/>
            </w:pPr>
            <w:r>
              <w:rPr>
                <w:rFonts w:ascii="Arial" w:cs="Arial" w:eastAsia="Arial" w:hAnsi="Arial"/>
                <w:b w:val="false"/>
                <w:bCs w:val="false"/>
                <w:caps w:val="false"/>
                <w:color w:val="D6E4F0"/>
                <w:sz w:val="15"/>
                <w:szCs w:val="15"/>
              </w:rPr>
              <w:t xml:space="preserve">Alimentos para Fins Especiais</w:t>
            </w:r>
          </w:p>
        </w:tc>
        <w:tc>
          <w:tcPr>
            <w:tcW w:type="dxa" w:w="4915"/>
            <w:vMerge w:val="restart"/>
            <w:tcBorders>
              <w:top w:val="single" w:color="1F3864" w:sz="4"/>
              <w:left w:val="single" w:color="1F3864" w:sz="4"/>
              <w:bottom w:val="single" w:color="1F3864" w:sz="4"/>
              <w:right w:val="single" w:color="1F3864" w:sz="4"/>
            </w:tcBorders>
            <w:shd w:fill="D6E4F0" w:val="clear"/>
            <w:tcMar>
              <w:top w:type="dxa" w:w="80"/>
              <w:left w:type="dxa" w:w="100"/>
              <w:bottom w:type="dxa" w:w="80"/>
              <w:right w:type="dxa" w:w="100"/>
            </w:tcMar>
            <w:vAlign w:val="center"/>
          </w:tcPr>
          <w:p>
            <w:pPr>
              <w:spacing w:after="40" w:before="60"/>
              <w:jc w:val="center"/>
            </w:pPr>
            <w:r>
              <w:rPr>
                <w:rFonts w:ascii="Arial" w:cs="Arial" w:eastAsia="Arial" w:hAnsi="Arial"/>
                <w:b/>
                <w:bCs/>
                <w:caps/>
                <w:color w:val="1F3864"/>
                <w:sz w:val="17"/>
                <w:szCs w:val="17"/>
              </w:rPr>
              <w:t xml:space="preserve">PROCEDIMENTO OPERACIONAL PADRÃO</w:t>
            </w:r>
          </w:p>
          <w:p>
            <w:pPr>
              <w:spacing w:after="60" w:before="0"/>
              <w:jc w:val="center"/>
            </w:pPr>
            <w:r>
              <w:rPr>
                <w:rFonts w:ascii="Arial" w:cs="Arial" w:eastAsia="Arial" w:hAnsi="Arial"/>
                <w:b/>
                <w:bCs/>
                <w:caps w:val="false"/>
                <w:color w:val="1F3864"/>
                <w:sz w:val="22"/>
                <w:szCs w:val="22"/>
              </w:rPr>
              <w:t xml:space="preserve">Peneiramento de Matérias-Primas e Misturas</w:t>
            </w: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left"/>
            </w:pPr>
            <w:r>
              <w:rPr>
                <w:rFonts w:ascii="Arial" w:cs="Arial" w:eastAsia="Arial" w:hAnsi="Arial"/>
                <w:b/>
                <w:bCs/>
                <w:caps w:val="false"/>
                <w:color w:val="D6E4F0"/>
                <w:sz w:val="16"/>
                <w:szCs w:val="16"/>
              </w:rPr>
              <w:t xml:space="preserve">Código: </w:t>
            </w:r>
            <w:r>
              <w:rPr>
                <w:rFonts w:ascii="Arial" w:cs="Arial" w:eastAsia="Arial" w:hAnsi="Arial"/>
                <w:b/>
                <w:bCs/>
                <w:caps w:val="false"/>
                <w:color w:val="FFFFFF"/>
                <w:sz w:val="18"/>
                <w:szCs w:val="18"/>
              </w:rPr>
              <w:t xml:space="preserve">POP-PROD-007</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20"/>
              <w:jc w:val="left"/>
            </w:pPr>
            <w:r>
              <w:rPr>
                <w:rFonts w:ascii="Arial" w:cs="Arial" w:eastAsia="Arial" w:hAnsi="Arial"/>
                <w:b/>
                <w:bCs/>
                <w:caps w:val="false"/>
                <w:color w:val="D6E4F0"/>
                <w:sz w:val="16"/>
                <w:szCs w:val="16"/>
              </w:rPr>
              <w:t xml:space="preserve">Versão: </w:t>
            </w:r>
            <w:r>
              <w:rPr>
                <w:rFonts w:ascii="Arial" w:cs="Arial" w:eastAsia="Arial" w:hAnsi="Arial"/>
                <w:b/>
                <w:bCs/>
                <w:caps w:val="false"/>
                <w:color w:val="FFFFFF"/>
                <w:sz w:val="18"/>
                <w:szCs w:val="18"/>
              </w:rPr>
              <w:t xml:space="preserve">01</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60" w:before="20"/>
              <w:jc w:val="left"/>
            </w:pPr>
            <w:r>
              <w:rPr>
                <w:rFonts w:ascii="Arial" w:cs="Arial" w:eastAsia="Arial" w:hAnsi="Arial"/>
                <w:b/>
                <w:bCs/>
                <w:caps w:val="false"/>
                <w:color w:val="D6E4F0"/>
                <w:sz w:val="16"/>
                <w:szCs w:val="16"/>
              </w:rPr>
              <w:t xml:space="preserve">Emissão: </w:t>
            </w:r>
            <w:r>
              <w:rPr>
                <w:rFonts w:ascii="Arial" w:cs="Arial" w:eastAsia="Arial" w:hAnsi="Arial"/>
                <w:b w:val="false"/>
                <w:bCs w:val="false"/>
                <w:caps w:val="false"/>
                <w:color w:val="FFFFFF"/>
                <w:sz w:val="18"/>
                <w:szCs w:val="18"/>
              </w:rPr>
              <w:t xml:space="preserve">Jun/2025</w:t>
            </w:r>
          </w:p>
        </w:tc>
      </w:tr>
      <w:tr>
        <w:tc>
          <w:tcPr>
            <w:tcW w:type="dxa" w:w="2120"/>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Elaborado por:</w:t>
            </w:r>
          </w:p>
          <w:p>
            <w:pPr>
              <w:spacing w:after="20" w:before="0"/>
              <w:jc w:val="center"/>
            </w:pPr>
            <w:r>
              <w:rPr>
                <w:rFonts w:ascii="Arial" w:cs="Arial" w:eastAsia="Arial" w:hAnsi="Arial"/>
                <w:b w:val="false"/>
                <w:bCs w:val="false"/>
                <w:caps w:val="false"/>
                <w:color w:val="111111"/>
                <w:sz w:val="16"/>
                <w:szCs w:val="16"/>
              </w:rPr>
              <w:t xml:space="preserve">Responsável Técnico</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4915"/>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Verificado por:</w:t>
            </w:r>
          </w:p>
          <w:p>
            <w:pPr>
              <w:spacing w:after="20" w:before="0"/>
              <w:jc w:val="center"/>
            </w:pPr>
            <w:r>
              <w:rPr>
                <w:rFonts w:ascii="Arial" w:cs="Arial" w:eastAsia="Arial" w:hAnsi="Arial"/>
                <w:b w:val="false"/>
                <w:bCs w:val="false"/>
                <w:caps w:val="false"/>
                <w:color w:val="111111"/>
                <w:sz w:val="16"/>
                <w:szCs w:val="16"/>
              </w:rPr>
              <w:t xml:space="preserve">Garantia da Qualidade</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2602"/>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Aprovado por:</w:t>
            </w:r>
          </w:p>
          <w:p>
            <w:pPr>
              <w:spacing w:after="20" w:before="0"/>
              <w:jc w:val="center"/>
            </w:pPr>
            <w:r>
              <w:rPr>
                <w:rFonts w:ascii="Arial" w:cs="Arial" w:eastAsia="Arial" w:hAnsi="Arial"/>
                <w:b w:val="false"/>
                <w:bCs w:val="false"/>
                <w:caps w:val="false"/>
                <w:color w:val="111111"/>
                <w:sz w:val="16"/>
                <w:szCs w:val="16"/>
              </w:rPr>
              <w:t xml:space="preserve">Diretoria / RT</w:t>
            </w:r>
          </w:p>
          <w:p>
            <w:pPr>
              <w:spacing w:after="60" w:before="20"/>
              <w:jc w:val="center"/>
            </w:pPr>
            <w:r>
              <w:rPr>
                <w:rFonts w:ascii="Arial" w:cs="Arial" w:eastAsia="Arial" w:hAnsi="Arial"/>
                <w:b w:val="false"/>
                <w:bCs w:val="false"/>
                <w:caps w:val="false"/>
                <w:color w:val="888888"/>
                <w:sz w:val="15"/>
                <w:szCs w:val="15"/>
              </w:rPr>
              <w:t xml:space="preserve">_____ / ____/____</w:t>
            </w:r>
          </w:p>
        </w:tc>
      </w:tr>
    </w:tbl>
    <w:p>
      <w:pPr>
        <w:spacing w:after="80" w:before="16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 OBJETIVO</w:t>
      </w:r>
    </w:p>
    <w:p>
      <w:pPr>
        <w:spacing w:after="80" w:before="80"/>
        <w:jc w:val="both"/>
      </w:pPr>
      <w:r>
        <w:rPr>
          <w:rFonts w:ascii="Arial" w:cs="Arial" w:eastAsia="Arial" w:hAnsi="Arial"/>
          <w:b w:val="false"/>
          <w:bCs w:val="false"/>
          <w:caps w:val="false"/>
          <w:color w:val="111111"/>
          <w:sz w:val="20"/>
          <w:szCs w:val="20"/>
        </w:rPr>
        <w:t xml:space="preserve">Padronizar a operação de peneiramento de matérias-primas em pó e misturas intermediárias, garantindo a desagregação de grumos, a uniformidade granulométrica e a ausência de contaminações físicas provenientes do processo, conforme parâmetros da fórmula aprovada.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2. CAMPO DE APLICAÇÃO</w:t>
      </w:r>
    </w:p>
    <w:p>
      <w:pPr>
        <w:spacing w:after="80" w:before="80"/>
        <w:jc w:val="both"/>
      </w:pPr>
      <w:r>
        <w:rPr>
          <w:rFonts w:ascii="Arial" w:cs="Arial" w:eastAsia="Arial" w:hAnsi="Arial"/>
          <w:b w:val="false"/>
          <w:bCs w:val="false"/>
          <w:caps w:val="false"/>
          <w:color w:val="111111"/>
          <w:sz w:val="20"/>
          <w:szCs w:val="20"/>
        </w:rPr>
        <w:t xml:space="preserve">Aplica-se ao peneiramento de ingredientes em pó antes da mistura e de misturas intermediárias (blends) utilizados na fabricação de cápsulas, gummies (componentes em pó), pós solúveis e outras formas sólidas. Aplicável sempre que indicado na Ordem de Produção.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3. RESPONSABILIDADES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6746"/>
      </w:tblGrid>
      <w:tr>
        <w:trPr>
          <w:tblHeader/>
        </w:trPr>
        <w:tc>
          <w:tcPr>
            <w:tcW w:type="dxa" w:w="289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Função / Cargo</w:t>
            </w:r>
          </w:p>
        </w:tc>
        <w:tc>
          <w:tcPr>
            <w:tcW w:type="dxa" w:w="6746"/>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Responsabilidade</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Operador de Produção</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Executar o peneiramento conforme OP, verificar a peneira antes e depois do uso e registrar os dados.</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Supervisor de Produção</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Supervisionar a operação, verificar o equipamento e validar os registros de peneiramento.</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Controle de Qualidade</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Verificar o tamanho de malha utilizado, inspecionar o produto peneirado e aprovar o resultado.</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Manutenção</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Manter as peneiras em boas condições, verificar a integridade da malha e registrar inspeções periódicas.</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4. DEFINIÇÕES E ABREVIAÇÕES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698"/>
        <w:gridCol w:w="6939"/>
      </w:tblGrid>
      <w:tr>
        <w:trPr>
          <w:tblHeader/>
        </w:trPr>
        <w:tc>
          <w:tcPr>
            <w:tcW w:type="dxa" w:w="2698"/>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Termo / Sigla</w:t>
            </w:r>
          </w:p>
        </w:tc>
        <w:tc>
          <w:tcPr>
            <w:tcW w:type="dxa" w:w="693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Definição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Malha (mesh)</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Abertura da tela da peneira, expressa em μm ou em número mesh (ABNT/Tyler/ASTM). Exemplo: 40 mesh = 420 μm.</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Grumos</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Aglomerações de partículas em pó formadas por umidade, pressão ou eletrostática.</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Rejeito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Material retido na malha durante o peneiramento – deve ser quantificado e avaliado.</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Rendimento de peneiramento</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Relação percentual entre o peso pós-peneiramento e o peso pré-peneiramento (excluso rejeito justificado).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Contaminação física</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Presença de partículas estranhas como fragmentos metálicos, plásticos ou de borracha no produto.</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Detector de metais</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Equipamento que detecta partículas metálicas; pode ser integrado ao processo após peneiramento.</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5. MATERIAIS, EQUIPAMENTOS E EPIs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Peneiras de aço inox (malha conforme especificação da fórmula: tipicamente 20, 40, 60 ou 80 mesh)</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Peneira vibratória ou conjunto de peneiras manuais de aço inox grau alimentício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Balança semianalítica calibrada para pesagem pré e pós-peneiramento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Recipientes de coleta em aço inox ou PEAD identificados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Escova de aço inox para limpeza da peneira entre diferentes ingredientes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EPI: jaleco, luvas, máscara PFF2 (obrigatório para pós finos), óculos, touca, propé</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Documento: Ordem de Produção com especificação da malha e Registro de Peneiramento (FOR-PROD-004)</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6. PROCEDIMENTO DETALHADO</w:t>
      </w:r>
    </w:p>
    <w:p>
      <w:pPr>
        <w:spacing w:after="60" w:before="140"/>
        <w:jc w:val="left"/>
      </w:pPr>
      <w:r>
        <w:rPr>
          <w:rFonts w:ascii="Arial" w:cs="Arial" w:eastAsia="Arial" w:hAnsi="Arial"/>
          <w:b/>
          <w:bCs/>
          <w:caps w:val="false"/>
          <w:color w:val="1F3864"/>
          <w:sz w:val="20"/>
          <w:szCs w:val="20"/>
        </w:rPr>
        <w:t xml:space="preserve">6.1 Preparação</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Verificar limpeza da peneira e do recipiente de coleta. A peneira deve estar com status "LIMPO / DISPONÍVEL" e registro de limpeza assinado. Inspecionar visualmente a integridade da malha: ausência de fios rompidos, deformações, fragmentos soltos ou corrosão.</w:t>
      </w:r>
    </w:p>
    <w:p>
      <w:pPr>
        <w:pBdr>
          <w:left w:val="single" w:color="C00000" w:sz="12"/>
        </w:pBdr>
        <w:spacing w:after="100" w:before="100"/>
        <w:ind w:left="600"/>
      </w:pPr>
      <w:r>
        <w:rPr>
          <w:rFonts w:ascii="Arial" w:cs="Arial" w:eastAsia="Arial" w:hAnsi="Arial"/>
          <w:b/>
          <w:bCs/>
          <w:caps w:val="false"/>
          <w:color w:val="C00000"/>
          <w:sz w:val="20"/>
          <w:szCs w:val="20"/>
        </w:rPr>
        <w:t xml:space="preserve">ATENÇÃO: </w:t>
      </w:r>
      <w:r>
        <w:rPr>
          <w:rFonts w:ascii="Arial" w:cs="Arial" w:eastAsia="Arial" w:hAnsi="Arial"/>
          <w:b/>
          <w:bCs/>
          <w:caps w:val="false"/>
          <w:color w:val="C00000"/>
          <w:sz w:val="20"/>
          <w:szCs w:val="20"/>
        </w:rPr>
        <w:t xml:space="preserve">Uma malha rompida constitui risco grave de contaminação física do produto. Não utilizar a peneira em qualquer condição de dano à malha. Encaminhar para manutenção/substituição imediata.</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Confirmar na OP o tamanho de malha especificado para o ingrediente a ser peneirado. Registrar o tamanho da malha utilizado em FOR-PROD-004.</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Pesar o ingrediente antes do peneiramento e registrar o peso inicial.</w:t>
      </w:r>
    </w:p>
    <w:p>
      <w:pPr>
        <w:spacing w:after="60" w:before="140"/>
        <w:jc w:val="left"/>
      </w:pPr>
      <w:r>
        <w:rPr>
          <w:rFonts w:ascii="Arial" w:cs="Arial" w:eastAsia="Arial" w:hAnsi="Arial"/>
          <w:b/>
          <w:bCs/>
          <w:caps w:val="false"/>
          <w:color w:val="1F3864"/>
          <w:sz w:val="20"/>
          <w:szCs w:val="20"/>
        </w:rPr>
        <w:t xml:space="preserve">6.2 Execução do Peneiramento</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Para peneiramento manual: adicionar o pó em pequenas porções sobre a peneira e agitar circularmente com movimento constante. Usar pressão leve com a espátula para desfazer grumos – nunca forçar material que não passe naturalmente (isso indica contaminação ou granulometria incompatível).</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Para peneiramento vibratório: ajustar amplitude e frequência conforme parâmetros validados. Carregar até no máximo 70% da capacidade da peneira para garantir eficiência. Monitorar o processo visualmente.</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Coletar o material passante (peneirado) no recipiente identificado. Coletar separadamente o material retido (rejeito).</w:t>
      </w:r>
    </w:p>
    <w:p>
      <w:pPr>
        <w:spacing w:after="60" w:before="140"/>
        <w:jc w:val="left"/>
      </w:pPr>
      <w:r>
        <w:rPr>
          <w:rFonts w:ascii="Arial" w:cs="Arial" w:eastAsia="Arial" w:hAnsi="Arial"/>
          <w:b/>
          <w:bCs/>
          <w:caps w:val="false"/>
          <w:color w:val="1F3864"/>
          <w:sz w:val="20"/>
          <w:szCs w:val="20"/>
        </w:rPr>
        <w:t xml:space="preserve">6.3 Avaliação do Rejeito</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Pesar o rejeito e registrar em FOR-PROD-004. Calcular o rendimento: (peso peneirado / peso inicial) × 100%. O rendimento esperado deve ser ≥ 95% para a maioria dos ingredientes (conferir especificação do produto).</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Inspecionar visualmente o rejeito: grumos desagregáveis podem ser repeneirados uma vez; corpos estranhos (fragmentos plásticos, metálicos, cabelo) devem ser separados, documentados como NC e o material afetado deve ser segregado para avaliação do CQ.</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Se o rejeito exceder 5% do peso total sem justificativa técnica, interromper e acionar o CQ para investigação (possível problema de umidade ou degradação do ingrediente).</w:t>
      </w:r>
    </w:p>
    <w:p>
      <w:pPr>
        <w:spacing w:after="60" w:before="140"/>
        <w:jc w:val="left"/>
      </w:pPr>
      <w:r>
        <w:rPr>
          <w:rFonts w:ascii="Arial" w:cs="Arial" w:eastAsia="Arial" w:hAnsi="Arial"/>
          <w:b/>
          <w:bCs/>
          <w:caps w:val="false"/>
          <w:color w:val="1F3864"/>
          <w:sz w:val="20"/>
          <w:szCs w:val="20"/>
        </w:rPr>
        <w:t xml:space="preserve">6.4 Encerramento</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Pesar o material peneirado e registrar na OP. Identificar o recipiente com etiqueta: nome do ingrediente, código, lote, peso pós-peneiramento, data, operador.</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Encaminhar o material peneirado para a etapa seguinte (mistura ou encapsulamento) conforme OP. Não misturar ingredientes de diferentes lotes no mesmo recipiente.</w:t>
      </w:r>
    </w:p>
    <w:p>
      <w:pPr>
        <w:pStyle w:val="ListParagraph"/>
        <w:numPr>
          <w:ilvl w:val="0"/>
          <w:numId w:val="7"/>
        </w:numPr>
        <w:spacing w:after="80" w:before="80"/>
        <w:jc w:val="both"/>
      </w:pPr>
      <w:r>
        <w:rPr>
          <w:rFonts w:ascii="Arial" w:cs="Arial" w:eastAsia="Arial" w:hAnsi="Arial"/>
          <w:b w:val="false"/>
          <w:bCs w:val="false"/>
          <w:caps w:val="false"/>
          <w:color w:val="111111"/>
          <w:sz w:val="20"/>
          <w:szCs w:val="20"/>
        </w:rPr>
        <w:t xml:space="preserve">Limpar a peneira imediatamente após o uso conforme POP-LIMP-001. Registrar a limpeza. Armazenar a peneira seca e protegida de poeira e danos físicos.</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7. FREQUÊNCIA DE EXECUÇÃO</w:t>
      </w:r>
    </w:p>
    <w:p>
      <w:pPr>
        <w:spacing w:after="80" w:before="80"/>
        <w:jc w:val="both"/>
      </w:pPr>
      <w:r>
        <w:rPr>
          <w:rFonts w:ascii="Arial" w:cs="Arial" w:eastAsia="Arial" w:hAnsi="Arial"/>
          <w:b w:val="false"/>
          <w:bCs w:val="false"/>
          <w:caps w:val="false"/>
          <w:color w:val="111111"/>
          <w:sz w:val="20"/>
          <w:szCs w:val="20"/>
        </w:rPr>
        <w:t xml:space="preserve">A cada lote produzido, quando indicado na OP ou na fórmula. Ingredientes com tendência a formação de grumos (vitaminas, extratos secos, lecitina) devem ser peneirados em 100% das produções.</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8. REGISTROS OBRIGATÓRIOS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FOR-PROD-004 – Registro de Peneiramento (peso inicial, peso peneirado, rejeito, malha, rendimento)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FOR-PROD-001 – Ordem de Produção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FOR-LIMP-002 – Registro de Limpeza da Peneira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FOR-NC-001 – Não Conformidade (caso de contaminação física identificada)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9. CRITÉRIOS DE ACEITAÇÃO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Integridade da malha: 100% íntegra antes do uso; qualquer dano impede o uso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Rendimento de peneiramento: ≥ 95% (ou conforme especificação do produto)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Ausência de corpos estranhos no rejeito; se encontrados, o lote é segregado para avaliação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Malha utilizada: conforme especificado na OP (não substituto sem aprovação do CQ)</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Produto peneirado: aspecto uniforme, homogêneo, sem grumos residuais visíveis a olho nu</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10. PONTOS CRÍTICOS DE CONTROLE (PCC / HACCP)</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675"/>
        <w:gridCol w:w="1735"/>
        <w:gridCol w:w="2024"/>
        <w:gridCol w:w="3469"/>
        <w:gridCol w:w="1735"/>
      </w:tblGrid>
      <w:tr>
        <w:trPr>
          <w:tblHeader/>
        </w:trPr>
        <w:tc>
          <w:tcPr>
            <w:tcW w:type="dxa" w:w="67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PCC</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Parâmetro</w:t>
            </w:r>
          </w:p>
        </w:tc>
        <w:tc>
          <w:tcPr>
            <w:tcW w:type="dxa" w:w="202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Limite Crítico</w:t>
            </w:r>
          </w:p>
        </w:tc>
        <w:tc>
          <w:tcPr>
            <w:tcW w:type="dxa" w:w="346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Ação Corretiva</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Frequência</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PCC1</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Integridade da malha da peneira</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Zero danos (fios rompidos, deformações)</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Substituir imediatamente a peneira danificada. Avaliar se o lote processado com peneira danificada deve ser descartado (risco de contaminação metálica). Acionar CQ.</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antes de cada uso</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PCC2</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Tamanho da malha</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Conforme especificado na OP (sem desvios)</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Interromper e substituir pela peneira correta. Repeneirar o material se necessário. Registrar NC se malha errada foi usada.</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No início de cada operação</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PCC3</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Presença de corpos estranhos no rejeito</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Zero tolerância para materiais estranhos</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Segregar todo o material em quarentena. Acionar CQ e RT. Investigar origem. Abrir CAPA.</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inspeção visual do rejeito</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11. AÇÕES CORRETIVAS EM CASO DE DESVIO</w:t>
      </w:r>
    </w:p>
    <w:p>
      <w:pPr>
        <w:pStyle w:val="ListParagraph"/>
        <w:numPr>
          <w:ilvl w:val="0"/>
          <w:numId w:val="8"/>
        </w:numPr>
        <w:spacing w:after="80" w:before="80"/>
        <w:jc w:val="both"/>
      </w:pPr>
      <w:r>
        <w:rPr>
          <w:rFonts w:ascii="Arial" w:cs="Arial" w:eastAsia="Arial" w:hAnsi="Arial"/>
          <w:b w:val="false"/>
          <w:bCs w:val="false"/>
          <w:caps w:val="false"/>
          <w:color w:val="111111"/>
          <w:sz w:val="20"/>
          <w:szCs w:val="20"/>
        </w:rPr>
        <w:t xml:space="preserve">Se a peneira apresentar dano durante a operação: interromper imediatamente. Segregar todo o material processado para avaliação de contaminação. Encaminhar a peneira para manutenção/descarte.</w:t>
      </w:r>
    </w:p>
    <w:p>
      <w:pPr>
        <w:pStyle w:val="ListParagraph"/>
        <w:numPr>
          <w:ilvl w:val="0"/>
          <w:numId w:val="8"/>
        </w:numPr>
        <w:spacing w:after="80" w:before="80"/>
        <w:jc w:val="both"/>
      </w:pPr>
      <w:r>
        <w:rPr>
          <w:rFonts w:ascii="Arial" w:cs="Arial" w:eastAsia="Arial" w:hAnsi="Arial"/>
          <w:b w:val="false"/>
          <w:bCs w:val="false"/>
          <w:caps w:val="false"/>
          <w:color w:val="111111"/>
          <w:sz w:val="20"/>
          <w:szCs w:val="20"/>
        </w:rPr>
        <w:t xml:space="preserve">Se rendimento &lt; 95%: investigar o ingrediente (umidade elevada? degradação? granulometria incompatível?). Acionar CQ para análise do material retido. Registrar NC.</w:t>
      </w:r>
    </w:p>
    <w:p>
      <w:pPr>
        <w:pStyle w:val="ListParagraph"/>
        <w:numPr>
          <w:ilvl w:val="0"/>
          <w:numId w:val="8"/>
        </w:numPr>
        <w:spacing w:after="80" w:before="80"/>
        <w:jc w:val="both"/>
      </w:pPr>
      <w:r>
        <w:rPr>
          <w:rFonts w:ascii="Arial" w:cs="Arial" w:eastAsia="Arial" w:hAnsi="Arial"/>
          <w:b w:val="false"/>
          <w:bCs w:val="false"/>
          <w:caps w:val="false"/>
          <w:color w:val="111111"/>
          <w:sz w:val="20"/>
          <w:szCs w:val="20"/>
        </w:rPr>
        <w:t xml:space="preserve">Se corpo estranho identificado no rejeito: segregar todo o lote em quarentena. Acionar RT e CQ. Investigar origem e rastreabilidade. Notificar conforme POP-GQ-RECALL se necessário.</w:t>
      </w:r>
    </w:p>
    <w:p>
      <w:pPr>
        <w:pStyle w:val="ListParagraph"/>
        <w:numPr>
          <w:ilvl w:val="0"/>
          <w:numId w:val="8"/>
        </w:numPr>
        <w:spacing w:after="80" w:before="80"/>
        <w:jc w:val="both"/>
      </w:pPr>
      <w:r>
        <w:rPr>
          <w:rFonts w:ascii="Arial" w:cs="Arial" w:eastAsia="Arial" w:hAnsi="Arial"/>
          <w:b w:val="false"/>
          <w:bCs w:val="false"/>
          <w:caps w:val="false"/>
          <w:color w:val="111111"/>
          <w:sz w:val="20"/>
          <w:szCs w:val="20"/>
        </w:rPr>
        <w:t xml:space="preserve">Registrar todos os desvios em FOR-NC-001 e abrir CAPA quando necessário, com responsável e prazo definidos.</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12. FORMULÁRIOS E DOCUMENTOS RELACIONADOS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FOR-PROD-001 – Ordem de Produção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FOR-PROD-004 – Registro de Peneiramento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FOR-LIMP-002 – Limpeza de Equipamentos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FOR-NC-001 – Não Conformidade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FOR-GQ-003 – CAPA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13. HISTÓRICO DE REVISÕES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5493"/>
        <w:gridCol w:w="1831"/>
      </w:tblGrid>
      <w:tr>
        <w:trPr>
          <w:tblHeader/>
        </w:trPr>
        <w:tc>
          <w:tcPr>
            <w:tcW w:type="dxa" w:w="96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Versão</w:t>
            </w:r>
          </w:p>
        </w:tc>
        <w:tc>
          <w:tcPr>
            <w:tcW w:type="dxa" w:w="134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Data</w:t>
            </w:r>
          </w:p>
        </w:tc>
        <w:tc>
          <w:tcPr>
            <w:tcW w:type="dxa" w:w="5493"/>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Descrição</w:t>
            </w:r>
          </w:p>
        </w:tc>
        <w:tc>
          <w:tcPr>
            <w:tcW w:type="dxa" w:w="183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Resp.</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01</w:t>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Jun/2025</w:t>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Emissão inicial do documento.</w:t>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RT/GQ</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r>
    </w:tbl>
    <w:p>
      <w:pPr>
        <w:spacing w:after="100" w:before="200"/>
      </w:pPr>
      <w:r>
        <w:rPr>
          <w:rFonts w:ascii="Arial" w:cs="Arial" w:eastAsia="Arial" w:hAnsi="Arial"/>
          <w:b w:val="false"/>
          <w:bCs w:val="false"/>
          <w:caps w:val="false"/>
          <w:color w:val="111111"/>
          <w:sz w:val="20"/>
          <w:szCs w:val="20"/>
        </w:rPr>
        <w:t xml:space="preserve"/>
      </w:r>
    </w:p>
    <w:p>
      <w:r>
        <w:br w:type="page"/>
      </w:r>
    </w:p>
    <w:p>
      <w:pPr>
        <w:pStyle w:val="Heading1"/>
        <w:spacing w:after="0" w:before="0"/>
      </w:pPr>
      <w:r>
        <w:rPr>
          <w:rFonts w:ascii="Arial" w:cs="Arial" w:eastAsia="Arial" w:hAnsi="Arial"/>
          <w:b w:val="false"/>
          <w:bCs w:val="false"/>
          <w:caps w:val="false"/>
          <w:color w:val="FFFFFF"/>
          <w:sz w:val="2"/>
          <w:szCs w:val="2"/>
        </w:rPr>
        <w:t xml:space="preserve">POP-PROD-008 — Mistura e Homogeneização de Ingredientes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120"/>
        <w:gridCol w:w="4915"/>
        <w:gridCol w:w="2602"/>
      </w:tblGrid>
      <w:tr>
        <w:tc>
          <w:tcPr>
            <w:tcW w:type="dxa" w:w="2120"/>
            <w:vMerge w:val="restart"/>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FFFFFF"/>
                <w:sz w:val="17"/>
                <w:szCs w:val="17"/>
              </w:rPr>
              <w:t xml:space="preserve">INDÚSTRIA DE SUPLEMENTOS</w:t>
            </w:r>
          </w:p>
          <w:p>
            <w:pPr>
              <w:spacing w:after="60" w:before="0"/>
              <w:jc w:val="center"/>
            </w:pPr>
            <w:r>
              <w:rPr>
                <w:rFonts w:ascii="Arial" w:cs="Arial" w:eastAsia="Arial" w:hAnsi="Arial"/>
                <w:b w:val="false"/>
                <w:bCs w:val="false"/>
                <w:caps w:val="false"/>
                <w:color w:val="D6E4F0"/>
                <w:sz w:val="15"/>
                <w:szCs w:val="15"/>
              </w:rPr>
              <w:t xml:space="preserve">Alimentos para Fins Especiais</w:t>
            </w:r>
          </w:p>
        </w:tc>
        <w:tc>
          <w:tcPr>
            <w:tcW w:type="dxa" w:w="4915"/>
            <w:vMerge w:val="restart"/>
            <w:tcBorders>
              <w:top w:val="single" w:color="1F3864" w:sz="4"/>
              <w:left w:val="single" w:color="1F3864" w:sz="4"/>
              <w:bottom w:val="single" w:color="1F3864" w:sz="4"/>
              <w:right w:val="single" w:color="1F3864" w:sz="4"/>
            </w:tcBorders>
            <w:shd w:fill="D6E4F0" w:val="clear"/>
            <w:tcMar>
              <w:top w:type="dxa" w:w="80"/>
              <w:left w:type="dxa" w:w="100"/>
              <w:bottom w:type="dxa" w:w="80"/>
              <w:right w:type="dxa" w:w="100"/>
            </w:tcMar>
            <w:vAlign w:val="center"/>
          </w:tcPr>
          <w:p>
            <w:pPr>
              <w:spacing w:after="40" w:before="60"/>
              <w:jc w:val="center"/>
            </w:pPr>
            <w:r>
              <w:rPr>
                <w:rFonts w:ascii="Arial" w:cs="Arial" w:eastAsia="Arial" w:hAnsi="Arial"/>
                <w:b/>
                <w:bCs/>
                <w:caps/>
                <w:color w:val="1F3864"/>
                <w:sz w:val="17"/>
                <w:szCs w:val="17"/>
              </w:rPr>
              <w:t xml:space="preserve">PROCEDIMENTO OPERACIONAL PADRÃO</w:t>
            </w:r>
          </w:p>
          <w:p>
            <w:pPr>
              <w:spacing w:after="60" w:before="0"/>
              <w:jc w:val="center"/>
            </w:pPr>
            <w:r>
              <w:rPr>
                <w:rFonts w:ascii="Arial" w:cs="Arial" w:eastAsia="Arial" w:hAnsi="Arial"/>
                <w:b/>
                <w:bCs/>
                <w:caps w:val="false"/>
                <w:color w:val="1F3864"/>
                <w:sz w:val="22"/>
                <w:szCs w:val="22"/>
              </w:rPr>
              <w:t xml:space="preserve">Mistura e Homogeneização de Ingredientes</w:t>
            </w: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left"/>
            </w:pPr>
            <w:r>
              <w:rPr>
                <w:rFonts w:ascii="Arial" w:cs="Arial" w:eastAsia="Arial" w:hAnsi="Arial"/>
                <w:b/>
                <w:bCs/>
                <w:caps w:val="false"/>
                <w:color w:val="D6E4F0"/>
                <w:sz w:val="16"/>
                <w:szCs w:val="16"/>
              </w:rPr>
              <w:t xml:space="preserve">Código: </w:t>
            </w:r>
            <w:r>
              <w:rPr>
                <w:rFonts w:ascii="Arial" w:cs="Arial" w:eastAsia="Arial" w:hAnsi="Arial"/>
                <w:b/>
                <w:bCs/>
                <w:caps w:val="false"/>
                <w:color w:val="FFFFFF"/>
                <w:sz w:val="18"/>
                <w:szCs w:val="18"/>
              </w:rPr>
              <w:t xml:space="preserve">POP-PROD-008</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20"/>
              <w:jc w:val="left"/>
            </w:pPr>
            <w:r>
              <w:rPr>
                <w:rFonts w:ascii="Arial" w:cs="Arial" w:eastAsia="Arial" w:hAnsi="Arial"/>
                <w:b/>
                <w:bCs/>
                <w:caps w:val="false"/>
                <w:color w:val="D6E4F0"/>
                <w:sz w:val="16"/>
                <w:szCs w:val="16"/>
              </w:rPr>
              <w:t xml:space="preserve">Versão: </w:t>
            </w:r>
            <w:r>
              <w:rPr>
                <w:rFonts w:ascii="Arial" w:cs="Arial" w:eastAsia="Arial" w:hAnsi="Arial"/>
                <w:b/>
                <w:bCs/>
                <w:caps w:val="false"/>
                <w:color w:val="FFFFFF"/>
                <w:sz w:val="18"/>
                <w:szCs w:val="18"/>
              </w:rPr>
              <w:t xml:space="preserve">01</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60" w:before="20"/>
              <w:jc w:val="left"/>
            </w:pPr>
            <w:r>
              <w:rPr>
                <w:rFonts w:ascii="Arial" w:cs="Arial" w:eastAsia="Arial" w:hAnsi="Arial"/>
                <w:b/>
                <w:bCs/>
                <w:caps w:val="false"/>
                <w:color w:val="D6E4F0"/>
                <w:sz w:val="16"/>
                <w:szCs w:val="16"/>
              </w:rPr>
              <w:t xml:space="preserve">Emissão: </w:t>
            </w:r>
            <w:r>
              <w:rPr>
                <w:rFonts w:ascii="Arial" w:cs="Arial" w:eastAsia="Arial" w:hAnsi="Arial"/>
                <w:b w:val="false"/>
                <w:bCs w:val="false"/>
                <w:caps w:val="false"/>
                <w:color w:val="FFFFFF"/>
                <w:sz w:val="18"/>
                <w:szCs w:val="18"/>
              </w:rPr>
              <w:t xml:space="preserve">Jun/2025</w:t>
            </w:r>
          </w:p>
        </w:tc>
      </w:tr>
      <w:tr>
        <w:tc>
          <w:tcPr>
            <w:tcW w:type="dxa" w:w="2120"/>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Elaborado por:</w:t>
            </w:r>
          </w:p>
          <w:p>
            <w:pPr>
              <w:spacing w:after="20" w:before="0"/>
              <w:jc w:val="center"/>
            </w:pPr>
            <w:r>
              <w:rPr>
                <w:rFonts w:ascii="Arial" w:cs="Arial" w:eastAsia="Arial" w:hAnsi="Arial"/>
                <w:b w:val="false"/>
                <w:bCs w:val="false"/>
                <w:caps w:val="false"/>
                <w:color w:val="111111"/>
                <w:sz w:val="16"/>
                <w:szCs w:val="16"/>
              </w:rPr>
              <w:t xml:space="preserve">Responsável Técnico</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4915"/>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Verificado por:</w:t>
            </w:r>
          </w:p>
          <w:p>
            <w:pPr>
              <w:spacing w:after="20" w:before="0"/>
              <w:jc w:val="center"/>
            </w:pPr>
            <w:r>
              <w:rPr>
                <w:rFonts w:ascii="Arial" w:cs="Arial" w:eastAsia="Arial" w:hAnsi="Arial"/>
                <w:b w:val="false"/>
                <w:bCs w:val="false"/>
                <w:caps w:val="false"/>
                <w:color w:val="111111"/>
                <w:sz w:val="16"/>
                <w:szCs w:val="16"/>
              </w:rPr>
              <w:t xml:space="preserve">Garantia da Qualidade</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2602"/>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Aprovado por:</w:t>
            </w:r>
          </w:p>
          <w:p>
            <w:pPr>
              <w:spacing w:after="20" w:before="0"/>
              <w:jc w:val="center"/>
            </w:pPr>
            <w:r>
              <w:rPr>
                <w:rFonts w:ascii="Arial" w:cs="Arial" w:eastAsia="Arial" w:hAnsi="Arial"/>
                <w:b w:val="false"/>
                <w:bCs w:val="false"/>
                <w:caps w:val="false"/>
                <w:color w:val="111111"/>
                <w:sz w:val="16"/>
                <w:szCs w:val="16"/>
              </w:rPr>
              <w:t xml:space="preserve">Diretoria / RT</w:t>
            </w:r>
          </w:p>
          <w:p>
            <w:pPr>
              <w:spacing w:after="60" w:before="20"/>
              <w:jc w:val="center"/>
            </w:pPr>
            <w:r>
              <w:rPr>
                <w:rFonts w:ascii="Arial" w:cs="Arial" w:eastAsia="Arial" w:hAnsi="Arial"/>
                <w:b w:val="false"/>
                <w:bCs w:val="false"/>
                <w:caps w:val="false"/>
                <w:color w:val="888888"/>
                <w:sz w:val="15"/>
                <w:szCs w:val="15"/>
              </w:rPr>
              <w:t xml:space="preserve">_____ / ____/____</w:t>
            </w:r>
          </w:p>
        </w:tc>
      </w:tr>
    </w:tbl>
    <w:p>
      <w:pPr>
        <w:spacing w:after="80" w:before="16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 OBJETIVO</w:t>
      </w:r>
    </w:p>
    <w:p>
      <w:pPr>
        <w:spacing w:after="80" w:before="80"/>
        <w:jc w:val="both"/>
      </w:pPr>
      <w:r>
        <w:rPr>
          <w:rFonts w:ascii="Arial" w:cs="Arial" w:eastAsia="Arial" w:hAnsi="Arial"/>
          <w:b w:val="false"/>
          <w:bCs w:val="false"/>
          <w:caps w:val="false"/>
          <w:color w:val="111111"/>
          <w:sz w:val="20"/>
          <w:szCs w:val="20"/>
        </w:rPr>
        <w:t xml:space="preserve">Estabelecer o procedimento para a operação de mistura e homogeneização de ingredientes em pó e líquidos, assegurando a distribuição uniforme dos ingredientes ativos e excipientes dentro de cada lote, conforme parâmetros validados, e garantindo o controle de homogeneidade por amostragem.</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2. CAMPO DE APLICAÇÃO</w:t>
      </w:r>
    </w:p>
    <w:p>
      <w:pPr>
        <w:spacing w:after="80" w:before="80"/>
        <w:jc w:val="both"/>
      </w:pPr>
      <w:r>
        <w:rPr>
          <w:rFonts w:ascii="Arial" w:cs="Arial" w:eastAsia="Arial" w:hAnsi="Arial"/>
          <w:b w:val="false"/>
          <w:bCs w:val="false"/>
          <w:caps w:val="false"/>
          <w:color w:val="111111"/>
          <w:sz w:val="20"/>
          <w:szCs w:val="20"/>
        </w:rPr>
        <w:t xml:space="preserve">Aplica-se à mistura de ingredientes para todas as formas de apresentação fabricadas nesta indústria: pós solúveis, misturas para encapsulamento, bases para gummies e bulk de líquidos. Aplica-se a todos os misturadores e homogeneizadores disponíveis na planta.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3. RESPONSABILIDADES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6746"/>
      </w:tblGrid>
      <w:tr>
        <w:trPr>
          <w:tblHeader/>
        </w:trPr>
        <w:tc>
          <w:tcPr>
            <w:tcW w:type="dxa" w:w="289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Função / Cargo</w:t>
            </w:r>
          </w:p>
        </w:tc>
        <w:tc>
          <w:tcPr>
            <w:tcW w:type="dxa" w:w="6746"/>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Responsabilidade</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Operador de Produção</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Executar a mistura conforme parâmetros da OP (tempo, velocidade, sequência), registrar dados e coletar amostras para CQ.</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Supervisor de Produção</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Verificar a configuração do misturador, supervisionar o carregamento e aprovar o início da mistura.</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Controle de Qualidade</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Analisar as amostras de homogeneidade coletadas e emitir resultado antes de liberar o bulk para etapa seguinte.</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Garantia da Qualidade</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Manter e revisar o protocolo de validação de processo de mistura; gerenciar desvios de homogeneidade.</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Manutenção</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Garantir o funcionamento correto do misturador (velocidade, vedações, temporizador).</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4. DEFINIÇÕES E ABREVIAÇÕES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698"/>
        <w:gridCol w:w="6939"/>
      </w:tblGrid>
      <w:tr>
        <w:trPr>
          <w:tblHeader/>
        </w:trPr>
        <w:tc>
          <w:tcPr>
            <w:tcW w:type="dxa" w:w="2698"/>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Termo / Sigla</w:t>
            </w:r>
          </w:p>
        </w:tc>
        <w:tc>
          <w:tcPr>
            <w:tcW w:type="dxa" w:w="693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Definição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Blend</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Mistura homogênea de todos os ingredientes do produto antes do envase, encapsulamento ou moldagem.</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Homogeneidade</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Propriedade de uma mistura em que a composição é uniforme em qualquer ponto da amostra.</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CV (Coeficiente de Variação)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Medida estatística de dispersão relativa (desvio padrão / média × 100%). Para mistura: CV ≤ 5% é o critério padrão de homogeneidade.</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Misturador em V</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Misturador de sólidos em pó com formato de "V"; gera movimento de difusão e convecção; indicado para partículas de densidade similar.</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Misturador planetário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Misturador com movimento orbital da haste; indicado para massas viscosas (bases para gummies, líquidos densos).</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Carga nominal</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Volume ou peso máximo que o misturador pode processar eficientemente, conforme validação (geralmente 60–80% do volume total).</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Sequência de adição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Ordem em que os ingredientes são adicionados ao misturador; determinada pela fórmula e pela validação de processo.</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5. MATERIAIS, EQUIPAMENTOS E EPIs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Misturador em V (capacidade conforme lote), misturador planetário ou misturador de fita (conforme produto)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Balança de bancada calibrada para verificação de carga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Temporizador/cronômetro calibrado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Recipientes de carregamento em aço inox ou PEAD identificados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Espátulas e pazinhas de aço inox</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Kit de amostragem: sondas de aço inox, envelopes ou potes individualizados, etiquetas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EPI: jaleco, luvas nitrílicas, máscara PFF2, óculos, touca, propé</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FOR-PROD-006 – Registro de Mistura | OP aprovada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6. PROCEDIMENTO DETALHADO</w:t>
      </w:r>
    </w:p>
    <w:p>
      <w:pPr>
        <w:spacing w:after="60" w:before="140"/>
        <w:jc w:val="left"/>
      </w:pPr>
      <w:r>
        <w:rPr>
          <w:rFonts w:ascii="Arial" w:cs="Arial" w:eastAsia="Arial" w:hAnsi="Arial"/>
          <w:b/>
          <w:bCs/>
          <w:caps w:val="false"/>
          <w:color w:val="1F3864"/>
          <w:sz w:val="20"/>
          <w:szCs w:val="20"/>
        </w:rPr>
        <w:t xml:space="preserve">6.1 Preparação do Misturador</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Verificar o registro de limpeza do misturador e o cartão de status: "LIMPO / DISPONÍVEL". Inspecionar internamente o equipamento: ausência de resíduos do lote anterior, partes soltas, corrosão ou danos.</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Verificar o funcionamento do misturador a vazio por 1 minuto antes de carregar: velocidade adequada, ausência de ruídos anormais, vedações íntegras.</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Registrar o número do lote, produto e quantidade na OP. Confirmar que a carga planejada está dentro dos limites validados (60–80% da capacidade nominal do equipamento).</w:t>
      </w:r>
    </w:p>
    <w:p>
      <w:pPr>
        <w:spacing w:after="60" w:before="140"/>
        <w:jc w:val="left"/>
      </w:pPr>
      <w:r>
        <w:rPr>
          <w:rFonts w:ascii="Arial" w:cs="Arial" w:eastAsia="Arial" w:hAnsi="Arial"/>
          <w:b/>
          <w:bCs/>
          <w:caps w:val="false"/>
          <w:color w:val="1F3864"/>
          <w:sz w:val="20"/>
          <w:szCs w:val="20"/>
        </w:rPr>
        <w:t xml:space="preserve">6.2 Carregamento dos Ingredientes</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Carregar os ingredientes na sequência definida na OP/fórmula. A regra geral é: (1) excipientes e carreadores em maior quantidade; (2) ingredientes de média concentração; (3) ativos de alta potência por último, após os demais estarem distribuídos.</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Para ingredientes de alta potência e corantes: realizar pré-mistura manual com pequena quantidade do excipiente (razão 1:10) antes de adicionar ao misturador. Isso facilita a distribuição uniforme.</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Registrar na OP o peso de cada ingrediente adicionado e a hora de carregamento.</w:t>
      </w:r>
    </w:p>
    <w:p>
      <w:pPr>
        <w:spacing w:after="60" w:before="140"/>
        <w:jc w:val="left"/>
      </w:pPr>
      <w:r>
        <w:rPr>
          <w:rFonts w:ascii="Arial" w:cs="Arial" w:eastAsia="Arial" w:hAnsi="Arial"/>
          <w:b/>
          <w:bCs/>
          <w:caps w:val="false"/>
          <w:color w:val="1F3864"/>
          <w:sz w:val="20"/>
          <w:szCs w:val="20"/>
        </w:rPr>
        <w:t xml:space="preserve">6.3 Execução da Mistura</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Configurar o misturador com o tempo e a velocidade especificados na OP (parâmetros validados). Iniciar a mistura e acionar o cronômetro.</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Monitorar o processo externamente durante a mistura: ruídos anormais, vibração excessiva ou vazamentos indicam problema – interromper e acionar manutenção.</w:t>
      </w:r>
    </w:p>
    <w:p>
      <w:pPr>
        <w:pBdr>
          <w:left w:val="single" w:color="2E75B6" w:sz="12"/>
        </w:pBdr>
        <w:spacing w:after="80" w:before="80"/>
        <w:ind w:left="600"/>
      </w:pPr>
      <w:r>
        <w:rPr>
          <w:rFonts w:ascii="Arial" w:cs="Arial" w:eastAsia="Arial" w:hAnsi="Arial"/>
          <w:b/>
          <w:bCs/>
          <w:caps w:val="false"/>
          <w:color w:val="2E75B6"/>
          <w:sz w:val="18"/>
          <w:szCs w:val="18"/>
        </w:rPr>
        <w:t xml:space="preserve">NOTA: </w:t>
      </w:r>
      <w:r>
        <w:rPr>
          <w:rFonts w:ascii="Arial" w:cs="Arial" w:eastAsia="Arial" w:hAnsi="Arial"/>
          <w:b w:val="false"/>
          <w:bCs w:val="false"/>
          <w:caps w:val="false"/>
          <w:color w:val="111111"/>
          <w:sz w:val="18"/>
          <w:szCs w:val="18"/>
        </w:rPr>
        <w:t xml:space="preserve">Os parâmetros de mistura (tempo mínimo e velocidade) foram definidos em protocolo de validação de processo. Tempos abaixo do mínimo validado NÃO são aceitáveis, mesmo que o produto aparente estar homogêneo.</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Ao final do tempo de mistura, desligar o equipamento. Aguardar parada completa antes de abrir o misturador.</w:t>
      </w:r>
    </w:p>
    <w:p>
      <w:pPr>
        <w:spacing w:after="60" w:before="140"/>
        <w:jc w:val="left"/>
      </w:pPr>
      <w:r>
        <w:rPr>
          <w:rFonts w:ascii="Arial" w:cs="Arial" w:eastAsia="Arial" w:hAnsi="Arial"/>
          <w:b/>
          <w:bCs/>
          <w:caps w:val="false"/>
          <w:color w:val="1F3864"/>
          <w:sz w:val="20"/>
          <w:szCs w:val="20"/>
        </w:rPr>
        <w:t xml:space="preserve">6.4 Amostragem para Controle de Homogeneidade</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Coletar amostras em no mínimo 10 pontos distribuídos pelo volume do misturador (topo, meio, fundo e extremidades laterais), conforme protocolo de amostragem do CQ.</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Identificar cada amostra (posição, lote, hora, operador) e encaminhar ao CQ em envelopes individualizados.</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Aguardar o resultado de homogeneidade (CV) do CQ antes de prosseguir para a etapa seguinte. Critério: CV ≤ 5% para ingredientes ativos principais; CV ≤ 10% para excipientes. Se reprovado, proceder conforme seção 11.</w:t>
      </w:r>
    </w:p>
    <w:p>
      <w:pPr>
        <w:spacing w:after="60" w:before="140"/>
        <w:jc w:val="left"/>
      </w:pPr>
      <w:r>
        <w:rPr>
          <w:rFonts w:ascii="Arial" w:cs="Arial" w:eastAsia="Arial" w:hAnsi="Arial"/>
          <w:b/>
          <w:bCs/>
          <w:caps w:val="false"/>
          <w:color w:val="1F3864"/>
          <w:sz w:val="20"/>
          <w:szCs w:val="20"/>
        </w:rPr>
        <w:t xml:space="preserve">6.5 Descarga e Encerramento</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Descarregar o blend em recipientes de aço inox ou sacos de polietileno de grau alimentício, previamente identificados. Registrar o peso do blend e o rendimento na OP.</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Encaminhar o blend para a etapa seguinte (envase, encapsulamento ou moldagem) conforme OP, com registro da transferência.</w:t>
      </w:r>
    </w:p>
    <w:p>
      <w:pPr>
        <w:pStyle w:val="ListParagraph"/>
        <w:numPr>
          <w:ilvl w:val="0"/>
          <w:numId w:val="9"/>
        </w:numPr>
        <w:spacing w:after="80" w:before="80"/>
        <w:jc w:val="both"/>
      </w:pPr>
      <w:r>
        <w:rPr>
          <w:rFonts w:ascii="Arial" w:cs="Arial" w:eastAsia="Arial" w:hAnsi="Arial"/>
          <w:b w:val="false"/>
          <w:bCs w:val="false"/>
          <w:caps w:val="false"/>
          <w:color w:val="111111"/>
          <w:sz w:val="20"/>
          <w:szCs w:val="20"/>
        </w:rPr>
        <w:t xml:space="preserve">Limpar o misturador imediatamente após o uso, conforme POP-LIMP-001. Não deixar resíduos no equipamento.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7. FREQUÊNCIA DE EXECUÇÃO</w:t>
      </w:r>
    </w:p>
    <w:p>
      <w:pPr>
        <w:spacing w:after="80" w:before="80"/>
        <w:jc w:val="both"/>
      </w:pPr>
      <w:r>
        <w:rPr>
          <w:rFonts w:ascii="Arial" w:cs="Arial" w:eastAsia="Arial" w:hAnsi="Arial"/>
          <w:b w:val="false"/>
          <w:bCs w:val="false"/>
          <w:caps w:val="false"/>
          <w:color w:val="111111"/>
          <w:sz w:val="20"/>
          <w:szCs w:val="20"/>
        </w:rPr>
        <w:t xml:space="preserve">A cada lote produzido que requeira mistura de ingredientes (aplicável à maioria das formas de apresentação).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8. REGISTROS OBRIGATÓRIOS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FOR-PROD-006 – Registro de Mistura e Homogeneização (tempo, velocidade, carregamento)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FOR-PROD-001 – Ordem de Produção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FOR-CQ-011 – Resultado de Homogeneidade (emitido pelo CQ)</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FOR-LIMP-002 – Limpeza do Misturador</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FOR-AMBI-001 – Controle Ambiental</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9. CRITÉRIOS DE ACEITAÇÃO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CV do ativo principal: ≤ 5% (10 amostras mínimo por lote)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CV de excipientes: ≤ 10%</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Tempo de mistura: conforme parâmetro validado (sem redução)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Carga: 60–80% da capacidade nominal do equipamento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Ausência de aglomerados visíveis no blend após mistura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Rendimento da mistura: ≥ 99% (perdas admissíveis ≤ 1% por aderência)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10. PONTOS CRÍTICOS DE CONTROLE (PCC / HACCP)</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675"/>
        <w:gridCol w:w="1735"/>
        <w:gridCol w:w="2024"/>
        <w:gridCol w:w="3469"/>
        <w:gridCol w:w="1735"/>
      </w:tblGrid>
      <w:tr>
        <w:trPr>
          <w:tblHeader/>
        </w:trPr>
        <w:tc>
          <w:tcPr>
            <w:tcW w:type="dxa" w:w="67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PCC</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Parâmetro</w:t>
            </w:r>
          </w:p>
        </w:tc>
        <w:tc>
          <w:tcPr>
            <w:tcW w:type="dxa" w:w="202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Limite Crítico</w:t>
            </w:r>
          </w:p>
        </w:tc>
        <w:tc>
          <w:tcPr>
            <w:tcW w:type="dxa" w:w="346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Ação Corretiva</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Frequência</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PCC1</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Homogeneidade do blend (CV)</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CV ≤ 5% para ativos principais</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Repetir a mistura por tempo adicional (25% do tempo original). Ressamostrar. Se CV ainda &gt; 5%: reprovar lote, acionar RT e investigar.</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Por lote (10 amostras pós-mistura)</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PCC2</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Tempo de mistura</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Não inferior ao tempo mínimo validado</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Não interromper antes do tempo. Se interrompido por falha, completar o tempo restante antes de amostrar.</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Por lote (registro de temporizador)</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PCC3</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Sequência de adição</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Conforme OP (sem inversão de ingredientes críticos)</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Interromper carregamento ao identificar sequência errada. Avaliar com CQ se reprocessamento é possível ou se o lote deve ser descartado.</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a cada carregamento</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11. AÇÕES CORRETIVAS EM CASO DE DESVIO</w:t>
      </w:r>
    </w:p>
    <w:p>
      <w:pPr>
        <w:pStyle w:val="ListParagraph"/>
        <w:numPr>
          <w:ilvl w:val="0"/>
          <w:numId w:val="10"/>
        </w:numPr>
        <w:spacing w:after="80" w:before="80"/>
        <w:jc w:val="both"/>
      </w:pPr>
      <w:r>
        <w:rPr>
          <w:rFonts w:ascii="Arial" w:cs="Arial" w:eastAsia="Arial" w:hAnsi="Arial"/>
          <w:b w:val="false"/>
          <w:bCs w:val="false"/>
          <w:caps w:val="false"/>
          <w:color w:val="111111"/>
          <w:sz w:val="20"/>
          <w:szCs w:val="20"/>
        </w:rPr>
        <w:t xml:space="preserve">Se CV &gt; 5%: não avançar para a etapa seguinte. Reiniciar a mistura pelo tempo suplementar definido no protocolo de validação. Ressamostrar.</w:t>
      </w:r>
    </w:p>
    <w:p>
      <w:pPr>
        <w:pStyle w:val="ListParagraph"/>
        <w:numPr>
          <w:ilvl w:val="0"/>
          <w:numId w:val="10"/>
        </w:numPr>
        <w:spacing w:after="80" w:before="80"/>
        <w:jc w:val="both"/>
      </w:pPr>
      <w:r>
        <w:rPr>
          <w:rFonts w:ascii="Arial" w:cs="Arial" w:eastAsia="Arial" w:hAnsi="Arial"/>
          <w:b w:val="false"/>
          <w:bCs w:val="false"/>
          <w:caps w:val="false"/>
          <w:color w:val="111111"/>
          <w:sz w:val="20"/>
          <w:szCs w:val="20"/>
        </w:rPr>
        <w:t xml:space="preserve">Se após segunda mistura o CV ainda não atingir a especificação: segregar o blend em quarentena. Acionar RT e GQ. Abrir CAPA e investigar causa (granulometria incompatível, carga excessiva, velocidade incorreta, ingrediente com problema).</w:t>
      </w:r>
    </w:p>
    <w:p>
      <w:pPr>
        <w:pStyle w:val="ListParagraph"/>
        <w:numPr>
          <w:ilvl w:val="0"/>
          <w:numId w:val="10"/>
        </w:numPr>
        <w:spacing w:after="80" w:before="80"/>
        <w:jc w:val="both"/>
      </w:pPr>
      <w:r>
        <w:rPr>
          <w:rFonts w:ascii="Arial" w:cs="Arial" w:eastAsia="Arial" w:hAnsi="Arial"/>
          <w:b w:val="false"/>
          <w:bCs w:val="false"/>
          <w:caps w:val="false"/>
          <w:color w:val="111111"/>
          <w:sz w:val="20"/>
          <w:szCs w:val="20"/>
        </w:rPr>
        <w:t xml:space="preserve">Se a sequência de adição for incorreta: avaliar a extensão do impacto com o CQ. Reprocessamento só é permitido mediante protocolo de retrabalho aprovado pelo RT.</w:t>
      </w:r>
    </w:p>
    <w:p>
      <w:pPr>
        <w:pStyle w:val="ListParagraph"/>
        <w:numPr>
          <w:ilvl w:val="0"/>
          <w:numId w:val="10"/>
        </w:numPr>
        <w:spacing w:after="80" w:before="80"/>
        <w:jc w:val="both"/>
      </w:pPr>
      <w:r>
        <w:rPr>
          <w:rFonts w:ascii="Arial" w:cs="Arial" w:eastAsia="Arial" w:hAnsi="Arial"/>
          <w:b w:val="false"/>
          <w:bCs w:val="false"/>
          <w:caps w:val="false"/>
          <w:color w:val="111111"/>
          <w:sz w:val="20"/>
          <w:szCs w:val="20"/>
        </w:rPr>
        <w:t xml:space="preserve">Se houver vazamento no misturador durante a operação: interromper, segregar o blend e acionar manutenção. Abrir NC e registrar a quantidade de produto potencialmente afetado.</w:t>
      </w:r>
    </w:p>
    <w:p>
      <w:pPr>
        <w:pStyle w:val="ListParagraph"/>
        <w:numPr>
          <w:ilvl w:val="0"/>
          <w:numId w:val="10"/>
        </w:numPr>
        <w:spacing w:after="80" w:before="80"/>
        <w:jc w:val="both"/>
      </w:pPr>
      <w:r>
        <w:rPr>
          <w:rFonts w:ascii="Arial" w:cs="Arial" w:eastAsia="Arial" w:hAnsi="Arial"/>
          <w:b w:val="false"/>
          <w:bCs w:val="false"/>
          <w:caps w:val="false"/>
          <w:color w:val="111111"/>
          <w:sz w:val="20"/>
          <w:szCs w:val="20"/>
        </w:rPr>
        <w:t xml:space="preserve">Todos os desvios devem ser registrados em FOR-NC-001. Desvios de homogeneidade são classificados como "Maiores" e requerem CAPA obrigatório.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12. FORMULÁRIOS E DOCUMENTOS RELACIONADOS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FOR-PROD-001 – Ordem de Produção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FOR-PROD-006 – Registro de Mistura e Homogeneização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FOR-CQ-011 – Resultado de Homogeneidade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FOR-LIMP-002 – Limpeza de Equipamentos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FOR-NC-001 – Não Conformidade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FOR-GQ-003 – CAPA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13. HISTÓRICO DE REVISÕES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5493"/>
        <w:gridCol w:w="1831"/>
      </w:tblGrid>
      <w:tr>
        <w:trPr>
          <w:tblHeader/>
        </w:trPr>
        <w:tc>
          <w:tcPr>
            <w:tcW w:type="dxa" w:w="96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Versão</w:t>
            </w:r>
          </w:p>
        </w:tc>
        <w:tc>
          <w:tcPr>
            <w:tcW w:type="dxa" w:w="134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Data</w:t>
            </w:r>
          </w:p>
        </w:tc>
        <w:tc>
          <w:tcPr>
            <w:tcW w:type="dxa" w:w="5493"/>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Descrição</w:t>
            </w:r>
          </w:p>
        </w:tc>
        <w:tc>
          <w:tcPr>
            <w:tcW w:type="dxa" w:w="183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Resp.</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01</w:t>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Jun/2025</w:t>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Emissão inicial do documento.</w:t>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RT/GQ</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r>
    </w:tbl>
    <w:p>
      <w:pPr>
        <w:spacing w:after="100" w:before="200"/>
      </w:pPr>
      <w:r>
        <w:rPr>
          <w:rFonts w:ascii="Arial" w:cs="Arial" w:eastAsia="Arial" w:hAnsi="Arial"/>
          <w:b w:val="false"/>
          <w:bCs w:val="false"/>
          <w:caps w:val="false"/>
          <w:color w:val="111111"/>
          <w:sz w:val="20"/>
          <w:szCs w:val="20"/>
        </w:rPr>
        <w:t xml:space="preserve"/>
      </w:r>
    </w:p>
    <w:p>
      <w:r>
        <w:br w:type="page"/>
      </w:r>
    </w:p>
    <w:p>
      <w:pPr>
        <w:pStyle w:val="Heading1"/>
        <w:spacing w:after="0" w:before="0"/>
      </w:pPr>
      <w:r>
        <w:rPr>
          <w:rFonts w:ascii="Arial" w:cs="Arial" w:eastAsia="Arial" w:hAnsi="Arial"/>
          <w:b w:val="false"/>
          <w:bCs w:val="false"/>
          <w:caps w:val="false"/>
          <w:color w:val="FFFFFF"/>
          <w:sz w:val="2"/>
          <w:szCs w:val="2"/>
        </w:rPr>
        <w:t xml:space="preserve">POP-PROD-009 — Encapsulamento – Cápsulas Duras (Gelatina / HPMC)</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120"/>
        <w:gridCol w:w="4915"/>
        <w:gridCol w:w="2602"/>
      </w:tblGrid>
      <w:tr>
        <w:tc>
          <w:tcPr>
            <w:tcW w:type="dxa" w:w="2120"/>
            <w:vMerge w:val="restart"/>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FFFFFF"/>
                <w:sz w:val="17"/>
                <w:szCs w:val="17"/>
              </w:rPr>
              <w:t xml:space="preserve">INDÚSTRIA DE SUPLEMENTOS</w:t>
            </w:r>
          </w:p>
          <w:p>
            <w:pPr>
              <w:spacing w:after="60" w:before="0"/>
              <w:jc w:val="center"/>
            </w:pPr>
            <w:r>
              <w:rPr>
                <w:rFonts w:ascii="Arial" w:cs="Arial" w:eastAsia="Arial" w:hAnsi="Arial"/>
                <w:b w:val="false"/>
                <w:bCs w:val="false"/>
                <w:caps w:val="false"/>
                <w:color w:val="D6E4F0"/>
                <w:sz w:val="15"/>
                <w:szCs w:val="15"/>
              </w:rPr>
              <w:t xml:space="preserve">Alimentos para Fins Especiais</w:t>
            </w:r>
          </w:p>
        </w:tc>
        <w:tc>
          <w:tcPr>
            <w:tcW w:type="dxa" w:w="4915"/>
            <w:vMerge w:val="restart"/>
            <w:tcBorders>
              <w:top w:val="single" w:color="1F3864" w:sz="4"/>
              <w:left w:val="single" w:color="1F3864" w:sz="4"/>
              <w:bottom w:val="single" w:color="1F3864" w:sz="4"/>
              <w:right w:val="single" w:color="1F3864" w:sz="4"/>
            </w:tcBorders>
            <w:shd w:fill="D6E4F0" w:val="clear"/>
            <w:tcMar>
              <w:top w:type="dxa" w:w="80"/>
              <w:left w:type="dxa" w:w="100"/>
              <w:bottom w:type="dxa" w:w="80"/>
              <w:right w:type="dxa" w:w="100"/>
            </w:tcMar>
            <w:vAlign w:val="center"/>
          </w:tcPr>
          <w:p>
            <w:pPr>
              <w:spacing w:after="40" w:before="60"/>
              <w:jc w:val="center"/>
            </w:pPr>
            <w:r>
              <w:rPr>
                <w:rFonts w:ascii="Arial" w:cs="Arial" w:eastAsia="Arial" w:hAnsi="Arial"/>
                <w:b/>
                <w:bCs/>
                <w:caps/>
                <w:color w:val="1F3864"/>
                <w:sz w:val="17"/>
                <w:szCs w:val="17"/>
              </w:rPr>
              <w:t xml:space="preserve">PROCEDIMENTO OPERACIONAL PADRÃO</w:t>
            </w:r>
          </w:p>
          <w:p>
            <w:pPr>
              <w:spacing w:after="60" w:before="0"/>
              <w:jc w:val="center"/>
            </w:pPr>
            <w:r>
              <w:rPr>
                <w:rFonts w:ascii="Arial" w:cs="Arial" w:eastAsia="Arial" w:hAnsi="Arial"/>
                <w:b/>
                <w:bCs/>
                <w:caps w:val="false"/>
                <w:color w:val="1F3864"/>
                <w:sz w:val="22"/>
                <w:szCs w:val="22"/>
              </w:rPr>
              <w:t xml:space="preserve">Encapsulamento – Cápsulas Duras (Gelatina / HPMC)</w:t>
            </w: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left"/>
            </w:pPr>
            <w:r>
              <w:rPr>
                <w:rFonts w:ascii="Arial" w:cs="Arial" w:eastAsia="Arial" w:hAnsi="Arial"/>
                <w:b/>
                <w:bCs/>
                <w:caps w:val="false"/>
                <w:color w:val="D6E4F0"/>
                <w:sz w:val="16"/>
                <w:szCs w:val="16"/>
              </w:rPr>
              <w:t xml:space="preserve">Código: </w:t>
            </w:r>
            <w:r>
              <w:rPr>
                <w:rFonts w:ascii="Arial" w:cs="Arial" w:eastAsia="Arial" w:hAnsi="Arial"/>
                <w:b/>
                <w:bCs/>
                <w:caps w:val="false"/>
                <w:color w:val="FFFFFF"/>
                <w:sz w:val="18"/>
                <w:szCs w:val="18"/>
              </w:rPr>
              <w:t xml:space="preserve">POP-PROD-009</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20"/>
              <w:jc w:val="left"/>
            </w:pPr>
            <w:r>
              <w:rPr>
                <w:rFonts w:ascii="Arial" w:cs="Arial" w:eastAsia="Arial" w:hAnsi="Arial"/>
                <w:b/>
                <w:bCs/>
                <w:caps w:val="false"/>
                <w:color w:val="D6E4F0"/>
                <w:sz w:val="16"/>
                <w:szCs w:val="16"/>
              </w:rPr>
              <w:t xml:space="preserve">Versão: </w:t>
            </w:r>
            <w:r>
              <w:rPr>
                <w:rFonts w:ascii="Arial" w:cs="Arial" w:eastAsia="Arial" w:hAnsi="Arial"/>
                <w:b/>
                <w:bCs/>
                <w:caps w:val="false"/>
                <w:color w:val="FFFFFF"/>
                <w:sz w:val="18"/>
                <w:szCs w:val="18"/>
              </w:rPr>
              <w:t xml:space="preserve">01</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60" w:before="20"/>
              <w:jc w:val="left"/>
            </w:pPr>
            <w:r>
              <w:rPr>
                <w:rFonts w:ascii="Arial" w:cs="Arial" w:eastAsia="Arial" w:hAnsi="Arial"/>
                <w:b/>
                <w:bCs/>
                <w:caps w:val="false"/>
                <w:color w:val="D6E4F0"/>
                <w:sz w:val="16"/>
                <w:szCs w:val="16"/>
              </w:rPr>
              <w:t xml:space="preserve">Emissão: </w:t>
            </w:r>
            <w:r>
              <w:rPr>
                <w:rFonts w:ascii="Arial" w:cs="Arial" w:eastAsia="Arial" w:hAnsi="Arial"/>
                <w:b w:val="false"/>
                <w:bCs w:val="false"/>
                <w:caps w:val="false"/>
                <w:color w:val="FFFFFF"/>
                <w:sz w:val="18"/>
                <w:szCs w:val="18"/>
              </w:rPr>
              <w:t xml:space="preserve">Jun/2025</w:t>
            </w:r>
          </w:p>
        </w:tc>
      </w:tr>
      <w:tr>
        <w:tc>
          <w:tcPr>
            <w:tcW w:type="dxa" w:w="2120"/>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Elaborado por:</w:t>
            </w:r>
          </w:p>
          <w:p>
            <w:pPr>
              <w:spacing w:after="20" w:before="0"/>
              <w:jc w:val="center"/>
            </w:pPr>
            <w:r>
              <w:rPr>
                <w:rFonts w:ascii="Arial" w:cs="Arial" w:eastAsia="Arial" w:hAnsi="Arial"/>
                <w:b w:val="false"/>
                <w:bCs w:val="false"/>
                <w:caps w:val="false"/>
                <w:color w:val="111111"/>
                <w:sz w:val="16"/>
                <w:szCs w:val="16"/>
              </w:rPr>
              <w:t xml:space="preserve">Responsável Técnico</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4915"/>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Verificado por:</w:t>
            </w:r>
          </w:p>
          <w:p>
            <w:pPr>
              <w:spacing w:after="20" w:before="0"/>
              <w:jc w:val="center"/>
            </w:pPr>
            <w:r>
              <w:rPr>
                <w:rFonts w:ascii="Arial" w:cs="Arial" w:eastAsia="Arial" w:hAnsi="Arial"/>
                <w:b w:val="false"/>
                <w:bCs w:val="false"/>
                <w:caps w:val="false"/>
                <w:color w:val="111111"/>
                <w:sz w:val="16"/>
                <w:szCs w:val="16"/>
              </w:rPr>
              <w:t xml:space="preserve">Garantia da Qualidade</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2602"/>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Aprovado por:</w:t>
            </w:r>
          </w:p>
          <w:p>
            <w:pPr>
              <w:spacing w:after="20" w:before="0"/>
              <w:jc w:val="center"/>
            </w:pPr>
            <w:r>
              <w:rPr>
                <w:rFonts w:ascii="Arial" w:cs="Arial" w:eastAsia="Arial" w:hAnsi="Arial"/>
                <w:b w:val="false"/>
                <w:bCs w:val="false"/>
                <w:caps w:val="false"/>
                <w:color w:val="111111"/>
                <w:sz w:val="16"/>
                <w:szCs w:val="16"/>
              </w:rPr>
              <w:t xml:space="preserve">Diretoria / RT</w:t>
            </w:r>
          </w:p>
          <w:p>
            <w:pPr>
              <w:spacing w:after="60" w:before="20"/>
              <w:jc w:val="center"/>
            </w:pPr>
            <w:r>
              <w:rPr>
                <w:rFonts w:ascii="Arial" w:cs="Arial" w:eastAsia="Arial" w:hAnsi="Arial"/>
                <w:b w:val="false"/>
                <w:bCs w:val="false"/>
                <w:caps w:val="false"/>
                <w:color w:val="888888"/>
                <w:sz w:val="15"/>
                <w:szCs w:val="15"/>
              </w:rPr>
              <w:t xml:space="preserve">_____ / ____/____</w:t>
            </w:r>
          </w:p>
        </w:tc>
      </w:tr>
    </w:tbl>
    <w:p>
      <w:pPr>
        <w:spacing w:after="80" w:before="16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 OBJETIVO</w:t>
      </w:r>
    </w:p>
    <w:p>
      <w:pPr>
        <w:spacing w:after="80" w:before="80"/>
        <w:jc w:val="both"/>
      </w:pPr>
      <w:r>
        <w:rPr>
          <w:rFonts w:ascii="Arial" w:cs="Arial" w:eastAsia="Arial" w:hAnsi="Arial"/>
          <w:b w:val="false"/>
          <w:bCs w:val="false"/>
          <w:caps w:val="false"/>
          <w:color w:val="111111"/>
          <w:sz w:val="20"/>
          <w:szCs w:val="20"/>
        </w:rPr>
        <w:t xml:space="preserve">Padronizar o processo de encapsulamento em cápsulas duras (gelatina ou HPMC), garantindo o peso médio do preenchimento dentro da especificação, a uniformidade de conteúdo, a integridade do fechamento das cápsulas e o controle de contaminação cruzada durante toda a operação.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2. CAMPO DE APLICAÇÃO</w:t>
      </w:r>
    </w:p>
    <w:p>
      <w:pPr>
        <w:spacing w:after="80" w:before="80"/>
        <w:jc w:val="both"/>
      </w:pPr>
      <w:r>
        <w:rPr>
          <w:rFonts w:ascii="Arial" w:cs="Arial" w:eastAsia="Arial" w:hAnsi="Arial"/>
          <w:b w:val="false"/>
          <w:bCs w:val="false"/>
          <w:caps w:val="false"/>
          <w:color w:val="111111"/>
          <w:sz w:val="20"/>
          <w:szCs w:val="20"/>
        </w:rPr>
        <w:t xml:space="preserve">Aplica-se a todo o processo de encapsulamento manual ou mecanizado de cápsulas duras realizadas nesta indústria, em todos os tamanhos de cápsula utilizados (000, 00, 0, 1, 2, 3). Engloba o setup do equipamento, a produção, os controles em processo e a limpeza pós-produção.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3. RESPONSABILIDADES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6746"/>
      </w:tblGrid>
      <w:tr>
        <w:trPr>
          <w:tblHeader/>
        </w:trPr>
        <w:tc>
          <w:tcPr>
            <w:tcW w:type="dxa" w:w="289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Função / Cargo</w:t>
            </w:r>
          </w:p>
        </w:tc>
        <w:tc>
          <w:tcPr>
            <w:tcW w:type="dxa" w:w="6746"/>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Responsabilidade</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Operador de Encapsulamento</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Configurar e operar a encapsuladeira, executar os controles em processo e registrar todos os dados.</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Supervisor de Produção</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Verificar o setup inicial, supervisionar a produção e aprovar os registros.</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Controle de Qualidade</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Verificar as amostras de peso médio e uniformidade, inspecionar o fechamento das cápsulas e emitir resultado.</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Manutenção</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Manter a encapsuladeira em condições operacionais; executar manutenções preventiva e corretiva.</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4. DEFINIÇÕES E ABREVIAÇÕES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698"/>
        <w:gridCol w:w="6939"/>
      </w:tblGrid>
      <w:tr>
        <w:trPr>
          <w:tblHeader/>
        </w:trPr>
        <w:tc>
          <w:tcPr>
            <w:tcW w:type="dxa" w:w="2698"/>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Termo / Sigla</w:t>
            </w:r>
          </w:p>
        </w:tc>
        <w:tc>
          <w:tcPr>
            <w:tcW w:type="dxa" w:w="693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Definição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Peso médio de enchimento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Massa do conteúdo de cada cápsula (cápsula cheia – tara da cápsula vazia). Expresso em miligramas (mg).</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Variação individual</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Diferença percentual entre o peso de uma cápsula individual e o peso médio especificado.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HPMC</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Hidroxipropilmetilcelulose – cápsula de origem vegetal; indicada para formulações de cápsulas vegetarianas/veganas.</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Setup</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Configuração inicial da encapsuladeira antes da produção (câmara, dosificador, espessura de enchimento).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Uniformidade de conteúdo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Teste que verifica se o peso do conteúdo de cápsulas individuais está dentro dos limites farmacopeicos.</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Polimento</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Operação de remoção de pó residual das cápsulas após o fechamento.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IPC (In-Process Control)</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Controle em processo – verificações realizadas durante a produção para detectar desvios em tempo real.</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5. MATERIAIS, EQUIPAMENTOS E EPIs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Encapsuladeira manual (bandejas) ou semiautomática/automática (tamanho conforme cápsula)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Cápsulas duras de gelatina ou HPMC do tamanho especificado – lote aprovado pelo CQ</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Blend aprovado pelo CQ (pós-etapa de mistura/homogeneização)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Balança analítica calibrada (d ≤ 0,001 g) para controle de peso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Cronômetro para controle do tempo de produção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Polidor de cápsulas (se disponível)</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Recipientes de aço inox para coleta de cápsulas acabadas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Peneira para remoção de cápsulas defeituosas (quebradas, mal fechadas)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EPI: jaleco, luvas nitrílicas, máscara PFF2, óculos, touca, propé</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FOR-PROD-008 – Registro de Encapsulamento | OP aprovada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6. PROCEDIMENTO DETALHADO</w:t>
      </w:r>
    </w:p>
    <w:p>
      <w:pPr>
        <w:spacing w:after="60" w:before="140"/>
        <w:jc w:val="left"/>
      </w:pPr>
      <w:r>
        <w:rPr>
          <w:rFonts w:ascii="Arial" w:cs="Arial" w:eastAsia="Arial" w:hAnsi="Arial"/>
          <w:b/>
          <w:bCs/>
          <w:caps w:val="false"/>
          <w:color w:val="1F3864"/>
          <w:sz w:val="20"/>
          <w:szCs w:val="20"/>
        </w:rPr>
        <w:t xml:space="preserve">6.1 Preparação e Setup da Encapsuladeira</w:t>
      </w:r>
    </w:p>
    <w:p>
      <w:pPr>
        <w:pStyle w:val="ListParagraph"/>
        <w:numPr>
          <w:ilvl w:val="0"/>
          <w:numId w:val="11"/>
        </w:numPr>
        <w:spacing w:after="80" w:before="80"/>
        <w:jc w:val="both"/>
      </w:pPr>
      <w:r>
        <w:rPr>
          <w:rFonts w:ascii="Arial" w:cs="Arial" w:eastAsia="Arial" w:hAnsi="Arial"/>
          <w:b w:val="false"/>
          <w:bCs w:val="false"/>
          <w:caps w:val="false"/>
          <w:color w:val="111111"/>
          <w:sz w:val="20"/>
          <w:szCs w:val="20"/>
        </w:rPr>
        <w:t xml:space="preserve">Verificar limpeza e status do equipamento (cartão "LIMPO / DISPONÍVEL"). Inspecionar visualmente as bandejas, dosificadores e guias: ausência de resíduos, danos ou corrosão.</w:t>
      </w:r>
    </w:p>
    <w:p>
      <w:pPr>
        <w:pStyle w:val="ListParagraph"/>
        <w:numPr>
          <w:ilvl w:val="0"/>
          <w:numId w:val="11"/>
        </w:numPr>
        <w:spacing w:after="80" w:before="80"/>
        <w:jc w:val="both"/>
      </w:pPr>
      <w:r>
        <w:rPr>
          <w:rFonts w:ascii="Arial" w:cs="Arial" w:eastAsia="Arial" w:hAnsi="Arial"/>
          <w:b w:val="false"/>
          <w:bCs w:val="false"/>
          <w:caps w:val="false"/>
          <w:color w:val="111111"/>
          <w:sz w:val="20"/>
          <w:szCs w:val="20"/>
        </w:rPr>
        <w:t xml:space="preserve">Verificar se as cápsulas recebidas são do tamanho correto (conferir tamanho impresso na embalagem contra a OP). Verificar o laudo de aprovação do CQ.</w:t>
      </w:r>
    </w:p>
    <w:p>
      <w:pPr>
        <w:pStyle w:val="ListParagraph"/>
        <w:numPr>
          <w:ilvl w:val="0"/>
          <w:numId w:val="11"/>
        </w:numPr>
        <w:spacing w:after="80" w:before="80"/>
        <w:jc w:val="both"/>
      </w:pPr>
      <w:r>
        <w:rPr>
          <w:rFonts w:ascii="Arial" w:cs="Arial" w:eastAsia="Arial" w:hAnsi="Arial"/>
          <w:b w:val="false"/>
          <w:bCs w:val="false"/>
          <w:caps w:val="false"/>
          <w:color w:val="111111"/>
          <w:sz w:val="20"/>
          <w:szCs w:val="20"/>
        </w:rPr>
        <w:t xml:space="preserve">Ajustar o equipamento conforme o tamanho da cápsula e a granulometria do blend. Para encapsuladeiras automáticas: programar o peso nominal, os limites de aceitação e a velocidade de produção.</w:t>
      </w:r>
    </w:p>
    <w:p>
      <w:pPr>
        <w:spacing w:after="60" w:before="140"/>
        <w:jc w:val="left"/>
      </w:pPr>
      <w:r>
        <w:rPr>
          <w:rFonts w:ascii="Arial" w:cs="Arial" w:eastAsia="Arial" w:hAnsi="Arial"/>
          <w:b/>
          <w:bCs/>
          <w:caps w:val="false"/>
          <w:color w:val="1F3864"/>
          <w:sz w:val="20"/>
          <w:szCs w:val="20"/>
        </w:rPr>
        <w:t xml:space="preserve">6.2 Calibração do Peso de Enchimento</w:t>
      </w:r>
    </w:p>
    <w:p>
      <w:pPr>
        <w:pStyle w:val="ListParagraph"/>
        <w:numPr>
          <w:ilvl w:val="0"/>
          <w:numId w:val="11"/>
        </w:numPr>
        <w:spacing w:after="80" w:before="80"/>
        <w:jc w:val="both"/>
      </w:pPr>
      <w:r>
        <w:rPr>
          <w:rFonts w:ascii="Arial" w:cs="Arial" w:eastAsia="Arial" w:hAnsi="Arial"/>
          <w:b w:val="false"/>
          <w:bCs w:val="false"/>
          <w:caps w:val="false"/>
          <w:color w:val="111111"/>
          <w:sz w:val="20"/>
          <w:szCs w:val="20"/>
        </w:rPr>
        <w:t xml:space="preserve">Pesar 10 cápsulas vazias (caps + body) individualmente. Calcular a tara média e registrar em FOR-PROD-008.</w:t>
      </w:r>
    </w:p>
    <w:p>
      <w:pPr>
        <w:pStyle w:val="ListParagraph"/>
        <w:numPr>
          <w:ilvl w:val="0"/>
          <w:numId w:val="11"/>
        </w:numPr>
        <w:spacing w:after="80" w:before="80"/>
        <w:jc w:val="both"/>
      </w:pPr>
      <w:r>
        <w:rPr>
          <w:rFonts w:ascii="Arial" w:cs="Arial" w:eastAsia="Arial" w:hAnsi="Arial"/>
          <w:b w:val="false"/>
          <w:bCs w:val="false"/>
          <w:caps w:val="false"/>
          <w:color w:val="111111"/>
          <w:sz w:val="20"/>
          <w:szCs w:val="20"/>
        </w:rPr>
        <w:t xml:space="preserve">Produzir um grupo de calibração de 20 cápsulas com o blend. Pesá-las individualmente. Calcular: (peso da cápsula cheia – tara da cápsula vazia) = peso do enchimento. Calcular a média e verificar se está dentro de ± 5% do peso nominal. Ajustar o dosificador se necessário.</w:t>
      </w:r>
    </w:p>
    <w:p>
      <w:pPr>
        <w:pStyle w:val="ListParagraph"/>
        <w:numPr>
          <w:ilvl w:val="0"/>
          <w:numId w:val="11"/>
        </w:numPr>
        <w:spacing w:after="80" w:before="80"/>
        <w:jc w:val="both"/>
      </w:pPr>
      <w:r>
        <w:rPr>
          <w:rFonts w:ascii="Arial" w:cs="Arial" w:eastAsia="Arial" w:hAnsi="Arial"/>
          <w:b w:val="false"/>
          <w:bCs w:val="false"/>
          <w:caps w:val="false"/>
          <w:color w:val="111111"/>
          <w:sz w:val="20"/>
          <w:szCs w:val="20"/>
        </w:rPr>
        <w:t xml:space="preserve">Somente iniciar a produção após 3 grupos consecutivos de calibração aprovados. Registrar todos os ajustes em FOR-PROD-008.</w:t>
      </w:r>
    </w:p>
    <w:p>
      <w:pPr>
        <w:spacing w:after="60" w:before="140"/>
        <w:jc w:val="left"/>
      </w:pPr>
      <w:r>
        <w:rPr>
          <w:rFonts w:ascii="Arial" w:cs="Arial" w:eastAsia="Arial" w:hAnsi="Arial"/>
          <w:b/>
          <w:bCs/>
          <w:caps w:val="false"/>
          <w:color w:val="1F3864"/>
          <w:sz w:val="20"/>
          <w:szCs w:val="20"/>
        </w:rPr>
        <w:t xml:space="preserve">6.3 Produção e Controles em Processo (IPC)</w:t>
      </w:r>
    </w:p>
    <w:p>
      <w:pPr>
        <w:pStyle w:val="ListParagraph"/>
        <w:numPr>
          <w:ilvl w:val="0"/>
          <w:numId w:val="11"/>
        </w:numPr>
        <w:spacing w:after="80" w:before="80"/>
        <w:jc w:val="both"/>
      </w:pPr>
      <w:r>
        <w:rPr>
          <w:rFonts w:ascii="Arial" w:cs="Arial" w:eastAsia="Arial" w:hAnsi="Arial"/>
          <w:b w:val="false"/>
          <w:bCs w:val="false"/>
          <w:caps w:val="false"/>
          <w:color w:val="111111"/>
          <w:sz w:val="20"/>
          <w:szCs w:val="20"/>
        </w:rPr>
        <w:t xml:space="preserve">Iniciar a produção. A cada 30 minutos, retirar 10 cápsulas aleatórias e pesá-las individualmente (balança analítica). Verificar o peso de enchimento de cada uma e calcular a média e a variação individual.</w:t>
      </w:r>
    </w:p>
    <w:p>
      <w:pPr>
        <w:pStyle w:val="ListParagraph"/>
        <w:numPr>
          <w:ilvl w:val="0"/>
          <w:numId w:val="11"/>
        </w:numPr>
        <w:spacing w:after="80" w:before="80"/>
        <w:jc w:val="both"/>
      </w:pPr>
      <w:r>
        <w:rPr>
          <w:rFonts w:ascii="Arial" w:cs="Arial" w:eastAsia="Arial" w:hAnsi="Arial"/>
          <w:b w:val="false"/>
          <w:bCs w:val="false"/>
          <w:caps w:val="false"/>
          <w:color w:val="111111"/>
          <w:sz w:val="20"/>
          <w:szCs w:val="20"/>
        </w:rPr>
        <w:t xml:space="preserve">Critério de IPC: peso médio dentro de ± 7,5% do nominal (para cápsulas &lt; 300 mg) ou ± 5% (para cápsulas ≥ 300 mg). Variação individual: não mais que 2 cápsulas de 10 podem exceder 1× o limite; nenhuma pode exceder 2× o limite.</w:t>
      </w:r>
    </w:p>
    <w:p>
      <w:pPr>
        <w:pStyle w:val="ListParagraph"/>
        <w:numPr>
          <w:ilvl w:val="0"/>
          <w:numId w:val="11"/>
        </w:numPr>
        <w:spacing w:after="80" w:before="80"/>
        <w:jc w:val="both"/>
      </w:pPr>
      <w:r>
        <w:rPr>
          <w:rFonts w:ascii="Arial" w:cs="Arial" w:eastAsia="Arial" w:hAnsi="Arial"/>
          <w:b w:val="false"/>
          <w:bCs w:val="false"/>
          <w:caps w:val="false"/>
          <w:color w:val="111111"/>
          <w:sz w:val="20"/>
          <w:szCs w:val="20"/>
        </w:rPr>
        <w:t xml:space="preserve">Inspecionar visualmente 1% das cápsulas a cada hora: fechamento completo, ausência de cápsulas mal fechadas, vazias, amassadas, com dupla cápsula ou quebradas. Registrar e segregar as cápsulas defeituosas.</w:t>
      </w:r>
    </w:p>
    <w:p>
      <w:pPr>
        <w:pBdr>
          <w:left w:val="single" w:color="2E75B6" w:sz="12"/>
        </w:pBdr>
        <w:spacing w:after="80" w:before="80"/>
        <w:ind w:left="600"/>
      </w:pPr>
      <w:r>
        <w:rPr>
          <w:rFonts w:ascii="Arial" w:cs="Arial" w:eastAsia="Arial" w:hAnsi="Arial"/>
          <w:b/>
          <w:bCs/>
          <w:caps w:val="false"/>
          <w:color w:val="2E75B6"/>
          <w:sz w:val="18"/>
          <w:szCs w:val="18"/>
        </w:rPr>
        <w:t xml:space="preserve">NOTA: </w:t>
      </w:r>
      <w:r>
        <w:rPr>
          <w:rFonts w:ascii="Arial" w:cs="Arial" w:eastAsia="Arial" w:hAnsi="Arial"/>
          <w:b w:val="false"/>
          <w:bCs w:val="false"/>
          <w:caps w:val="false"/>
          <w:color w:val="111111"/>
          <w:sz w:val="18"/>
          <w:szCs w:val="18"/>
        </w:rPr>
        <w:t xml:space="preserve">Cápsulas segregadas como defeituosas devem ser abertas, o conteúdo pesado e descartado, e as cápsulas destruídas para evitar retrabalho não autorizado.</w:t>
      </w:r>
    </w:p>
    <w:p>
      <w:pPr>
        <w:spacing w:after="60" w:before="140"/>
        <w:jc w:val="left"/>
      </w:pPr>
      <w:r>
        <w:rPr>
          <w:rFonts w:ascii="Arial" w:cs="Arial" w:eastAsia="Arial" w:hAnsi="Arial"/>
          <w:b/>
          <w:bCs/>
          <w:caps w:val="false"/>
          <w:color w:val="1F3864"/>
          <w:sz w:val="20"/>
          <w:szCs w:val="20"/>
        </w:rPr>
        <w:t xml:space="preserve">6.4 Polimento e Peneiramento Final</w:t>
      </w:r>
    </w:p>
    <w:p>
      <w:pPr>
        <w:pStyle w:val="ListParagraph"/>
        <w:numPr>
          <w:ilvl w:val="0"/>
          <w:numId w:val="11"/>
        </w:numPr>
        <w:spacing w:after="80" w:before="80"/>
        <w:jc w:val="both"/>
      </w:pPr>
      <w:r>
        <w:rPr>
          <w:rFonts w:ascii="Arial" w:cs="Arial" w:eastAsia="Arial" w:hAnsi="Arial"/>
          <w:b w:val="false"/>
          <w:bCs w:val="false"/>
          <w:caps w:val="false"/>
          <w:color w:val="111111"/>
          <w:sz w:val="20"/>
          <w:szCs w:val="20"/>
        </w:rPr>
        <w:t xml:space="preserve">Ao finalizar o lote, passar as cápsulas pelo polidor para remoção do pó superficial. Peneirar em malha adequada para separar finos e cápsulas danificadas.</w:t>
      </w:r>
    </w:p>
    <w:p>
      <w:pPr>
        <w:pStyle w:val="ListParagraph"/>
        <w:numPr>
          <w:ilvl w:val="0"/>
          <w:numId w:val="11"/>
        </w:numPr>
        <w:spacing w:after="80" w:before="80"/>
        <w:jc w:val="both"/>
      </w:pPr>
      <w:r>
        <w:rPr>
          <w:rFonts w:ascii="Arial" w:cs="Arial" w:eastAsia="Arial" w:hAnsi="Arial"/>
          <w:b w:val="false"/>
          <w:bCs w:val="false"/>
          <w:caps w:val="false"/>
          <w:color w:val="111111"/>
          <w:sz w:val="20"/>
          <w:szCs w:val="20"/>
        </w:rPr>
        <w:t xml:space="preserve">Pesar o lote final de cápsulas polidas e registrar na OP. Calcular o rendimento: (qtd cápsulas aprovadas × peso médio unitário) / (peso do blend utilizado) × 100%. Esperado: ≥ 97%.</w:t>
      </w:r>
    </w:p>
    <w:p>
      <w:pPr>
        <w:spacing w:after="60" w:before="140"/>
        <w:jc w:val="left"/>
      </w:pPr>
      <w:r>
        <w:rPr>
          <w:rFonts w:ascii="Arial" w:cs="Arial" w:eastAsia="Arial" w:hAnsi="Arial"/>
          <w:b/>
          <w:bCs/>
          <w:caps w:val="false"/>
          <w:color w:val="1F3864"/>
          <w:sz w:val="20"/>
          <w:szCs w:val="20"/>
        </w:rPr>
        <w:t xml:space="preserve">6.5 Encerramento</w:t>
      </w:r>
    </w:p>
    <w:p>
      <w:pPr>
        <w:pStyle w:val="ListParagraph"/>
        <w:numPr>
          <w:ilvl w:val="0"/>
          <w:numId w:val="11"/>
        </w:numPr>
        <w:spacing w:after="80" w:before="80"/>
        <w:jc w:val="both"/>
      </w:pPr>
      <w:r>
        <w:rPr>
          <w:rFonts w:ascii="Arial" w:cs="Arial" w:eastAsia="Arial" w:hAnsi="Arial"/>
          <w:b w:val="false"/>
          <w:bCs w:val="false"/>
          <w:caps w:val="false"/>
          <w:color w:val="111111"/>
          <w:sz w:val="20"/>
          <w:szCs w:val="20"/>
        </w:rPr>
        <w:t xml:space="preserve">Encaminhar amostra para análise final do CQ (peso médio, uniformidade de conteúdo, aspecto). Transferir o lote para área de produto acabado em quarentena, aguardando laudo.</w:t>
      </w:r>
    </w:p>
    <w:p>
      <w:pPr>
        <w:pStyle w:val="ListParagraph"/>
        <w:numPr>
          <w:ilvl w:val="0"/>
          <w:numId w:val="11"/>
        </w:numPr>
        <w:spacing w:after="80" w:before="80"/>
        <w:jc w:val="both"/>
      </w:pPr>
      <w:r>
        <w:rPr>
          <w:rFonts w:ascii="Arial" w:cs="Arial" w:eastAsia="Arial" w:hAnsi="Arial"/>
          <w:b w:val="false"/>
          <w:bCs w:val="false"/>
          <w:caps w:val="false"/>
          <w:color w:val="111111"/>
          <w:sz w:val="20"/>
          <w:szCs w:val="20"/>
        </w:rPr>
        <w:t xml:space="preserve">Limpar a encapsuladeira imediatamente após o uso conforme POP-LIMP-001.</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7. FREQUÊNCIA DE EXECUÇÃO</w:t>
      </w:r>
    </w:p>
    <w:p>
      <w:pPr>
        <w:spacing w:after="80" w:before="80"/>
        <w:jc w:val="both"/>
      </w:pPr>
      <w:r>
        <w:rPr>
          <w:rFonts w:ascii="Arial" w:cs="Arial" w:eastAsia="Arial" w:hAnsi="Arial"/>
          <w:b w:val="false"/>
          <w:bCs w:val="false"/>
          <w:caps w:val="false"/>
          <w:color w:val="111111"/>
          <w:sz w:val="20"/>
          <w:szCs w:val="20"/>
        </w:rPr>
        <w:t xml:space="preserve">A cada lote de cápsulas produzido.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8. REGISTROS OBRIGATÓRIOS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FOR-PROD-008 – Registro de Encapsulamento (peso de calibração, IPC, inspeção visual, rendimento)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FOR-PROD-001 – Ordem de Produção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FOR-CQ-012 – Resultado de Peso Médio e Uniformidade de Conteúdo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FOR-LIMP-002 – Limpeza da Encapsuladeira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9. CRITÉRIOS DE ACEITAÇÃO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Peso médio do enchimento: dentro de ± 5% do nominal (cápsulas ≥ 300 mg) ou ± 7,5% (cápsulas &lt; 300 mg)</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Variação individual (IPC): máx. 2 em 10 cápsulas com variação &gt; 1× limite; nenhuma com variação &gt; 2× limite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Fechamento: 100% das cápsulas completamente fechadas na inspeção visual</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Ausência de cápsulas com dupla cápsula, vazias, amassadas ou quebradas no produto final (&gt; 0,1%)</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Rendimento: ≥ 97% do peso do blend encapsulado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10. PONTOS CRÍTICOS DE CONTROLE (PCC / HACCP)</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675"/>
        <w:gridCol w:w="1735"/>
        <w:gridCol w:w="2024"/>
        <w:gridCol w:w="3469"/>
        <w:gridCol w:w="1735"/>
      </w:tblGrid>
      <w:tr>
        <w:trPr>
          <w:tblHeader/>
        </w:trPr>
        <w:tc>
          <w:tcPr>
            <w:tcW w:type="dxa" w:w="67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PCC</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Parâmetro</w:t>
            </w:r>
          </w:p>
        </w:tc>
        <w:tc>
          <w:tcPr>
            <w:tcW w:type="dxa" w:w="202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Limite Crítico</w:t>
            </w:r>
          </w:p>
        </w:tc>
        <w:tc>
          <w:tcPr>
            <w:tcW w:type="dxa" w:w="346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Ação Corretiva</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Frequência</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PCC1</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Peso médio do enchimento</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Dentro de ± 5% (≥300mg) ou ±7,5% (&lt;300mg) do nominal</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Interromper a produção. Reajustar o dosificador. Segregar as cápsulas produzidas entre o último IPC aprovado e o desvio. Amostrar e avaliar com CQ.</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 cada 30 min (IPC)</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PCC2</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Fechamento das cápsulas</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fechadas; zero cap aberta ou mal fechada</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Inspecionar 100% do lote. Segregar cápsulas mal fechadas. Verificar ajuste do equipamento.</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Inspeção visual a cada hora</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PCC3</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Contaminação cruzada</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Zero resíduos do lote anterior no equipamento</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Não iniciar produção sem status "LIMPO" verificado pelo supervisor. Acionar POP-LIMP-001 se necessário.</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antes de iniciar lote</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11. AÇÕES CORRETIVAS EM CASO DE DESVIO</w:t>
      </w:r>
    </w:p>
    <w:p>
      <w:pPr>
        <w:pStyle w:val="ListParagraph"/>
        <w:numPr>
          <w:ilvl w:val="0"/>
          <w:numId w:val="12"/>
        </w:numPr>
        <w:spacing w:after="80" w:before="80"/>
        <w:jc w:val="both"/>
      </w:pPr>
      <w:r>
        <w:rPr>
          <w:rFonts w:ascii="Arial" w:cs="Arial" w:eastAsia="Arial" w:hAnsi="Arial"/>
          <w:b w:val="false"/>
          <w:bCs w:val="false"/>
          <w:caps w:val="false"/>
          <w:color w:val="111111"/>
          <w:sz w:val="20"/>
          <w:szCs w:val="20"/>
        </w:rPr>
        <w:t xml:space="preserve">Desvio de peso médio: interromper imediatamente, segregar as cápsulas desde o último IPC aprovado, reajustar o dosificador e verificar 20 cápsulas antes de reiniciar.</w:t>
      </w:r>
    </w:p>
    <w:p>
      <w:pPr>
        <w:pStyle w:val="ListParagraph"/>
        <w:numPr>
          <w:ilvl w:val="0"/>
          <w:numId w:val="12"/>
        </w:numPr>
        <w:spacing w:after="80" w:before="80"/>
        <w:jc w:val="both"/>
      </w:pPr>
      <w:r>
        <w:rPr>
          <w:rFonts w:ascii="Arial" w:cs="Arial" w:eastAsia="Arial" w:hAnsi="Arial"/>
          <w:b w:val="false"/>
          <w:bCs w:val="false"/>
          <w:caps w:val="false"/>
          <w:color w:val="111111"/>
          <w:sz w:val="20"/>
          <w:szCs w:val="20"/>
        </w:rPr>
        <w:t xml:space="preserve">Cápsulas mal fechadas detectadas em massa: parar o lote, inspecionar 100%, reclassificar as cápsulas aprovadas. Investigar causa mecânica.</w:t>
      </w:r>
    </w:p>
    <w:p>
      <w:pPr>
        <w:pStyle w:val="ListParagraph"/>
        <w:numPr>
          <w:ilvl w:val="0"/>
          <w:numId w:val="12"/>
        </w:numPr>
        <w:spacing w:after="80" w:before="80"/>
        <w:jc w:val="both"/>
      </w:pPr>
      <w:r>
        <w:rPr>
          <w:rFonts w:ascii="Arial" w:cs="Arial" w:eastAsia="Arial" w:hAnsi="Arial"/>
          <w:b w:val="false"/>
          <w:bCs w:val="false"/>
          <w:caps w:val="false"/>
          <w:color w:val="111111"/>
          <w:sz w:val="20"/>
          <w:szCs w:val="20"/>
        </w:rPr>
        <w:t xml:space="preserve">Rendimento &lt; 97%: investigar perdas (excesso de finos, cápsulas defeituosas, aderência ao equipamento). Registrar NC. Acionar CQ para avaliação.</w:t>
      </w:r>
    </w:p>
    <w:p>
      <w:pPr>
        <w:pStyle w:val="ListParagraph"/>
        <w:numPr>
          <w:ilvl w:val="0"/>
          <w:numId w:val="12"/>
        </w:numPr>
        <w:spacing w:after="80" w:before="80"/>
        <w:jc w:val="both"/>
      </w:pPr>
      <w:r>
        <w:rPr>
          <w:rFonts w:ascii="Arial" w:cs="Arial" w:eastAsia="Arial" w:hAnsi="Arial"/>
          <w:b w:val="false"/>
          <w:bCs w:val="false"/>
          <w:caps w:val="false"/>
          <w:color w:val="111111"/>
          <w:sz w:val="20"/>
          <w:szCs w:val="20"/>
        </w:rPr>
        <w:t xml:space="preserve">Contaminação do blend: segregar o lote em quarentena, acionar RT e CQ. Não utilizar até decisão fundamentada. Abrir CAPA.</w:t>
      </w:r>
    </w:p>
    <w:p>
      <w:pPr>
        <w:pStyle w:val="ListParagraph"/>
        <w:numPr>
          <w:ilvl w:val="0"/>
          <w:numId w:val="12"/>
        </w:numPr>
        <w:spacing w:after="80" w:before="80"/>
        <w:jc w:val="both"/>
      </w:pPr>
      <w:r>
        <w:rPr>
          <w:rFonts w:ascii="Arial" w:cs="Arial" w:eastAsia="Arial" w:hAnsi="Arial"/>
          <w:b w:val="false"/>
          <w:bCs w:val="false"/>
          <w:caps w:val="false"/>
          <w:color w:val="111111"/>
          <w:sz w:val="20"/>
          <w:szCs w:val="20"/>
        </w:rPr>
        <w:t xml:space="preserve">Registrar todos os desvios em FOR-NC-001 com classificação e ações tomadas.</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12. FORMULÁRIOS E DOCUMENTOS RELACIONADOS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FOR-PROD-001 – Ordem de Produção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FOR-PROD-008 – Registro de Encapsulamento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FOR-CQ-012 – Peso Médio e Uniformidade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FOR-LIMP-002 – Limpeza de Equipamentos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FOR-NC-001 – Não Conformidade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FOR-GQ-003 – CAPA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13. HISTÓRICO DE REVISÕES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5493"/>
        <w:gridCol w:w="1831"/>
      </w:tblGrid>
      <w:tr>
        <w:trPr>
          <w:tblHeader/>
        </w:trPr>
        <w:tc>
          <w:tcPr>
            <w:tcW w:type="dxa" w:w="96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Versão</w:t>
            </w:r>
          </w:p>
        </w:tc>
        <w:tc>
          <w:tcPr>
            <w:tcW w:type="dxa" w:w="134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Data</w:t>
            </w:r>
          </w:p>
        </w:tc>
        <w:tc>
          <w:tcPr>
            <w:tcW w:type="dxa" w:w="5493"/>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Descrição</w:t>
            </w:r>
          </w:p>
        </w:tc>
        <w:tc>
          <w:tcPr>
            <w:tcW w:type="dxa" w:w="183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Resp.</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01</w:t>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Jun/2025</w:t>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Emissão inicial do documento.</w:t>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RT/GQ</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r>
    </w:tbl>
    <w:p>
      <w:pPr>
        <w:spacing w:after="100" w:before="200"/>
      </w:pPr>
      <w:r>
        <w:rPr>
          <w:rFonts w:ascii="Arial" w:cs="Arial" w:eastAsia="Arial" w:hAnsi="Arial"/>
          <w:b w:val="false"/>
          <w:bCs w:val="false"/>
          <w:caps w:val="false"/>
          <w:color w:val="111111"/>
          <w:sz w:val="20"/>
          <w:szCs w:val="20"/>
        </w:rPr>
        <w:t xml:space="preserve"/>
      </w:r>
    </w:p>
    <w:p>
      <w:r>
        <w:br w:type="page"/>
      </w:r>
    </w:p>
    <w:p>
      <w:pPr>
        <w:pStyle w:val="Heading1"/>
        <w:spacing w:after="0" w:before="0"/>
      </w:pPr>
      <w:r>
        <w:rPr>
          <w:rFonts w:ascii="Arial" w:cs="Arial" w:eastAsia="Arial" w:hAnsi="Arial"/>
          <w:b w:val="false"/>
          <w:bCs w:val="false"/>
          <w:caps w:val="false"/>
          <w:color w:val="FFFFFF"/>
          <w:sz w:val="2"/>
          <w:szCs w:val="2"/>
        </w:rPr>
        <w:t xml:space="preserve">POP-PROD-010 — Moldagem de Gummies (Balas Gelatinosas)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120"/>
        <w:gridCol w:w="4915"/>
        <w:gridCol w:w="2602"/>
      </w:tblGrid>
      <w:tr>
        <w:tc>
          <w:tcPr>
            <w:tcW w:type="dxa" w:w="2120"/>
            <w:vMerge w:val="restart"/>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FFFFFF"/>
                <w:sz w:val="17"/>
                <w:szCs w:val="17"/>
              </w:rPr>
              <w:t xml:space="preserve">INDÚSTRIA DE SUPLEMENTOS</w:t>
            </w:r>
          </w:p>
          <w:p>
            <w:pPr>
              <w:spacing w:after="60" w:before="0"/>
              <w:jc w:val="center"/>
            </w:pPr>
            <w:r>
              <w:rPr>
                <w:rFonts w:ascii="Arial" w:cs="Arial" w:eastAsia="Arial" w:hAnsi="Arial"/>
                <w:b w:val="false"/>
                <w:bCs w:val="false"/>
                <w:caps w:val="false"/>
                <w:color w:val="D6E4F0"/>
                <w:sz w:val="15"/>
                <w:szCs w:val="15"/>
              </w:rPr>
              <w:t xml:space="preserve">Alimentos para Fins Especiais</w:t>
            </w:r>
          </w:p>
        </w:tc>
        <w:tc>
          <w:tcPr>
            <w:tcW w:type="dxa" w:w="4915"/>
            <w:vMerge w:val="restart"/>
            <w:tcBorders>
              <w:top w:val="single" w:color="1F3864" w:sz="4"/>
              <w:left w:val="single" w:color="1F3864" w:sz="4"/>
              <w:bottom w:val="single" w:color="1F3864" w:sz="4"/>
              <w:right w:val="single" w:color="1F3864" w:sz="4"/>
            </w:tcBorders>
            <w:shd w:fill="D6E4F0" w:val="clear"/>
            <w:tcMar>
              <w:top w:type="dxa" w:w="80"/>
              <w:left w:type="dxa" w:w="100"/>
              <w:bottom w:type="dxa" w:w="80"/>
              <w:right w:type="dxa" w:w="100"/>
            </w:tcMar>
            <w:vAlign w:val="center"/>
          </w:tcPr>
          <w:p>
            <w:pPr>
              <w:spacing w:after="40" w:before="60"/>
              <w:jc w:val="center"/>
            </w:pPr>
            <w:r>
              <w:rPr>
                <w:rFonts w:ascii="Arial" w:cs="Arial" w:eastAsia="Arial" w:hAnsi="Arial"/>
                <w:b/>
                <w:bCs/>
                <w:caps/>
                <w:color w:val="1F3864"/>
                <w:sz w:val="17"/>
                <w:szCs w:val="17"/>
              </w:rPr>
              <w:t xml:space="preserve">PROCEDIMENTO OPERACIONAL PADRÃO</w:t>
            </w:r>
          </w:p>
          <w:p>
            <w:pPr>
              <w:spacing w:after="60" w:before="0"/>
              <w:jc w:val="center"/>
            </w:pPr>
            <w:r>
              <w:rPr>
                <w:rFonts w:ascii="Arial" w:cs="Arial" w:eastAsia="Arial" w:hAnsi="Arial"/>
                <w:b/>
                <w:bCs/>
                <w:caps w:val="false"/>
                <w:color w:val="1F3864"/>
                <w:sz w:val="22"/>
                <w:szCs w:val="22"/>
              </w:rPr>
              <w:t xml:space="preserve">Moldagem de Gummies (Balas Gelatinosas)</w:t>
            </w: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left"/>
            </w:pPr>
            <w:r>
              <w:rPr>
                <w:rFonts w:ascii="Arial" w:cs="Arial" w:eastAsia="Arial" w:hAnsi="Arial"/>
                <w:b/>
                <w:bCs/>
                <w:caps w:val="false"/>
                <w:color w:val="D6E4F0"/>
                <w:sz w:val="16"/>
                <w:szCs w:val="16"/>
              </w:rPr>
              <w:t xml:space="preserve">Código: </w:t>
            </w:r>
            <w:r>
              <w:rPr>
                <w:rFonts w:ascii="Arial" w:cs="Arial" w:eastAsia="Arial" w:hAnsi="Arial"/>
                <w:b/>
                <w:bCs/>
                <w:caps w:val="false"/>
                <w:color w:val="FFFFFF"/>
                <w:sz w:val="18"/>
                <w:szCs w:val="18"/>
              </w:rPr>
              <w:t xml:space="preserve">POP-PROD-010</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20"/>
              <w:jc w:val="left"/>
            </w:pPr>
            <w:r>
              <w:rPr>
                <w:rFonts w:ascii="Arial" w:cs="Arial" w:eastAsia="Arial" w:hAnsi="Arial"/>
                <w:b/>
                <w:bCs/>
                <w:caps w:val="false"/>
                <w:color w:val="D6E4F0"/>
                <w:sz w:val="16"/>
                <w:szCs w:val="16"/>
              </w:rPr>
              <w:t xml:space="preserve">Versão: </w:t>
            </w:r>
            <w:r>
              <w:rPr>
                <w:rFonts w:ascii="Arial" w:cs="Arial" w:eastAsia="Arial" w:hAnsi="Arial"/>
                <w:b/>
                <w:bCs/>
                <w:caps w:val="false"/>
                <w:color w:val="FFFFFF"/>
                <w:sz w:val="18"/>
                <w:szCs w:val="18"/>
              </w:rPr>
              <w:t xml:space="preserve">01</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60" w:before="20"/>
              <w:jc w:val="left"/>
            </w:pPr>
            <w:r>
              <w:rPr>
                <w:rFonts w:ascii="Arial" w:cs="Arial" w:eastAsia="Arial" w:hAnsi="Arial"/>
                <w:b/>
                <w:bCs/>
                <w:caps w:val="false"/>
                <w:color w:val="D6E4F0"/>
                <w:sz w:val="16"/>
                <w:szCs w:val="16"/>
              </w:rPr>
              <w:t xml:space="preserve">Emissão: </w:t>
            </w:r>
            <w:r>
              <w:rPr>
                <w:rFonts w:ascii="Arial" w:cs="Arial" w:eastAsia="Arial" w:hAnsi="Arial"/>
                <w:b w:val="false"/>
                <w:bCs w:val="false"/>
                <w:caps w:val="false"/>
                <w:color w:val="FFFFFF"/>
                <w:sz w:val="18"/>
                <w:szCs w:val="18"/>
              </w:rPr>
              <w:t xml:space="preserve">Jun/2025</w:t>
            </w:r>
          </w:p>
        </w:tc>
      </w:tr>
      <w:tr>
        <w:tc>
          <w:tcPr>
            <w:tcW w:type="dxa" w:w="2120"/>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Elaborado por:</w:t>
            </w:r>
          </w:p>
          <w:p>
            <w:pPr>
              <w:spacing w:after="20" w:before="0"/>
              <w:jc w:val="center"/>
            </w:pPr>
            <w:r>
              <w:rPr>
                <w:rFonts w:ascii="Arial" w:cs="Arial" w:eastAsia="Arial" w:hAnsi="Arial"/>
                <w:b w:val="false"/>
                <w:bCs w:val="false"/>
                <w:caps w:val="false"/>
                <w:color w:val="111111"/>
                <w:sz w:val="16"/>
                <w:szCs w:val="16"/>
              </w:rPr>
              <w:t xml:space="preserve">Responsável Técnico</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4915"/>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Verificado por:</w:t>
            </w:r>
          </w:p>
          <w:p>
            <w:pPr>
              <w:spacing w:after="20" w:before="0"/>
              <w:jc w:val="center"/>
            </w:pPr>
            <w:r>
              <w:rPr>
                <w:rFonts w:ascii="Arial" w:cs="Arial" w:eastAsia="Arial" w:hAnsi="Arial"/>
                <w:b w:val="false"/>
                <w:bCs w:val="false"/>
                <w:caps w:val="false"/>
                <w:color w:val="111111"/>
                <w:sz w:val="16"/>
                <w:szCs w:val="16"/>
              </w:rPr>
              <w:t xml:space="preserve">Garantia da Qualidade</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2602"/>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Aprovado por:</w:t>
            </w:r>
          </w:p>
          <w:p>
            <w:pPr>
              <w:spacing w:after="20" w:before="0"/>
              <w:jc w:val="center"/>
            </w:pPr>
            <w:r>
              <w:rPr>
                <w:rFonts w:ascii="Arial" w:cs="Arial" w:eastAsia="Arial" w:hAnsi="Arial"/>
                <w:b w:val="false"/>
                <w:bCs w:val="false"/>
                <w:caps w:val="false"/>
                <w:color w:val="111111"/>
                <w:sz w:val="16"/>
                <w:szCs w:val="16"/>
              </w:rPr>
              <w:t xml:space="preserve">Diretoria / RT</w:t>
            </w:r>
          </w:p>
          <w:p>
            <w:pPr>
              <w:spacing w:after="60" w:before="20"/>
              <w:jc w:val="center"/>
            </w:pPr>
            <w:r>
              <w:rPr>
                <w:rFonts w:ascii="Arial" w:cs="Arial" w:eastAsia="Arial" w:hAnsi="Arial"/>
                <w:b w:val="false"/>
                <w:bCs w:val="false"/>
                <w:caps w:val="false"/>
                <w:color w:val="888888"/>
                <w:sz w:val="15"/>
                <w:szCs w:val="15"/>
              </w:rPr>
              <w:t xml:space="preserve">_____ / ____/____</w:t>
            </w:r>
          </w:p>
        </w:tc>
      </w:tr>
    </w:tbl>
    <w:p>
      <w:pPr>
        <w:spacing w:after="80" w:before="16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 OBJETIVO</w:t>
      </w:r>
    </w:p>
    <w:p>
      <w:pPr>
        <w:spacing w:after="80" w:before="80"/>
        <w:jc w:val="both"/>
      </w:pPr>
      <w:r>
        <w:rPr>
          <w:rFonts w:ascii="Arial" w:cs="Arial" w:eastAsia="Arial" w:hAnsi="Arial"/>
          <w:b w:val="false"/>
          <w:bCs w:val="false"/>
          <w:caps w:val="false"/>
          <w:color w:val="111111"/>
          <w:sz w:val="20"/>
          <w:szCs w:val="20"/>
        </w:rPr>
        <w:t xml:space="preserve">Padronizar o processo de preparação da massa, dosagem nos moldes, resfriamento/gelificação e desmoldagem de suplementos na forma de gummies (balas gelatinosas), controlando os parâmetros críticos de temperatura, pH, Brix e atividade de água para garantir a qualidade, a uniformidade e a segurança do produto.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2. CAMPO DE APLICAÇÃO</w:t>
      </w:r>
    </w:p>
    <w:p>
      <w:pPr>
        <w:spacing w:after="80" w:before="80"/>
        <w:jc w:val="both"/>
      </w:pPr>
      <w:r>
        <w:rPr>
          <w:rFonts w:ascii="Arial" w:cs="Arial" w:eastAsia="Arial" w:hAnsi="Arial"/>
          <w:b w:val="false"/>
          <w:bCs w:val="false"/>
          <w:caps w:val="false"/>
          <w:color w:val="111111"/>
          <w:sz w:val="20"/>
          <w:szCs w:val="20"/>
        </w:rPr>
        <w:t xml:space="preserve">Aplica-se à produção de gummies à base de gelatina e/ou pectina, em todos os sabores e formatos produzidos nesta indústria. Inclui as etapas desde a preparação do xarope base até a desmoldagem e encaminhamento para acondicionamento.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3. RESPONSABILIDADES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6746"/>
      </w:tblGrid>
      <w:tr>
        <w:trPr>
          <w:tblHeader/>
        </w:trPr>
        <w:tc>
          <w:tcPr>
            <w:tcW w:type="dxa" w:w="289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Função / Cargo</w:t>
            </w:r>
          </w:p>
        </w:tc>
        <w:tc>
          <w:tcPr>
            <w:tcW w:type="dxa" w:w="6746"/>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Responsabilidade</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Operador de Gummies</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Executar todo o processo de moldagem conforme OP, monitorar os parâmetros em processo e registrar os dados.</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Supervisor de Produção</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Supervisionar o processo, verificar os parâmetros críticos (temperatura, Brix, pH) e autorizar a liberação para desmoldagem.</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Controle de Qualidade</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Realizar análises em processo (Brix, pH, atividade de água) e inspecionar as unidades desmoldadas.</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Manutenção</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Manter o equipamento de cozimento, a bomba dosadora e o sistema de resfriamento em condições operacionais.</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4. DEFINIÇÕES E ABREVIAÇÕES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698"/>
        <w:gridCol w:w="6939"/>
      </w:tblGrid>
      <w:tr>
        <w:trPr>
          <w:tblHeader/>
        </w:trPr>
        <w:tc>
          <w:tcPr>
            <w:tcW w:type="dxa" w:w="2698"/>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Termo / Sigla</w:t>
            </w:r>
          </w:p>
        </w:tc>
        <w:tc>
          <w:tcPr>
            <w:tcW w:type="dxa" w:w="693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Definição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Brix</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Escala de concentração de sólidos solúveis em solução (°Brix). Para gummies: 70–80 °Brix é o range típico pós-cozimento.</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Atividade de água (aw)</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Medida da água livre disponível para reações químicas e crescimento microbiano. Para gummies: aw ≤ 0,60 é o critério de segurança microbiológica.</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Gelificação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Processo de solidificação do gummy nos moldes por resfriamento, resultando na textura elástica e coesa característica.</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Desmoldagem</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Operação de remoção dos gummies solidificados dos moldes por inversão ou por sistema mecânico.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Bloom</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Resistência ao gel da gelatina, expressa em gramas de força (g Bloom). Impacta a firmeza do produto final.</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Pectina</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Polissacarídeo natural extraído de frutas; alternativa à gelatina para formulações veganas/vegetarianas.</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Xarope base</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Solução concentrada de sacarose, xarope de glicose ou poliol utilizada como matriz do gummy.</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5. MATERIAIS, EQUIPAMENTOS E EPIs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Gelatina em pó (grau alimentício, Bloom conforme especificação) ou pectina – lote aprovado pelo CQ</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Xarope base: sacarose, xarope de glicose (DE≥42), sorbitol ou eritritol conforme fórmula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Ingredientes ativos conforme fórmula (pesados conforme POP-PROD-006)</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Aromatizantes e corantes aprovados (IN 28/2018 e RDC 243/2018)</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Moldes de policarbonato, silicone ou PEAD, limpos e sanitizados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Panela de cozimento com controle de temperatura (max. 110 °C)</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Bomba dosadora ou pistola de deposição com controle de volume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Termômetro ou sonda de temperatura calibrada (±0,5 °C)</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Refratômetro calibrado (Brix 0–100)</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pHmetro calibrado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Medidor de atividade de água (aw meter) calibrado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EPI: jaleco, luvas de borracha (resistente a calor), avental, óculos, máscara cirúrgica, touca, propé</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6. PROCEDIMENTO DETALHADO</w:t>
      </w:r>
    </w:p>
    <w:p>
      <w:pPr>
        <w:spacing w:after="60" w:before="140"/>
        <w:jc w:val="left"/>
      </w:pPr>
      <w:r>
        <w:rPr>
          <w:rFonts w:ascii="Arial" w:cs="Arial" w:eastAsia="Arial" w:hAnsi="Arial"/>
          <w:b/>
          <w:bCs/>
          <w:caps w:val="false"/>
          <w:color w:val="1F3864"/>
          <w:sz w:val="20"/>
          <w:szCs w:val="20"/>
        </w:rPr>
        <w:t xml:space="preserve">6.1 Preparação e Higienização dos Moldes</w:t>
      </w:r>
    </w:p>
    <w:p>
      <w:pPr>
        <w:pStyle w:val="ListParagraph"/>
        <w:numPr>
          <w:ilvl w:val="0"/>
          <w:numId w:val="13"/>
        </w:numPr>
        <w:spacing w:after="80" w:before="80"/>
        <w:jc w:val="both"/>
      </w:pPr>
      <w:r>
        <w:rPr>
          <w:rFonts w:ascii="Arial" w:cs="Arial" w:eastAsia="Arial" w:hAnsi="Arial"/>
          <w:b w:val="false"/>
          <w:bCs w:val="false"/>
          <w:caps w:val="false"/>
          <w:color w:val="111111"/>
          <w:sz w:val="20"/>
          <w:szCs w:val="20"/>
        </w:rPr>
        <w:t xml:space="preserve">Higienizar os moldes conforme POP-LIMP-001 e registrar. Verificar a integridade dos moldes: ausência de trincas, deformações ou resíduos. Moldes danificados não devem ser utilizados.</w:t>
      </w:r>
    </w:p>
    <w:p>
      <w:pPr>
        <w:pStyle w:val="ListParagraph"/>
        <w:numPr>
          <w:ilvl w:val="0"/>
          <w:numId w:val="13"/>
        </w:numPr>
        <w:spacing w:after="80" w:before="80"/>
        <w:jc w:val="both"/>
      </w:pPr>
      <w:r>
        <w:rPr>
          <w:rFonts w:ascii="Arial" w:cs="Arial" w:eastAsia="Arial" w:hAnsi="Arial"/>
          <w:b w:val="false"/>
          <w:bCs w:val="false"/>
          <w:caps w:val="false"/>
          <w:color w:val="111111"/>
          <w:sz w:val="20"/>
          <w:szCs w:val="20"/>
        </w:rPr>
        <w:t xml:space="preserve">Lubrifar levemente os moldes com óleo mineral USP ou spray antiaderente aprovado, se especificado na fórmula. Excesso de lubrificante afeta a aparência do produto – aplicar com tecido limpo e homogeneamente.</w:t>
      </w:r>
    </w:p>
    <w:p>
      <w:pPr>
        <w:spacing w:after="60" w:before="140"/>
        <w:jc w:val="left"/>
      </w:pPr>
      <w:r>
        <w:rPr>
          <w:rFonts w:ascii="Arial" w:cs="Arial" w:eastAsia="Arial" w:hAnsi="Arial"/>
          <w:b/>
          <w:bCs/>
          <w:caps w:val="false"/>
          <w:color w:val="1F3864"/>
          <w:sz w:val="20"/>
          <w:szCs w:val="20"/>
        </w:rPr>
        <w:t xml:space="preserve">6.2 Hidratação da Gelatina (ou Pectina)</w:t>
      </w:r>
    </w:p>
    <w:p>
      <w:pPr>
        <w:pStyle w:val="ListParagraph"/>
        <w:numPr>
          <w:ilvl w:val="0"/>
          <w:numId w:val="13"/>
        </w:numPr>
        <w:spacing w:after="80" w:before="80"/>
        <w:jc w:val="both"/>
      </w:pPr>
      <w:r>
        <w:rPr>
          <w:rFonts w:ascii="Arial" w:cs="Arial" w:eastAsia="Arial" w:hAnsi="Arial"/>
          <w:b w:val="false"/>
          <w:bCs w:val="false"/>
          <w:caps w:val="false"/>
          <w:color w:val="111111"/>
          <w:sz w:val="20"/>
          <w:szCs w:val="20"/>
        </w:rPr>
        <w:t xml:space="preserve">Hidratar a gelatina em água fria purificada (razão 1:1 a 1:2 conforme especificação da fórmula). Deixar hidratar por no mínimo 30 minutos antes de incorporar ao xarope.</w:t>
      </w:r>
    </w:p>
    <w:p>
      <w:pPr>
        <w:pBdr>
          <w:left w:val="single" w:color="2E75B6" w:sz="12"/>
        </w:pBdr>
        <w:spacing w:after="80" w:before="80"/>
        <w:ind w:left="600"/>
      </w:pPr>
      <w:r>
        <w:rPr>
          <w:rFonts w:ascii="Arial" w:cs="Arial" w:eastAsia="Arial" w:hAnsi="Arial"/>
          <w:b/>
          <w:bCs/>
          <w:caps w:val="false"/>
          <w:color w:val="2E75B6"/>
          <w:sz w:val="18"/>
          <w:szCs w:val="18"/>
        </w:rPr>
        <w:t xml:space="preserve">NOTA: </w:t>
      </w:r>
      <w:r>
        <w:rPr>
          <w:rFonts w:ascii="Arial" w:cs="Arial" w:eastAsia="Arial" w:hAnsi="Arial"/>
          <w:b w:val="false"/>
          <w:bCs w:val="false"/>
          <w:caps w:val="false"/>
          <w:color w:val="111111"/>
          <w:sz w:val="18"/>
          <w:szCs w:val="18"/>
        </w:rPr>
        <w:t xml:space="preserve">Para pectina: dispersar na fase quente (&gt; 80 °C) com agitação constante. Não hidratar previamente em água fria – pode formar grumos insolúveis.</w:t>
      </w:r>
    </w:p>
    <w:p>
      <w:pPr>
        <w:spacing w:after="60" w:before="140"/>
        <w:jc w:val="left"/>
      </w:pPr>
      <w:r>
        <w:rPr>
          <w:rFonts w:ascii="Arial" w:cs="Arial" w:eastAsia="Arial" w:hAnsi="Arial"/>
          <w:b/>
          <w:bCs/>
          <w:caps w:val="false"/>
          <w:color w:val="1F3864"/>
          <w:sz w:val="20"/>
          <w:szCs w:val="20"/>
        </w:rPr>
        <w:t xml:space="preserve">6.3 Preparação do Xarope Base e Cozimento</w:t>
      </w:r>
    </w:p>
    <w:p>
      <w:pPr>
        <w:pStyle w:val="ListParagraph"/>
        <w:numPr>
          <w:ilvl w:val="0"/>
          <w:numId w:val="13"/>
        </w:numPr>
        <w:spacing w:after="80" w:before="80"/>
        <w:jc w:val="both"/>
      </w:pPr>
      <w:r>
        <w:rPr>
          <w:rFonts w:ascii="Arial" w:cs="Arial" w:eastAsia="Arial" w:hAnsi="Arial"/>
          <w:b w:val="false"/>
          <w:bCs w:val="false"/>
          <w:caps w:val="false"/>
          <w:color w:val="111111"/>
          <w:sz w:val="20"/>
          <w:szCs w:val="20"/>
        </w:rPr>
        <w:t xml:space="preserve">Adicionar o xarope base (sacarose + glicose ou poliol) ao tacho de cozimento. Aquecimentar a 107–110 °C sob agitação até atingir o Brix especificado (tipicamente 78–82 °Brix pós-cozimento). Verificar e registrar o Brix com refratômetro.</w:t>
      </w:r>
    </w:p>
    <w:p>
      <w:pPr>
        <w:pStyle w:val="ListParagraph"/>
        <w:numPr>
          <w:ilvl w:val="0"/>
          <w:numId w:val="13"/>
        </w:numPr>
        <w:spacing w:after="80" w:before="80"/>
        <w:jc w:val="both"/>
      </w:pPr>
      <w:r>
        <w:rPr>
          <w:rFonts w:ascii="Arial" w:cs="Arial" w:eastAsia="Arial" w:hAnsi="Arial"/>
          <w:b w:val="false"/>
          <w:bCs w:val="false"/>
          <w:caps w:val="false"/>
          <w:color w:val="111111"/>
          <w:sz w:val="20"/>
          <w:szCs w:val="20"/>
        </w:rPr>
        <w:t xml:space="preserve">Reduzir a temperatura para 80–90 °C (conforme fórmula) antes de incorporar a gelatina hidratada. Adicionar a gelatina sob agitação constante para evitar grumos. Homogeneizar até dissolução completa (mín. 5 min).</w:t>
      </w:r>
    </w:p>
    <w:p>
      <w:pPr>
        <w:pBdr>
          <w:left w:val="single" w:color="C00000" w:sz="12"/>
        </w:pBdr>
        <w:spacing w:after="100" w:before="100"/>
        <w:ind w:left="600"/>
      </w:pPr>
      <w:r>
        <w:rPr>
          <w:rFonts w:ascii="Arial" w:cs="Arial" w:eastAsia="Arial" w:hAnsi="Arial"/>
          <w:b/>
          <w:bCs/>
          <w:caps w:val="false"/>
          <w:color w:val="C00000"/>
          <w:sz w:val="20"/>
          <w:szCs w:val="20"/>
        </w:rPr>
        <w:t xml:space="preserve">ATENÇÃO: </w:t>
      </w:r>
      <w:r>
        <w:rPr>
          <w:rFonts w:ascii="Arial" w:cs="Arial" w:eastAsia="Arial" w:hAnsi="Arial"/>
          <w:b/>
          <w:bCs/>
          <w:caps w:val="false"/>
          <w:color w:val="C00000"/>
          <w:sz w:val="20"/>
          <w:szCs w:val="20"/>
        </w:rPr>
        <w:t xml:space="preserve">Nunca adicionar gelatina em temperatura &gt; 90 °C – ocorre hidrólise da proteína, comprometendo a gelificação. Monitorar a temperatura constantemente com termômetro calibrado.</w:t>
      </w:r>
    </w:p>
    <w:p>
      <w:pPr>
        <w:spacing w:after="60" w:before="140"/>
        <w:jc w:val="left"/>
      </w:pPr>
      <w:r>
        <w:rPr>
          <w:rFonts w:ascii="Arial" w:cs="Arial" w:eastAsia="Arial" w:hAnsi="Arial"/>
          <w:b/>
          <w:bCs/>
          <w:caps w:val="false"/>
          <w:color w:val="1F3864"/>
          <w:sz w:val="20"/>
          <w:szCs w:val="20"/>
        </w:rPr>
        <w:t xml:space="preserve">6.4 Adição dos Ingredientes Ativos</w:t>
      </w:r>
    </w:p>
    <w:p>
      <w:pPr>
        <w:pStyle w:val="ListParagraph"/>
        <w:numPr>
          <w:ilvl w:val="0"/>
          <w:numId w:val="13"/>
        </w:numPr>
        <w:spacing w:after="80" w:before="80"/>
        <w:jc w:val="both"/>
      </w:pPr>
      <w:r>
        <w:rPr>
          <w:rFonts w:ascii="Arial" w:cs="Arial" w:eastAsia="Arial" w:hAnsi="Arial"/>
          <w:b w:val="false"/>
          <w:bCs w:val="false"/>
          <w:caps w:val="false"/>
          <w:color w:val="111111"/>
          <w:sz w:val="20"/>
          <w:szCs w:val="20"/>
        </w:rPr>
        <w:t xml:space="preserve">Reduzir a temperatura da massa para o limite máximo de estabilidade dos ativos (geralmente 60–70 °C; confirmar na fórmula para cada ingrediente termolábil). Adicionar os ativos conforme sequência da OP.</w:t>
      </w:r>
    </w:p>
    <w:p>
      <w:pPr>
        <w:pStyle w:val="ListParagraph"/>
        <w:numPr>
          <w:ilvl w:val="0"/>
          <w:numId w:val="13"/>
        </w:numPr>
        <w:spacing w:after="80" w:before="80"/>
        <w:jc w:val="both"/>
      </w:pPr>
      <w:r>
        <w:rPr>
          <w:rFonts w:ascii="Arial" w:cs="Arial" w:eastAsia="Arial" w:hAnsi="Arial"/>
          <w:b w:val="false"/>
          <w:bCs w:val="false"/>
          <w:caps w:val="false"/>
          <w:color w:val="111111"/>
          <w:sz w:val="20"/>
          <w:szCs w:val="20"/>
        </w:rPr>
        <w:t xml:space="preserve">Verificar pH após adição dos ativos (tipicamente 3,5–4,5 para gummies de frutas). Ajustar com ácido cítrico ou citrato de sódio, se necessário. Registrar pH em FOR-PROD-009.</w:t>
      </w:r>
    </w:p>
    <w:p>
      <w:pPr>
        <w:pStyle w:val="ListParagraph"/>
        <w:numPr>
          <w:ilvl w:val="0"/>
          <w:numId w:val="13"/>
        </w:numPr>
        <w:spacing w:after="80" w:before="80"/>
        <w:jc w:val="both"/>
      </w:pPr>
      <w:r>
        <w:rPr>
          <w:rFonts w:ascii="Arial" w:cs="Arial" w:eastAsia="Arial" w:hAnsi="Arial"/>
          <w:b w:val="false"/>
          <w:bCs w:val="false"/>
          <w:caps w:val="false"/>
          <w:color w:val="111111"/>
          <w:sz w:val="20"/>
          <w:szCs w:val="20"/>
        </w:rPr>
        <w:t xml:space="preserve">Coletar amostra de 20 mL para análise do CQ: Brix, pH e aspecto. Aguardar aprovação antes de dosagem.</w:t>
      </w:r>
    </w:p>
    <w:p>
      <w:pPr>
        <w:spacing w:after="60" w:before="140"/>
        <w:jc w:val="left"/>
      </w:pPr>
      <w:r>
        <w:rPr>
          <w:rFonts w:ascii="Arial" w:cs="Arial" w:eastAsia="Arial" w:hAnsi="Arial"/>
          <w:b/>
          <w:bCs/>
          <w:caps w:val="false"/>
          <w:color w:val="1F3864"/>
          <w:sz w:val="20"/>
          <w:szCs w:val="20"/>
        </w:rPr>
        <w:t xml:space="preserve">6.5 Deposição nos Moldes</w:t>
      </w:r>
    </w:p>
    <w:p>
      <w:pPr>
        <w:pStyle w:val="ListParagraph"/>
        <w:numPr>
          <w:ilvl w:val="0"/>
          <w:numId w:val="13"/>
        </w:numPr>
        <w:spacing w:after="80" w:before="80"/>
        <w:jc w:val="both"/>
      </w:pPr>
      <w:r>
        <w:rPr>
          <w:rFonts w:ascii="Arial" w:cs="Arial" w:eastAsia="Arial" w:hAnsi="Arial"/>
          <w:b w:val="false"/>
          <w:bCs w:val="false"/>
          <w:caps w:val="false"/>
          <w:color w:val="111111"/>
          <w:sz w:val="20"/>
          <w:szCs w:val="20"/>
        </w:rPr>
        <w:t xml:space="preserve">Ajustar a temperatura de deposição para a faixa especificada (tipicamente 60–70 °C). Temperatura abaixo: inicia a gelificação antes da deposição (grumos nos moldes). Temperatura acima: possível degradação de ativos.</w:t>
      </w:r>
    </w:p>
    <w:p>
      <w:pPr>
        <w:pStyle w:val="ListParagraph"/>
        <w:numPr>
          <w:ilvl w:val="0"/>
          <w:numId w:val="13"/>
        </w:numPr>
        <w:spacing w:after="80" w:before="80"/>
        <w:jc w:val="both"/>
      </w:pPr>
      <w:r>
        <w:rPr>
          <w:rFonts w:ascii="Arial" w:cs="Arial" w:eastAsia="Arial" w:hAnsi="Arial"/>
          <w:b w:val="false"/>
          <w:bCs w:val="false"/>
          <w:caps w:val="false"/>
          <w:color w:val="111111"/>
          <w:sz w:val="20"/>
          <w:szCs w:val="20"/>
        </w:rPr>
        <w:t xml:space="preserve">Dosar a massa nos moldes com bomba dosadora ou pistola de volume. Verificar peso de 10 cavidades a cada 20 min: peso individual dentro de ± 5% do nominal. Registrar em FOR-PROD-009.</w:t>
      </w:r>
    </w:p>
    <w:p>
      <w:pPr>
        <w:spacing w:after="60" w:before="140"/>
        <w:jc w:val="left"/>
      </w:pPr>
      <w:r>
        <w:rPr>
          <w:rFonts w:ascii="Arial" w:cs="Arial" w:eastAsia="Arial" w:hAnsi="Arial"/>
          <w:b/>
          <w:bCs/>
          <w:caps w:val="false"/>
          <w:color w:val="1F3864"/>
          <w:sz w:val="20"/>
          <w:szCs w:val="20"/>
        </w:rPr>
        <w:t xml:space="preserve">6.6 Resfriamento e Gelificação</w:t>
      </w:r>
    </w:p>
    <w:p>
      <w:pPr>
        <w:pStyle w:val="ListParagraph"/>
        <w:numPr>
          <w:ilvl w:val="0"/>
          <w:numId w:val="13"/>
        </w:numPr>
        <w:spacing w:after="80" w:before="80"/>
        <w:jc w:val="both"/>
      </w:pPr>
      <w:r>
        <w:rPr>
          <w:rFonts w:ascii="Arial" w:cs="Arial" w:eastAsia="Arial" w:hAnsi="Arial"/>
          <w:b w:val="false"/>
          <w:bCs w:val="false"/>
          <w:caps w:val="false"/>
          <w:color w:val="111111"/>
          <w:sz w:val="20"/>
          <w:szCs w:val="20"/>
        </w:rPr>
        <w:t xml:space="preserve">Levar os moldes preenchidos para a câmara de resfriamento (10–15 °C) ou deixar em ambiente climatizado (18–22 °C) por no mínimo 30 min (ou conforme especificação de textura). Não movimentar os moldes durante a gelificação.</w:t>
      </w:r>
    </w:p>
    <w:p>
      <w:pPr>
        <w:pStyle w:val="ListParagraph"/>
        <w:numPr>
          <w:ilvl w:val="0"/>
          <w:numId w:val="13"/>
        </w:numPr>
        <w:spacing w:after="80" w:before="80"/>
        <w:jc w:val="both"/>
      </w:pPr>
      <w:r>
        <w:rPr>
          <w:rFonts w:ascii="Arial" w:cs="Arial" w:eastAsia="Arial" w:hAnsi="Arial"/>
          <w:b w:val="false"/>
          <w:bCs w:val="false"/>
          <w:caps w:val="false"/>
          <w:color w:val="111111"/>
          <w:sz w:val="20"/>
          <w:szCs w:val="20"/>
        </w:rPr>
        <w:t xml:space="preserve">Verificar a gelificação pelo teste manual: o gummy deve estar firme e elástico, sem líquido residual no centro. Se não gelificado após o tempo mínimo, aguardar mais 15 min e retestar.</w:t>
      </w:r>
    </w:p>
    <w:p>
      <w:pPr>
        <w:spacing w:after="60" w:before="140"/>
        <w:jc w:val="left"/>
      </w:pPr>
      <w:r>
        <w:rPr>
          <w:rFonts w:ascii="Arial" w:cs="Arial" w:eastAsia="Arial" w:hAnsi="Arial"/>
          <w:b/>
          <w:bCs/>
          <w:caps w:val="false"/>
          <w:color w:val="1F3864"/>
          <w:sz w:val="20"/>
          <w:szCs w:val="20"/>
        </w:rPr>
        <w:t xml:space="preserve">6.7 Desmoldagem e Inspeção</w:t>
      </w:r>
    </w:p>
    <w:p>
      <w:pPr>
        <w:pStyle w:val="ListParagraph"/>
        <w:numPr>
          <w:ilvl w:val="0"/>
          <w:numId w:val="13"/>
        </w:numPr>
        <w:spacing w:after="80" w:before="80"/>
        <w:jc w:val="both"/>
      </w:pPr>
      <w:r>
        <w:rPr>
          <w:rFonts w:ascii="Arial" w:cs="Arial" w:eastAsia="Arial" w:hAnsi="Arial"/>
          <w:b w:val="false"/>
          <w:bCs w:val="false"/>
          <w:caps w:val="false"/>
          <w:color w:val="111111"/>
          <w:sz w:val="20"/>
          <w:szCs w:val="20"/>
        </w:rPr>
        <w:t xml:space="preserve">Desmordar invertendo os moldes sobre bandeja de coleta. Unidades não desmoldadas podem ser removidas com pressão suave. Não usar objetos cortantes que possam contaminar o produto.</w:t>
      </w:r>
    </w:p>
    <w:p>
      <w:pPr>
        <w:pStyle w:val="ListParagraph"/>
        <w:numPr>
          <w:ilvl w:val="0"/>
          <w:numId w:val="13"/>
        </w:numPr>
        <w:spacing w:after="80" w:before="80"/>
        <w:jc w:val="both"/>
      </w:pPr>
      <w:r>
        <w:rPr>
          <w:rFonts w:ascii="Arial" w:cs="Arial" w:eastAsia="Arial" w:hAnsi="Arial"/>
          <w:b w:val="false"/>
          <w:bCs w:val="false"/>
          <w:caps w:val="false"/>
          <w:color w:val="111111"/>
          <w:sz w:val="20"/>
          <w:szCs w:val="20"/>
        </w:rPr>
        <w:t xml:space="preserve">Inspecionar visualmente 2% das unidades: forma íntegra, ausência de bolhas de ar, cor e aspecto uniforme. Segregar unidades defeituosas (deformadas, com bolhas, mal formadas) para descarte.</w:t>
      </w:r>
    </w:p>
    <w:p>
      <w:pPr>
        <w:pStyle w:val="ListParagraph"/>
        <w:numPr>
          <w:ilvl w:val="0"/>
          <w:numId w:val="13"/>
        </w:numPr>
        <w:spacing w:after="80" w:before="80"/>
        <w:jc w:val="both"/>
      </w:pPr>
      <w:r>
        <w:rPr>
          <w:rFonts w:ascii="Arial" w:cs="Arial" w:eastAsia="Arial" w:hAnsi="Arial"/>
          <w:b w:val="false"/>
          <w:bCs w:val="false"/>
          <w:caps w:val="false"/>
          <w:color w:val="111111"/>
          <w:sz w:val="20"/>
          <w:szCs w:val="20"/>
        </w:rPr>
        <w:t xml:space="preserve">Medir a atividade de água (aw) de 5 unidades do lote. Critério: aw ≤ 0,60. Se aw &gt; 0,60, encaminhar para secagem adicional (conforme especificação do produto) e ressamostrar.</w:t>
      </w:r>
    </w:p>
    <w:p>
      <w:pPr>
        <w:spacing w:after="60" w:before="140"/>
        <w:jc w:val="left"/>
      </w:pPr>
      <w:r>
        <w:rPr>
          <w:rFonts w:ascii="Arial" w:cs="Arial" w:eastAsia="Arial" w:hAnsi="Arial"/>
          <w:b/>
          <w:bCs/>
          <w:caps w:val="false"/>
          <w:color w:val="1F3864"/>
          <w:sz w:val="20"/>
          <w:szCs w:val="20"/>
        </w:rPr>
        <w:t xml:space="preserve">6.8 Encerramento</w:t>
      </w:r>
    </w:p>
    <w:p>
      <w:pPr>
        <w:pStyle w:val="ListParagraph"/>
        <w:numPr>
          <w:ilvl w:val="0"/>
          <w:numId w:val="13"/>
        </w:numPr>
        <w:spacing w:after="80" w:before="80"/>
        <w:jc w:val="both"/>
      </w:pPr>
      <w:r>
        <w:rPr>
          <w:rFonts w:ascii="Arial" w:cs="Arial" w:eastAsia="Arial" w:hAnsi="Arial"/>
          <w:b w:val="false"/>
          <w:bCs w:val="false"/>
          <w:caps w:val="false"/>
          <w:color w:val="111111"/>
          <w:sz w:val="20"/>
          <w:szCs w:val="20"/>
        </w:rPr>
        <w:t xml:space="preserve">Registrar na OP: quantidade desmoldada (unidades), refugo, rendimento. Encaminhar o lote para acondicionamento/embalagem conforme OP.</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7. FREQUÊNCIA DE EXECUÇÃO</w:t>
      </w:r>
    </w:p>
    <w:p>
      <w:pPr>
        <w:spacing w:after="80" w:before="80"/>
        <w:jc w:val="both"/>
      </w:pPr>
      <w:r>
        <w:rPr>
          <w:rFonts w:ascii="Arial" w:cs="Arial" w:eastAsia="Arial" w:hAnsi="Arial"/>
          <w:b w:val="false"/>
          <w:bCs w:val="false"/>
          <w:caps w:val="false"/>
          <w:color w:val="111111"/>
          <w:sz w:val="20"/>
          <w:szCs w:val="20"/>
        </w:rPr>
        <w:t xml:space="preserve">A cada lote de gummies produzido.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8. REGISTROS OBRIGATÓRIOS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FOR-PROD-009 – Registro de Produção de Gummies (T de cozimento, Brix, pH, peso por cavidade, aw)</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FOR-PROD-001 – Ordem de Produção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FOR-AMBI-001 – Controle Ambiental</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FOR-LIMP-002 – Limpeza dos Moldes e Equipamentos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FOR-CQ-013 – Resultado de Atividade de Água e Inspeção Visual</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9. CRITÉRIOS DE ACEITAÇÃO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Brix pós-cozimento: 78–82 °Brix (ou conforme especificação da fórmula)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pH do produto: 3,5–4,5 (ou conforme especificação; tolerância ± 0,2)</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Temperatura de adição de gelatina: ≤ 90 °C (gelificação adequada)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Temperatura de deposição: 60–70 °C (ou conforme especificação)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Peso individual por cavidade: ± 5% do nominal</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Atividade de água (aw): ≤ 0,60 no produto desmoldado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Inspeção visual: ≤ 2% de unidades com defeito; taxa de defeito &gt; 2% exige investigação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10. PONTOS CRÍTICOS DE CONTROLE (PCC / HACCP)</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675"/>
        <w:gridCol w:w="1735"/>
        <w:gridCol w:w="2024"/>
        <w:gridCol w:w="3469"/>
        <w:gridCol w:w="1735"/>
      </w:tblGrid>
      <w:tr>
        <w:trPr>
          <w:tblHeader/>
        </w:trPr>
        <w:tc>
          <w:tcPr>
            <w:tcW w:type="dxa" w:w="67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PCC</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Parâmetro</w:t>
            </w:r>
          </w:p>
        </w:tc>
        <w:tc>
          <w:tcPr>
            <w:tcW w:type="dxa" w:w="202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Limite Crítico</w:t>
            </w:r>
          </w:p>
        </w:tc>
        <w:tc>
          <w:tcPr>
            <w:tcW w:type="dxa" w:w="346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Ação Corretiva</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Frequência</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PCC1</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Temperatura de adição da gelatina</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90 °C</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Resfriamento imediato do tacho. Se gelatina já foi adicionada acima de 90 °C, avaliar gelificação em teste piloto. Se não gelificar adequadamente, reprovar lote.</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Monitoramento contínuo com termômetro (a cada 5 min)</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PCC2</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Brix pós-cozimento</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78–82 °Brix</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Se &lt; 78: continuar cozimento. Se &gt; 82: adicionar xarope diluído calculado. Retestar e registrar.</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Por lote (antes de adição da gelatina)</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PCC3</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Atividade de água (aw)</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aw ≤ 0,60</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Se aw &gt; 0,60: retornar ao processo de secagem (câmara seca ou estufa conforme protocolo). Retestar. Se persistir &gt; 0,65 após secagem: reprovar lote por risco microbiológico.</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Por lote (5 unidades pós-desmoldagem)</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PCC4</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Peso individual por cavidade</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5% do nominal</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Reajustar dosadora. Segregar gummies produzidos fora de especificação. Registrar desvio.</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 cada 20 min durante deposição</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11. AÇÕES CORRETIVAS EM CASO DE DESVIO</w:t>
      </w:r>
    </w:p>
    <w:p>
      <w:pPr>
        <w:pStyle w:val="ListParagraph"/>
        <w:numPr>
          <w:ilvl w:val="0"/>
          <w:numId w:val="14"/>
        </w:numPr>
        <w:spacing w:after="80" w:before="80"/>
        <w:jc w:val="both"/>
      </w:pPr>
      <w:r>
        <w:rPr>
          <w:rFonts w:ascii="Arial" w:cs="Arial" w:eastAsia="Arial" w:hAnsi="Arial"/>
          <w:b w:val="false"/>
          <w:bCs w:val="false"/>
          <w:caps w:val="false"/>
          <w:color w:val="111111"/>
          <w:sz w:val="20"/>
          <w:szCs w:val="20"/>
        </w:rPr>
        <w:t xml:space="preserve">Temperatura de adição acima de 90 °C: registrar NC crítica. Avaliar gelificação em amostra piloto. Acionar RT para decisão sobre aproveitamento ou descarte do lote.</w:t>
      </w:r>
    </w:p>
    <w:p>
      <w:pPr>
        <w:pStyle w:val="ListParagraph"/>
        <w:numPr>
          <w:ilvl w:val="0"/>
          <w:numId w:val="14"/>
        </w:numPr>
        <w:spacing w:after="80" w:before="80"/>
        <w:jc w:val="both"/>
      </w:pPr>
      <w:r>
        <w:rPr>
          <w:rFonts w:ascii="Arial" w:cs="Arial" w:eastAsia="Arial" w:hAnsi="Arial"/>
          <w:b w:val="false"/>
          <w:bCs w:val="false"/>
          <w:caps w:val="false"/>
          <w:color w:val="111111"/>
          <w:sz w:val="20"/>
          <w:szCs w:val="20"/>
        </w:rPr>
        <w:t xml:space="preserve">aw &gt; 0,60: não embalar o produto. Colocar em câmara de secagem. Retestar após secagem adicional. Se aw &gt; 0,65 após segunda secagem: reprovar lote por risco de crescimento microbiano.</w:t>
      </w:r>
    </w:p>
    <w:p>
      <w:pPr>
        <w:pStyle w:val="ListParagraph"/>
        <w:numPr>
          <w:ilvl w:val="0"/>
          <w:numId w:val="14"/>
        </w:numPr>
        <w:spacing w:after="80" w:before="80"/>
        <w:jc w:val="both"/>
      </w:pPr>
      <w:r>
        <w:rPr>
          <w:rFonts w:ascii="Arial" w:cs="Arial" w:eastAsia="Arial" w:hAnsi="Arial"/>
          <w:b w:val="false"/>
          <w:bCs w:val="false"/>
          <w:caps w:val="false"/>
          <w:color w:val="111111"/>
          <w:sz w:val="20"/>
          <w:szCs w:val="20"/>
        </w:rPr>
        <w:t xml:space="preserve">Defeitos visuais &gt; 2%: inspecionar 100% do lote. Investigar causa (temperatura de deposição, qualidade dos moldes, viscosidade da massa). Registrar NC.</w:t>
      </w:r>
    </w:p>
    <w:p>
      <w:pPr>
        <w:pStyle w:val="ListParagraph"/>
        <w:numPr>
          <w:ilvl w:val="0"/>
          <w:numId w:val="14"/>
        </w:numPr>
        <w:spacing w:after="80" w:before="80"/>
        <w:jc w:val="both"/>
      </w:pPr>
      <w:r>
        <w:rPr>
          <w:rFonts w:ascii="Arial" w:cs="Arial" w:eastAsia="Arial" w:hAnsi="Arial"/>
          <w:b w:val="false"/>
          <w:bCs w:val="false"/>
          <w:caps w:val="false"/>
          <w:color w:val="111111"/>
          <w:sz w:val="20"/>
          <w:szCs w:val="20"/>
        </w:rPr>
        <w:t xml:space="preserve">Brix fora do range: corrigir antes de adição da gelatina. Após adição da gelatina, a correção é inviável – avaliar impacto na textura e registrar desvio.</w:t>
      </w:r>
    </w:p>
    <w:p>
      <w:pPr>
        <w:pStyle w:val="ListParagraph"/>
        <w:numPr>
          <w:ilvl w:val="0"/>
          <w:numId w:val="14"/>
        </w:numPr>
        <w:spacing w:after="80" w:before="80"/>
        <w:jc w:val="both"/>
      </w:pPr>
      <w:r>
        <w:rPr>
          <w:rFonts w:ascii="Arial" w:cs="Arial" w:eastAsia="Arial" w:hAnsi="Arial"/>
          <w:b w:val="false"/>
          <w:bCs w:val="false"/>
          <w:caps w:val="false"/>
          <w:color w:val="111111"/>
          <w:sz w:val="20"/>
          <w:szCs w:val="20"/>
        </w:rPr>
        <w:t xml:space="preserve">Registrar todos os desvios em FOR-NC-001. Abrir CAPA para desvios recorrentes.</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12. FORMULÁRIOS E DOCUMENTOS RELACIONADOS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FOR-PROD-001 – Ordem de Produção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FOR-PROD-009 – Registro de Produção de Gummies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FOR-CQ-013 – Atividade de Água e Inspeção Visual</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FOR-AMBI-001 – Controle Ambiental</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FOR-LIMP-002 – Limpeza de Equipamentos e Moldes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FOR-NC-001 – Não Conformidade | FOR-GQ-003 – CAPA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13. HISTÓRICO DE REVISÕES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5493"/>
        <w:gridCol w:w="1831"/>
      </w:tblGrid>
      <w:tr>
        <w:trPr>
          <w:tblHeader/>
        </w:trPr>
        <w:tc>
          <w:tcPr>
            <w:tcW w:type="dxa" w:w="96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Versão</w:t>
            </w:r>
          </w:p>
        </w:tc>
        <w:tc>
          <w:tcPr>
            <w:tcW w:type="dxa" w:w="134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Data</w:t>
            </w:r>
          </w:p>
        </w:tc>
        <w:tc>
          <w:tcPr>
            <w:tcW w:type="dxa" w:w="5493"/>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Descrição</w:t>
            </w:r>
          </w:p>
        </w:tc>
        <w:tc>
          <w:tcPr>
            <w:tcW w:type="dxa" w:w="183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Resp.</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01</w:t>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Jun/2025</w:t>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Emissão inicial do documento.</w:t>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RT/GQ</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r>
    </w:tbl>
    <w:p>
      <w:pPr>
        <w:spacing w:after="100" w:before="200"/>
      </w:pPr>
      <w:r>
        <w:rPr>
          <w:rFonts w:ascii="Arial" w:cs="Arial" w:eastAsia="Arial" w:hAnsi="Arial"/>
          <w:b w:val="false"/>
          <w:bCs w:val="false"/>
          <w:caps w:val="false"/>
          <w:color w:val="111111"/>
          <w:sz w:val="20"/>
          <w:szCs w:val="20"/>
        </w:rPr>
        <w:t xml:space="preserve"/>
      </w:r>
    </w:p>
    <w:p>
      <w:r>
        <w:br w:type="page"/>
      </w:r>
    </w:p>
    <w:p>
      <w:pPr>
        <w:pStyle w:val="Heading1"/>
        <w:spacing w:after="0" w:before="0"/>
      </w:pPr>
      <w:r>
        <w:rPr>
          <w:rFonts w:ascii="Arial" w:cs="Arial" w:eastAsia="Arial" w:hAnsi="Arial"/>
          <w:b w:val="false"/>
          <w:bCs w:val="false"/>
          <w:caps w:val="false"/>
          <w:color w:val="FFFFFF"/>
          <w:sz w:val="2"/>
          <w:szCs w:val="2"/>
        </w:rPr>
        <w:t xml:space="preserve">POP-PROD-011 — Envase de Produtos Acabados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120"/>
        <w:gridCol w:w="4915"/>
        <w:gridCol w:w="2602"/>
      </w:tblGrid>
      <w:tr>
        <w:tc>
          <w:tcPr>
            <w:tcW w:type="dxa" w:w="2120"/>
            <w:vMerge w:val="restart"/>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FFFFFF"/>
                <w:sz w:val="17"/>
                <w:szCs w:val="17"/>
              </w:rPr>
              <w:t xml:space="preserve">INDÚSTRIA DE SUPLEMENTOS</w:t>
            </w:r>
          </w:p>
          <w:p>
            <w:pPr>
              <w:spacing w:after="60" w:before="0"/>
              <w:jc w:val="center"/>
            </w:pPr>
            <w:r>
              <w:rPr>
                <w:rFonts w:ascii="Arial" w:cs="Arial" w:eastAsia="Arial" w:hAnsi="Arial"/>
                <w:b w:val="false"/>
                <w:bCs w:val="false"/>
                <w:caps w:val="false"/>
                <w:color w:val="D6E4F0"/>
                <w:sz w:val="15"/>
                <w:szCs w:val="15"/>
              </w:rPr>
              <w:t xml:space="preserve">Alimentos para Fins Especiais</w:t>
            </w:r>
          </w:p>
        </w:tc>
        <w:tc>
          <w:tcPr>
            <w:tcW w:type="dxa" w:w="4915"/>
            <w:vMerge w:val="restart"/>
            <w:tcBorders>
              <w:top w:val="single" w:color="1F3864" w:sz="4"/>
              <w:left w:val="single" w:color="1F3864" w:sz="4"/>
              <w:bottom w:val="single" w:color="1F3864" w:sz="4"/>
              <w:right w:val="single" w:color="1F3864" w:sz="4"/>
            </w:tcBorders>
            <w:shd w:fill="D6E4F0" w:val="clear"/>
            <w:tcMar>
              <w:top w:type="dxa" w:w="80"/>
              <w:left w:type="dxa" w:w="100"/>
              <w:bottom w:type="dxa" w:w="80"/>
              <w:right w:type="dxa" w:w="100"/>
            </w:tcMar>
            <w:vAlign w:val="center"/>
          </w:tcPr>
          <w:p>
            <w:pPr>
              <w:spacing w:after="40" w:before="60"/>
              <w:jc w:val="center"/>
            </w:pPr>
            <w:r>
              <w:rPr>
                <w:rFonts w:ascii="Arial" w:cs="Arial" w:eastAsia="Arial" w:hAnsi="Arial"/>
                <w:b/>
                <w:bCs/>
                <w:caps/>
                <w:color w:val="1F3864"/>
                <w:sz w:val="17"/>
                <w:szCs w:val="17"/>
              </w:rPr>
              <w:t xml:space="preserve">PROCEDIMENTO OPERACIONAL PADRÃO</w:t>
            </w:r>
          </w:p>
          <w:p>
            <w:pPr>
              <w:spacing w:after="60" w:before="0"/>
              <w:jc w:val="center"/>
            </w:pPr>
            <w:r>
              <w:rPr>
                <w:rFonts w:ascii="Arial" w:cs="Arial" w:eastAsia="Arial" w:hAnsi="Arial"/>
                <w:b/>
                <w:bCs/>
                <w:caps w:val="false"/>
                <w:color w:val="1F3864"/>
                <w:sz w:val="22"/>
                <w:szCs w:val="22"/>
              </w:rPr>
              <w:t xml:space="preserve">Envase de Produtos Acabados</w:t>
            </w: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left"/>
            </w:pPr>
            <w:r>
              <w:rPr>
                <w:rFonts w:ascii="Arial" w:cs="Arial" w:eastAsia="Arial" w:hAnsi="Arial"/>
                <w:b/>
                <w:bCs/>
                <w:caps w:val="false"/>
                <w:color w:val="D6E4F0"/>
                <w:sz w:val="16"/>
                <w:szCs w:val="16"/>
              </w:rPr>
              <w:t xml:space="preserve">Código: </w:t>
            </w:r>
            <w:r>
              <w:rPr>
                <w:rFonts w:ascii="Arial" w:cs="Arial" w:eastAsia="Arial" w:hAnsi="Arial"/>
                <w:b/>
                <w:bCs/>
                <w:caps w:val="false"/>
                <w:color w:val="FFFFFF"/>
                <w:sz w:val="18"/>
                <w:szCs w:val="18"/>
              </w:rPr>
              <w:t xml:space="preserve">POP-PROD-011</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20"/>
              <w:jc w:val="left"/>
            </w:pPr>
            <w:r>
              <w:rPr>
                <w:rFonts w:ascii="Arial" w:cs="Arial" w:eastAsia="Arial" w:hAnsi="Arial"/>
                <w:b/>
                <w:bCs/>
                <w:caps w:val="false"/>
                <w:color w:val="D6E4F0"/>
                <w:sz w:val="16"/>
                <w:szCs w:val="16"/>
              </w:rPr>
              <w:t xml:space="preserve">Versão: </w:t>
            </w:r>
            <w:r>
              <w:rPr>
                <w:rFonts w:ascii="Arial" w:cs="Arial" w:eastAsia="Arial" w:hAnsi="Arial"/>
                <w:b/>
                <w:bCs/>
                <w:caps w:val="false"/>
                <w:color w:val="FFFFFF"/>
                <w:sz w:val="18"/>
                <w:szCs w:val="18"/>
              </w:rPr>
              <w:t xml:space="preserve">01</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60" w:before="20"/>
              <w:jc w:val="left"/>
            </w:pPr>
            <w:r>
              <w:rPr>
                <w:rFonts w:ascii="Arial" w:cs="Arial" w:eastAsia="Arial" w:hAnsi="Arial"/>
                <w:b/>
                <w:bCs/>
                <w:caps w:val="false"/>
                <w:color w:val="D6E4F0"/>
                <w:sz w:val="16"/>
                <w:szCs w:val="16"/>
              </w:rPr>
              <w:t xml:space="preserve">Emissão: </w:t>
            </w:r>
            <w:r>
              <w:rPr>
                <w:rFonts w:ascii="Arial" w:cs="Arial" w:eastAsia="Arial" w:hAnsi="Arial"/>
                <w:b w:val="false"/>
                <w:bCs w:val="false"/>
                <w:caps w:val="false"/>
                <w:color w:val="FFFFFF"/>
                <w:sz w:val="18"/>
                <w:szCs w:val="18"/>
              </w:rPr>
              <w:t xml:space="preserve">Jun/2025</w:t>
            </w:r>
          </w:p>
        </w:tc>
      </w:tr>
      <w:tr>
        <w:tc>
          <w:tcPr>
            <w:tcW w:type="dxa" w:w="2120"/>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Elaborado por:</w:t>
            </w:r>
          </w:p>
          <w:p>
            <w:pPr>
              <w:spacing w:after="20" w:before="0"/>
              <w:jc w:val="center"/>
            </w:pPr>
            <w:r>
              <w:rPr>
                <w:rFonts w:ascii="Arial" w:cs="Arial" w:eastAsia="Arial" w:hAnsi="Arial"/>
                <w:b w:val="false"/>
                <w:bCs w:val="false"/>
                <w:caps w:val="false"/>
                <w:color w:val="111111"/>
                <w:sz w:val="16"/>
                <w:szCs w:val="16"/>
              </w:rPr>
              <w:t xml:space="preserve">Responsável Técnico</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4915"/>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Verificado por:</w:t>
            </w:r>
          </w:p>
          <w:p>
            <w:pPr>
              <w:spacing w:after="20" w:before="0"/>
              <w:jc w:val="center"/>
            </w:pPr>
            <w:r>
              <w:rPr>
                <w:rFonts w:ascii="Arial" w:cs="Arial" w:eastAsia="Arial" w:hAnsi="Arial"/>
                <w:b w:val="false"/>
                <w:bCs w:val="false"/>
                <w:caps w:val="false"/>
                <w:color w:val="111111"/>
                <w:sz w:val="16"/>
                <w:szCs w:val="16"/>
              </w:rPr>
              <w:t xml:space="preserve">Garantia da Qualidade</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2602"/>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Aprovado por:</w:t>
            </w:r>
          </w:p>
          <w:p>
            <w:pPr>
              <w:spacing w:after="20" w:before="0"/>
              <w:jc w:val="center"/>
            </w:pPr>
            <w:r>
              <w:rPr>
                <w:rFonts w:ascii="Arial" w:cs="Arial" w:eastAsia="Arial" w:hAnsi="Arial"/>
                <w:b w:val="false"/>
                <w:bCs w:val="false"/>
                <w:caps w:val="false"/>
                <w:color w:val="111111"/>
                <w:sz w:val="16"/>
                <w:szCs w:val="16"/>
              </w:rPr>
              <w:t xml:space="preserve">Diretoria / RT</w:t>
            </w:r>
          </w:p>
          <w:p>
            <w:pPr>
              <w:spacing w:after="60" w:before="20"/>
              <w:jc w:val="center"/>
            </w:pPr>
            <w:r>
              <w:rPr>
                <w:rFonts w:ascii="Arial" w:cs="Arial" w:eastAsia="Arial" w:hAnsi="Arial"/>
                <w:b w:val="false"/>
                <w:bCs w:val="false"/>
                <w:caps w:val="false"/>
                <w:color w:val="888888"/>
                <w:sz w:val="15"/>
                <w:szCs w:val="15"/>
              </w:rPr>
              <w:t xml:space="preserve">_____ / ____/____</w:t>
            </w:r>
          </w:p>
        </w:tc>
      </w:tr>
    </w:tbl>
    <w:p>
      <w:pPr>
        <w:spacing w:after="80" w:before="16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 OBJETIVO</w:t>
      </w:r>
    </w:p>
    <w:p>
      <w:pPr>
        <w:spacing w:after="80" w:before="80"/>
        <w:jc w:val="both"/>
      </w:pPr>
      <w:r>
        <w:rPr>
          <w:rFonts w:ascii="Arial" w:cs="Arial" w:eastAsia="Arial" w:hAnsi="Arial"/>
          <w:b w:val="false"/>
          <w:bCs w:val="false"/>
          <w:caps w:val="false"/>
          <w:color w:val="111111"/>
          <w:sz w:val="20"/>
          <w:szCs w:val="20"/>
        </w:rPr>
        <w:t xml:space="preserve">Padronizar o processo de envase de suplementos alimentares em suas diferentes formas de apresentação (pós, cápsulas, gummies e líquidos), assegurando a exatidão do peso ou volume envasado, a integridade da embalagem primária e a rastreabilidade do lote do produto e da embalagem.</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2. CAMPO DE APLICAÇÃO</w:t>
      </w:r>
    </w:p>
    <w:p>
      <w:pPr>
        <w:spacing w:after="80" w:before="80"/>
        <w:jc w:val="both"/>
      </w:pPr>
      <w:r>
        <w:rPr>
          <w:rFonts w:ascii="Arial" w:cs="Arial" w:eastAsia="Arial" w:hAnsi="Arial"/>
          <w:b w:val="false"/>
          <w:bCs w:val="false"/>
          <w:caps w:val="false"/>
          <w:color w:val="111111"/>
          <w:sz w:val="20"/>
          <w:szCs w:val="20"/>
        </w:rPr>
        <w:t xml:space="preserve">Aplica-se ao envase de todas as formas de apresentação fabricadas nesta indústria, utilizando embalagens primárias aprovadas pelo CQ (potes, frascos, sachês, blisters). Inclui o setup do equipamento de envase, os controles em processo e o encerramento do lote.</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3. RESPONSABILIDADES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6746"/>
      </w:tblGrid>
      <w:tr>
        <w:trPr>
          <w:tblHeader/>
        </w:trPr>
        <w:tc>
          <w:tcPr>
            <w:tcW w:type="dxa" w:w="289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Função / Cargo</w:t>
            </w:r>
          </w:p>
        </w:tc>
        <w:tc>
          <w:tcPr>
            <w:tcW w:type="dxa" w:w="6746"/>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Responsabilidade</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Operador de Envase</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Executar o envase conforme OP, realizar os controles em processo e registrar todos os dados.</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Supervisor de Produção</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Verificar o setup inicial, supervisionar o processo e aprovar os registros de IPC.</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Controle de Qualidade</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Verificar os parâmetros de IPC, inspecionar amostras e emitir aprovação para encaminhamento à selagem.</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Almoxarifado</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Entregar as embalagens primárias do lote aprovado pelo CQ com laudo vigente.</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4. DEFINIÇÕES E ABREVIAÇÕES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698"/>
        <w:gridCol w:w="6939"/>
      </w:tblGrid>
      <w:tr>
        <w:trPr>
          <w:tblHeader/>
        </w:trPr>
        <w:tc>
          <w:tcPr>
            <w:tcW w:type="dxa" w:w="2698"/>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Termo / Sigla</w:t>
            </w:r>
          </w:p>
        </w:tc>
        <w:tc>
          <w:tcPr>
            <w:tcW w:type="dxa" w:w="693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Definição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Tara</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Massa da embalagem vazia; descontada do peso total para obter o peso líquido do produto.</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Peso líquido</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Massa do produto sem a embalagem; deve corresponder ao declarado no rótulo (conforme IN 75/2020 e RDC 429/2020).</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Volume nominal</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Volume de produto declarado na embalagem para formas líquidas; expresso em mL ou L.</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IPC</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In-Process Control – controle em processo; verificação periódica durante a produção.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Embalagem primária</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Embalagem em contato direto com o produto (pote, frasco, sachê, blister).</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Lote de embalagem</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Número atribuído pelo CQ ao lote de embalagem primária aprovada.</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5. MATERIAIS, EQUIPAMENTOS E EPIs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Produto a ser envasado (blend aprovado ou produto intermediário aprovado pelo CQ)</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Embalagens primárias (potes, frascos, sachês) – lote aprovado pelo CQ com laudo vigente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Envasadora gravimétrica (peso) ou volumétrica (volume) conforme forma de apresentação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Balança analítica ou semianalítica calibrada para IPC de peso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Proveta e/ou pipeta volumétrica calibrada para IPC de volume (líquidos)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Etiquetas de identificação de WIP (Work In Process) para recipientes de produto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EPI: jaleco, luvas nitrílicas, máscara cirúrgica, óculos, touca, propé</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FOR-PROD-010 – Registro de Envase | OP aprovada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6. PROCEDIMENTO DETALHADO</w:t>
      </w:r>
    </w:p>
    <w:p>
      <w:pPr>
        <w:spacing w:after="60" w:before="140"/>
        <w:jc w:val="left"/>
      </w:pPr>
      <w:r>
        <w:rPr>
          <w:rFonts w:ascii="Arial" w:cs="Arial" w:eastAsia="Arial" w:hAnsi="Arial"/>
          <w:b/>
          <w:bCs/>
          <w:caps w:val="false"/>
          <w:color w:val="1F3864"/>
          <w:sz w:val="20"/>
          <w:szCs w:val="20"/>
        </w:rPr>
        <w:t xml:space="preserve">6.1 Preparação e Verificação das Embalagens</w:t>
      </w:r>
    </w:p>
    <w:p>
      <w:pPr>
        <w:pStyle w:val="ListParagraph"/>
        <w:numPr>
          <w:ilvl w:val="0"/>
          <w:numId w:val="15"/>
        </w:numPr>
        <w:spacing w:after="80" w:before="80"/>
        <w:jc w:val="both"/>
      </w:pPr>
      <w:r>
        <w:rPr>
          <w:rFonts w:ascii="Arial" w:cs="Arial" w:eastAsia="Arial" w:hAnsi="Arial"/>
          <w:b w:val="false"/>
          <w:bCs w:val="false"/>
          <w:caps w:val="false"/>
          <w:color w:val="111111"/>
          <w:sz w:val="20"/>
          <w:szCs w:val="20"/>
        </w:rPr>
        <w:t xml:space="preserve">Receber as embalagens do almoxarifado. Verificar: laudo de aprovação do CQ, número de lote de embalagem, quantidade recebida. Inspecionar 1% das embalagens: ausência de contaminação, deformação, odor estranho, trincas ou imperfeições.</w:t>
      </w:r>
    </w:p>
    <w:p>
      <w:pPr>
        <w:pStyle w:val="ListParagraph"/>
        <w:numPr>
          <w:ilvl w:val="0"/>
          <w:numId w:val="15"/>
        </w:numPr>
        <w:spacing w:after="80" w:before="80"/>
        <w:jc w:val="both"/>
      </w:pPr>
      <w:r>
        <w:rPr>
          <w:rFonts w:ascii="Arial" w:cs="Arial" w:eastAsia="Arial" w:hAnsi="Arial"/>
          <w:b w:val="false"/>
          <w:bCs w:val="false"/>
          <w:caps w:val="false"/>
          <w:color w:val="111111"/>
          <w:sz w:val="20"/>
          <w:szCs w:val="20"/>
        </w:rPr>
        <w:t xml:space="preserve">Verificar se a embalagem é a correta para o produto (código, tamanho, cor, material – conforme OP). Em caso de divergência, suspender e acionar o supervisor.</w:t>
      </w:r>
    </w:p>
    <w:p>
      <w:pPr>
        <w:spacing w:after="60" w:before="140"/>
        <w:jc w:val="left"/>
      </w:pPr>
      <w:r>
        <w:rPr>
          <w:rFonts w:ascii="Arial" w:cs="Arial" w:eastAsia="Arial" w:hAnsi="Arial"/>
          <w:b/>
          <w:bCs/>
          <w:caps w:val="false"/>
          <w:color w:val="1F3864"/>
          <w:sz w:val="20"/>
          <w:szCs w:val="20"/>
        </w:rPr>
        <w:t xml:space="preserve">6.2 Setup do Equipamento de Envase</w:t>
      </w:r>
    </w:p>
    <w:p>
      <w:pPr>
        <w:pStyle w:val="ListParagraph"/>
        <w:numPr>
          <w:ilvl w:val="0"/>
          <w:numId w:val="15"/>
        </w:numPr>
        <w:spacing w:after="80" w:before="80"/>
        <w:jc w:val="both"/>
      </w:pPr>
      <w:r>
        <w:rPr>
          <w:rFonts w:ascii="Arial" w:cs="Arial" w:eastAsia="Arial" w:hAnsi="Arial"/>
          <w:b w:val="false"/>
          <w:bCs w:val="false"/>
          <w:caps w:val="false"/>
          <w:color w:val="111111"/>
          <w:sz w:val="20"/>
          <w:szCs w:val="20"/>
        </w:rPr>
        <w:t xml:space="preserve">Verificar limpeza e status do equipamento de envase. Inspecionar a calha, a cabeça dosadora, os sensores e os sistemas de vedação.</w:t>
      </w:r>
    </w:p>
    <w:p>
      <w:pPr>
        <w:pStyle w:val="ListParagraph"/>
        <w:numPr>
          <w:ilvl w:val="0"/>
          <w:numId w:val="15"/>
        </w:numPr>
        <w:spacing w:after="80" w:before="80"/>
        <w:jc w:val="both"/>
      </w:pPr>
      <w:r>
        <w:rPr>
          <w:rFonts w:ascii="Arial" w:cs="Arial" w:eastAsia="Arial" w:hAnsi="Arial"/>
          <w:b w:val="false"/>
          <w:bCs w:val="false"/>
          <w:caps w:val="false"/>
          <w:color w:val="111111"/>
          <w:sz w:val="20"/>
          <w:szCs w:val="20"/>
        </w:rPr>
        <w:t xml:space="preserve">Para envase gravimétrico: tarar a balança com a embalagem vazia e ajustar o peso-alvo conforme declarado na OP. Para envase volumétrico: calibrar o volume com água ou produto de teste.</w:t>
      </w:r>
    </w:p>
    <w:p>
      <w:pPr>
        <w:pStyle w:val="ListParagraph"/>
        <w:numPr>
          <w:ilvl w:val="0"/>
          <w:numId w:val="15"/>
        </w:numPr>
        <w:spacing w:after="80" w:before="80"/>
        <w:jc w:val="both"/>
      </w:pPr>
      <w:r>
        <w:rPr>
          <w:rFonts w:ascii="Arial" w:cs="Arial" w:eastAsia="Arial" w:hAnsi="Arial"/>
          <w:b w:val="false"/>
          <w:bCs w:val="false"/>
          <w:caps w:val="false"/>
          <w:color w:val="111111"/>
          <w:sz w:val="20"/>
          <w:szCs w:val="20"/>
        </w:rPr>
        <w:t xml:space="preserve">Realizar o lote de calibração: envasar 10 unidades e verificar peso ou volume. Ajustar até que ≥ 8 de 10 unidades estejam dentro de ± 2% do nominal. Registrar em FOR-PROD-010.</w:t>
      </w:r>
    </w:p>
    <w:p>
      <w:pPr>
        <w:spacing w:after="60" w:before="140"/>
        <w:jc w:val="left"/>
      </w:pPr>
      <w:r>
        <w:rPr>
          <w:rFonts w:ascii="Arial" w:cs="Arial" w:eastAsia="Arial" w:hAnsi="Arial"/>
          <w:b/>
          <w:bCs/>
          <w:caps w:val="false"/>
          <w:color w:val="1F3864"/>
          <w:sz w:val="20"/>
          <w:szCs w:val="20"/>
        </w:rPr>
        <w:t xml:space="preserve">6.3 Produção e Controles em Processo (IPC)</w:t>
      </w:r>
    </w:p>
    <w:p>
      <w:pPr>
        <w:pStyle w:val="ListParagraph"/>
        <w:numPr>
          <w:ilvl w:val="0"/>
          <w:numId w:val="15"/>
        </w:numPr>
        <w:spacing w:after="80" w:before="80"/>
        <w:jc w:val="both"/>
      </w:pPr>
      <w:r>
        <w:rPr>
          <w:rFonts w:ascii="Arial" w:cs="Arial" w:eastAsia="Arial" w:hAnsi="Arial"/>
          <w:b w:val="false"/>
          <w:bCs w:val="false"/>
          <w:caps w:val="false"/>
          <w:color w:val="111111"/>
          <w:sz w:val="20"/>
          <w:szCs w:val="20"/>
        </w:rPr>
        <w:t xml:space="preserve">Iniciar a produção. Realizar IPC a cada 30 minutos: amostrar 5 unidades aleatórias, pesar (ou medir volume) e verificar se estão dentro de ± 2% do nominal. Se fora: interromper, reajustar e reverificar.</w:t>
      </w:r>
    </w:p>
    <w:p>
      <w:pPr>
        <w:pStyle w:val="ListParagraph"/>
        <w:numPr>
          <w:ilvl w:val="0"/>
          <w:numId w:val="15"/>
        </w:numPr>
        <w:spacing w:after="80" w:before="80"/>
        <w:jc w:val="both"/>
      </w:pPr>
      <w:r>
        <w:rPr>
          <w:rFonts w:ascii="Arial" w:cs="Arial" w:eastAsia="Arial" w:hAnsi="Arial"/>
          <w:b w:val="false"/>
          <w:bCs w:val="false"/>
          <w:caps w:val="false"/>
          <w:color w:val="111111"/>
          <w:sz w:val="20"/>
          <w:szCs w:val="20"/>
        </w:rPr>
        <w:t xml:space="preserve">Monitorar o nível de produto no recipiente de alimentação. Repor antes de esvaziar completamente para evitar variação de pressão na dosagem.</w:t>
      </w:r>
    </w:p>
    <w:p>
      <w:pPr>
        <w:pStyle w:val="ListParagraph"/>
        <w:numPr>
          <w:ilvl w:val="0"/>
          <w:numId w:val="15"/>
        </w:numPr>
        <w:spacing w:after="80" w:before="80"/>
        <w:jc w:val="both"/>
      </w:pPr>
      <w:r>
        <w:rPr>
          <w:rFonts w:ascii="Arial" w:cs="Arial" w:eastAsia="Arial" w:hAnsi="Arial"/>
          <w:b w:val="false"/>
          <w:bCs w:val="false"/>
          <w:caps w:val="false"/>
          <w:color w:val="111111"/>
          <w:sz w:val="20"/>
          <w:szCs w:val="20"/>
        </w:rPr>
        <w:t xml:space="preserve">Inspecionar visualmente as embalagens envasadas: ausência de produto derramado externamente, embalagens abertas ou mal posicionadas.</w:t>
      </w:r>
    </w:p>
    <w:p>
      <w:pPr>
        <w:pBdr>
          <w:left w:val="single" w:color="2E75B6" w:sz="12"/>
        </w:pBdr>
        <w:spacing w:after="80" w:before="80"/>
        <w:ind w:left="600"/>
      </w:pPr>
      <w:r>
        <w:rPr>
          <w:rFonts w:ascii="Arial" w:cs="Arial" w:eastAsia="Arial" w:hAnsi="Arial"/>
          <w:b/>
          <w:bCs/>
          <w:caps w:val="false"/>
          <w:color w:val="2E75B6"/>
          <w:sz w:val="18"/>
          <w:szCs w:val="18"/>
        </w:rPr>
        <w:t xml:space="preserve">NOTA: </w:t>
      </w:r>
      <w:r>
        <w:rPr>
          <w:rFonts w:ascii="Arial" w:cs="Arial" w:eastAsia="Arial" w:hAnsi="Arial"/>
          <w:b w:val="false"/>
          <w:bCs w:val="false"/>
          <w:caps w:val="false"/>
          <w:color w:val="111111"/>
          <w:sz w:val="18"/>
          <w:szCs w:val="18"/>
        </w:rPr>
        <w:t xml:space="preserve">Para pós (sachês e potes): verificar também a flutuação de pó fora da embalagem e a presença de resíduo de produto na boca do pote. Limpar com ar comprimido limpo antes da selagem.</w:t>
      </w:r>
    </w:p>
    <w:p>
      <w:pPr>
        <w:spacing w:after="60" w:before="140"/>
        <w:jc w:val="left"/>
      </w:pPr>
      <w:r>
        <w:rPr>
          <w:rFonts w:ascii="Arial" w:cs="Arial" w:eastAsia="Arial" w:hAnsi="Arial"/>
          <w:b/>
          <w:bCs/>
          <w:caps w:val="false"/>
          <w:color w:val="1F3864"/>
          <w:sz w:val="20"/>
          <w:szCs w:val="20"/>
        </w:rPr>
        <w:t xml:space="preserve">6.4 Controle de Conformidade de Quantidade</w:t>
      </w:r>
    </w:p>
    <w:p>
      <w:pPr>
        <w:pStyle w:val="ListParagraph"/>
        <w:numPr>
          <w:ilvl w:val="0"/>
          <w:numId w:val="15"/>
        </w:numPr>
        <w:spacing w:after="80" w:before="80"/>
        <w:jc w:val="both"/>
      </w:pPr>
      <w:r>
        <w:rPr>
          <w:rFonts w:ascii="Arial" w:cs="Arial" w:eastAsia="Arial" w:hAnsi="Arial"/>
          <w:b w:val="false"/>
          <w:bCs w:val="false"/>
          <w:caps w:val="false"/>
          <w:color w:val="111111"/>
          <w:sz w:val="20"/>
          <w:szCs w:val="20"/>
        </w:rPr>
        <w:t xml:space="preserve">O peso líquido declarado no rótulo deve corresponder à quantidade real envasada, conforme tolerâncias estabelecidas pela legislação metrológica (INMETRO) e pela IN 75/2020. Quantidades sistematicamente abaixo do declarado constituem não conformidade grave e infração metrológica.</w:t>
      </w:r>
    </w:p>
    <w:p>
      <w:pPr>
        <w:pStyle w:val="ListParagraph"/>
        <w:numPr>
          <w:ilvl w:val="0"/>
          <w:numId w:val="15"/>
        </w:numPr>
        <w:spacing w:after="80" w:before="80"/>
        <w:jc w:val="both"/>
      </w:pPr>
      <w:r>
        <w:rPr>
          <w:rFonts w:ascii="Arial" w:cs="Arial" w:eastAsia="Arial" w:hAnsi="Arial"/>
          <w:b w:val="false"/>
          <w:bCs w:val="false"/>
          <w:caps w:val="false"/>
          <w:color w:val="111111"/>
          <w:sz w:val="20"/>
          <w:szCs w:val="20"/>
        </w:rPr>
        <w:t xml:space="preserve">Registrar todas as verificações de IPC em FOR-PROD-010 com hora, peso/volume medido e ação tomada (aprovado/ajustado).</w:t>
      </w:r>
    </w:p>
    <w:p>
      <w:pPr>
        <w:spacing w:after="60" w:before="140"/>
        <w:jc w:val="left"/>
      </w:pPr>
      <w:r>
        <w:rPr>
          <w:rFonts w:ascii="Arial" w:cs="Arial" w:eastAsia="Arial" w:hAnsi="Arial"/>
          <w:b/>
          <w:bCs/>
          <w:caps w:val="false"/>
          <w:color w:val="1F3864"/>
          <w:sz w:val="20"/>
          <w:szCs w:val="20"/>
        </w:rPr>
        <w:t xml:space="preserve">6.5 Encerramento do Lote</w:t>
      </w:r>
    </w:p>
    <w:p>
      <w:pPr>
        <w:pStyle w:val="ListParagraph"/>
        <w:numPr>
          <w:ilvl w:val="0"/>
          <w:numId w:val="15"/>
        </w:numPr>
        <w:spacing w:after="80" w:before="80"/>
        <w:jc w:val="both"/>
      </w:pPr>
      <w:r>
        <w:rPr>
          <w:rFonts w:ascii="Arial" w:cs="Arial" w:eastAsia="Arial" w:hAnsi="Arial"/>
          <w:b w:val="false"/>
          <w:bCs w:val="false"/>
          <w:caps w:val="false"/>
          <w:color w:val="111111"/>
          <w:sz w:val="20"/>
          <w:szCs w:val="20"/>
        </w:rPr>
        <w:t xml:space="preserve">Ao final do envase, contar e registrar a quantidade total de unidades envasadas, o refugo e o rendimento. Calcular rendimento: (unidades aprovadas × peso/volume nominal) / (quantidade de produto utilizada) × 100%. Esperado: ≥ 97%.</w:t>
      </w:r>
    </w:p>
    <w:p>
      <w:pPr>
        <w:pStyle w:val="ListParagraph"/>
        <w:numPr>
          <w:ilvl w:val="0"/>
          <w:numId w:val="15"/>
        </w:numPr>
        <w:spacing w:after="80" w:before="80"/>
        <w:jc w:val="both"/>
      </w:pPr>
      <w:r>
        <w:rPr>
          <w:rFonts w:ascii="Arial" w:cs="Arial" w:eastAsia="Arial" w:hAnsi="Arial"/>
          <w:b w:val="false"/>
          <w:bCs w:val="false"/>
          <w:caps w:val="false"/>
          <w:color w:val="111111"/>
          <w:sz w:val="20"/>
          <w:szCs w:val="20"/>
        </w:rPr>
        <w:t xml:space="preserve">Encaminhar as unidades envasadas para a etapa de selagem (POP-PROD-012), mantendo a identificação do lote em todos os recipientes de transporte.</w:t>
      </w:r>
    </w:p>
    <w:p>
      <w:pPr>
        <w:pStyle w:val="ListParagraph"/>
        <w:numPr>
          <w:ilvl w:val="0"/>
          <w:numId w:val="15"/>
        </w:numPr>
        <w:spacing w:after="80" w:before="80"/>
        <w:jc w:val="both"/>
      </w:pPr>
      <w:r>
        <w:rPr>
          <w:rFonts w:ascii="Arial" w:cs="Arial" w:eastAsia="Arial" w:hAnsi="Arial"/>
          <w:b w:val="false"/>
          <w:bCs w:val="false"/>
          <w:caps w:val="false"/>
          <w:color w:val="111111"/>
          <w:sz w:val="20"/>
          <w:szCs w:val="20"/>
        </w:rPr>
        <w:t xml:space="preserve">Limpar o equipamento de envase imediatamente após o uso, conforme POP-LIMP-001.</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7. FREQUÊNCIA DE EXECUÇÃO</w:t>
      </w:r>
    </w:p>
    <w:p>
      <w:pPr>
        <w:spacing w:after="80" w:before="80"/>
        <w:jc w:val="both"/>
      </w:pPr>
      <w:r>
        <w:rPr>
          <w:rFonts w:ascii="Arial" w:cs="Arial" w:eastAsia="Arial" w:hAnsi="Arial"/>
          <w:b w:val="false"/>
          <w:bCs w:val="false"/>
          <w:caps w:val="false"/>
          <w:color w:val="111111"/>
          <w:sz w:val="20"/>
          <w:szCs w:val="20"/>
        </w:rPr>
        <w:t xml:space="preserve">A cada lote produzido, em todas as formas de apresentação.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8. REGISTROS OBRIGATÓRIOS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FOR-PROD-010 – Registro de Envase (calibração, IPC, rendimento)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FOR-PROD-001 – Ordem de Produção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FOR-LIMP-002 – Limpeza de Equipamentos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FOR-AMBI-001 – Controle Ambiental</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9. CRITÉRIOS DE ACEITAÇÃO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Peso/volume médio envasado: dentro de ± 2% do nominal</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Conformidade metrológica: quantidade real ≥ quantidade declarada no rótulo (tolerância conforme INMETRO)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Embalagens: 100% íntegras, sem contaminação visível, antes do envase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Rendimento do envase: ≥ 97%</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Ausência de produto residual na boca/borda da embalagem antes da selagem</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10. PONTOS CRÍTICOS DE CONTROLE (PCC / HACCP)</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675"/>
        <w:gridCol w:w="1735"/>
        <w:gridCol w:w="2024"/>
        <w:gridCol w:w="3469"/>
        <w:gridCol w:w="1735"/>
      </w:tblGrid>
      <w:tr>
        <w:trPr>
          <w:tblHeader/>
        </w:trPr>
        <w:tc>
          <w:tcPr>
            <w:tcW w:type="dxa" w:w="67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PCC</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Parâmetro</w:t>
            </w:r>
          </w:p>
        </w:tc>
        <w:tc>
          <w:tcPr>
            <w:tcW w:type="dxa" w:w="202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Limite Crítico</w:t>
            </w:r>
          </w:p>
        </w:tc>
        <w:tc>
          <w:tcPr>
            <w:tcW w:type="dxa" w:w="346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Ação Corretiva</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Frequência</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PCC1</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Peso/Volume envasado</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2% do nominal</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Interromper, reajustar a envasadora, segregar unidades fora de especificação desde o último IPC aprovado.</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 cada 30 min</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PCC2</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Conformidade metrológica (peso líquido declarado)</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Quantidade real ≥ declarada (tolerância INMETRO)</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Reprovar lote se sistematicamente abaixo do declarado. Acionar RT. Investigar causa raiz. Abrir CAPA.</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Por lote (amostragem estatística)</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PCC3</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Integridade da embalagem pré-envase</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sem contaminação ou dano</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Segregar embalagens danificadas. Não utilizar. Notificar fornecedor/almoxarifado.</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Inspeção amostral de 1% antes do uso</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11. AÇÕES CORRETIVAS EM CASO DE DESVIO</w:t>
      </w:r>
    </w:p>
    <w:p>
      <w:pPr>
        <w:pStyle w:val="ListParagraph"/>
        <w:numPr>
          <w:ilvl w:val="0"/>
          <w:numId w:val="16"/>
        </w:numPr>
        <w:spacing w:after="80" w:before="80"/>
        <w:jc w:val="both"/>
      </w:pPr>
      <w:r>
        <w:rPr>
          <w:rFonts w:ascii="Arial" w:cs="Arial" w:eastAsia="Arial" w:hAnsi="Arial"/>
          <w:b w:val="false"/>
          <w:bCs w:val="false"/>
          <w:caps w:val="false"/>
          <w:color w:val="111111"/>
          <w:sz w:val="20"/>
          <w:szCs w:val="20"/>
        </w:rPr>
        <w:t xml:space="preserve">Peso/volume fora de especificação: interromper imediatamente, segregar as unidades produzidas desde o último IPC aprovado, reajustar o equipamento e reverificar com 10 unidades antes de retomar.</w:t>
      </w:r>
    </w:p>
    <w:p>
      <w:pPr>
        <w:pStyle w:val="ListParagraph"/>
        <w:numPr>
          <w:ilvl w:val="0"/>
          <w:numId w:val="16"/>
        </w:numPr>
        <w:spacing w:after="80" w:before="80"/>
        <w:jc w:val="both"/>
      </w:pPr>
      <w:r>
        <w:rPr>
          <w:rFonts w:ascii="Arial" w:cs="Arial" w:eastAsia="Arial" w:hAnsi="Arial"/>
          <w:b w:val="false"/>
          <w:bCs w:val="false"/>
          <w:caps w:val="false"/>
          <w:color w:val="111111"/>
          <w:sz w:val="20"/>
          <w:szCs w:val="20"/>
        </w:rPr>
        <w:t xml:space="preserve">Suspeita de não conformidade metrológica sistemática: notificar RT e GQ imediatamente. Avaliar todo o lote produzido. Considerar reprocessamento ou descarte.</w:t>
      </w:r>
    </w:p>
    <w:p>
      <w:pPr>
        <w:pStyle w:val="ListParagraph"/>
        <w:numPr>
          <w:ilvl w:val="0"/>
          <w:numId w:val="16"/>
        </w:numPr>
        <w:spacing w:after="80" w:before="80"/>
        <w:jc w:val="both"/>
      </w:pPr>
      <w:r>
        <w:rPr>
          <w:rFonts w:ascii="Arial" w:cs="Arial" w:eastAsia="Arial" w:hAnsi="Arial"/>
          <w:b w:val="false"/>
          <w:bCs w:val="false"/>
          <w:caps w:val="false"/>
          <w:color w:val="111111"/>
          <w:sz w:val="20"/>
          <w:szCs w:val="20"/>
        </w:rPr>
        <w:t xml:space="preserve">Embalagens danificadas identificadas durante o envase: parar a linha, segregar o lote de embalagem, notificar o almoxarifado e o CQ para reavaliação do fornecedor.</w:t>
      </w:r>
    </w:p>
    <w:p>
      <w:pPr>
        <w:pStyle w:val="ListParagraph"/>
        <w:numPr>
          <w:ilvl w:val="0"/>
          <w:numId w:val="16"/>
        </w:numPr>
        <w:spacing w:after="80" w:before="80"/>
        <w:jc w:val="both"/>
      </w:pPr>
      <w:r>
        <w:rPr>
          <w:rFonts w:ascii="Arial" w:cs="Arial" w:eastAsia="Arial" w:hAnsi="Arial"/>
          <w:b w:val="false"/>
          <w:bCs w:val="false"/>
          <w:caps w:val="false"/>
          <w:color w:val="111111"/>
          <w:sz w:val="20"/>
          <w:szCs w:val="20"/>
        </w:rPr>
        <w:t xml:space="preserve">Registrar todos os desvios em FOR-NC-001. Para desvios metrológicos, classificar como "Crítico" e notificar o RT em até 24 horas.</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12. FORMULÁRIOS E DOCUMENTOS RELACIONADOS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FOR-PROD-001 – Ordem de Produção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FOR-PROD-010 – Registro de Envase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FOR-LIMP-002 – Limpeza de Equipamentos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FOR-NC-001 – Não Conformidade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FOR-GQ-003 – CAPA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13. HISTÓRICO DE REVISÕES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5493"/>
        <w:gridCol w:w="1831"/>
      </w:tblGrid>
      <w:tr>
        <w:trPr>
          <w:tblHeader/>
        </w:trPr>
        <w:tc>
          <w:tcPr>
            <w:tcW w:type="dxa" w:w="96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Versão</w:t>
            </w:r>
          </w:p>
        </w:tc>
        <w:tc>
          <w:tcPr>
            <w:tcW w:type="dxa" w:w="134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Data</w:t>
            </w:r>
          </w:p>
        </w:tc>
        <w:tc>
          <w:tcPr>
            <w:tcW w:type="dxa" w:w="5493"/>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Descrição</w:t>
            </w:r>
          </w:p>
        </w:tc>
        <w:tc>
          <w:tcPr>
            <w:tcW w:type="dxa" w:w="183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Resp.</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01</w:t>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Jun/2025</w:t>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Emissão inicial do documento.</w:t>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RT/GQ</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r>
    </w:tbl>
    <w:p>
      <w:pPr>
        <w:spacing w:after="100" w:before="200"/>
      </w:pPr>
      <w:r>
        <w:rPr>
          <w:rFonts w:ascii="Arial" w:cs="Arial" w:eastAsia="Arial" w:hAnsi="Arial"/>
          <w:b w:val="false"/>
          <w:bCs w:val="false"/>
          <w:caps w:val="false"/>
          <w:color w:val="111111"/>
          <w:sz w:val="20"/>
          <w:szCs w:val="20"/>
        </w:rPr>
        <w:t xml:space="preserve"/>
      </w:r>
    </w:p>
    <w:p>
      <w:r>
        <w:br w:type="page"/>
      </w:r>
    </w:p>
    <w:p>
      <w:pPr>
        <w:pStyle w:val="Heading1"/>
        <w:spacing w:after="0" w:before="0"/>
      </w:pPr>
      <w:r>
        <w:rPr>
          <w:rFonts w:ascii="Arial" w:cs="Arial" w:eastAsia="Arial" w:hAnsi="Arial"/>
          <w:b w:val="false"/>
          <w:bCs w:val="false"/>
          <w:caps w:val="false"/>
          <w:color w:val="FFFFFF"/>
          <w:sz w:val="2"/>
          <w:szCs w:val="2"/>
        </w:rPr>
        <w:t xml:space="preserve">POP-PROD-012 — Selagem de Embalagens (Indução, Termosselagem e Lacre)</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120"/>
        <w:gridCol w:w="4915"/>
        <w:gridCol w:w="2602"/>
      </w:tblGrid>
      <w:tr>
        <w:tc>
          <w:tcPr>
            <w:tcW w:type="dxa" w:w="2120"/>
            <w:vMerge w:val="restart"/>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FFFFFF"/>
                <w:sz w:val="17"/>
                <w:szCs w:val="17"/>
              </w:rPr>
              <w:t xml:space="preserve">INDÚSTRIA DE SUPLEMENTOS</w:t>
            </w:r>
          </w:p>
          <w:p>
            <w:pPr>
              <w:spacing w:after="60" w:before="0"/>
              <w:jc w:val="center"/>
            </w:pPr>
            <w:r>
              <w:rPr>
                <w:rFonts w:ascii="Arial" w:cs="Arial" w:eastAsia="Arial" w:hAnsi="Arial"/>
                <w:b w:val="false"/>
                <w:bCs w:val="false"/>
                <w:caps w:val="false"/>
                <w:color w:val="D6E4F0"/>
                <w:sz w:val="15"/>
                <w:szCs w:val="15"/>
              </w:rPr>
              <w:t xml:space="preserve">Alimentos para Fins Especiais</w:t>
            </w:r>
          </w:p>
        </w:tc>
        <w:tc>
          <w:tcPr>
            <w:tcW w:type="dxa" w:w="4915"/>
            <w:vMerge w:val="restart"/>
            <w:tcBorders>
              <w:top w:val="single" w:color="1F3864" w:sz="4"/>
              <w:left w:val="single" w:color="1F3864" w:sz="4"/>
              <w:bottom w:val="single" w:color="1F3864" w:sz="4"/>
              <w:right w:val="single" w:color="1F3864" w:sz="4"/>
            </w:tcBorders>
            <w:shd w:fill="D6E4F0" w:val="clear"/>
            <w:tcMar>
              <w:top w:type="dxa" w:w="80"/>
              <w:left w:type="dxa" w:w="100"/>
              <w:bottom w:type="dxa" w:w="80"/>
              <w:right w:type="dxa" w:w="100"/>
            </w:tcMar>
            <w:vAlign w:val="center"/>
          </w:tcPr>
          <w:p>
            <w:pPr>
              <w:spacing w:after="40" w:before="60"/>
              <w:jc w:val="center"/>
            </w:pPr>
            <w:r>
              <w:rPr>
                <w:rFonts w:ascii="Arial" w:cs="Arial" w:eastAsia="Arial" w:hAnsi="Arial"/>
                <w:b/>
                <w:bCs/>
                <w:caps/>
                <w:color w:val="1F3864"/>
                <w:sz w:val="17"/>
                <w:szCs w:val="17"/>
              </w:rPr>
              <w:t xml:space="preserve">PROCEDIMENTO OPERACIONAL PADRÃO</w:t>
            </w:r>
          </w:p>
          <w:p>
            <w:pPr>
              <w:spacing w:after="60" w:before="0"/>
              <w:jc w:val="center"/>
            </w:pPr>
            <w:r>
              <w:rPr>
                <w:rFonts w:ascii="Arial" w:cs="Arial" w:eastAsia="Arial" w:hAnsi="Arial"/>
                <w:b/>
                <w:bCs/>
                <w:caps w:val="false"/>
                <w:color w:val="1F3864"/>
                <w:sz w:val="22"/>
                <w:szCs w:val="22"/>
              </w:rPr>
              <w:t xml:space="preserve">Selagem de Embalagens (Indução, Termosselagem e Lacre)</w:t>
            </w: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left"/>
            </w:pPr>
            <w:r>
              <w:rPr>
                <w:rFonts w:ascii="Arial" w:cs="Arial" w:eastAsia="Arial" w:hAnsi="Arial"/>
                <w:b/>
                <w:bCs/>
                <w:caps w:val="false"/>
                <w:color w:val="D6E4F0"/>
                <w:sz w:val="16"/>
                <w:szCs w:val="16"/>
              </w:rPr>
              <w:t xml:space="preserve">Código: </w:t>
            </w:r>
            <w:r>
              <w:rPr>
                <w:rFonts w:ascii="Arial" w:cs="Arial" w:eastAsia="Arial" w:hAnsi="Arial"/>
                <w:b/>
                <w:bCs/>
                <w:caps w:val="false"/>
                <w:color w:val="FFFFFF"/>
                <w:sz w:val="18"/>
                <w:szCs w:val="18"/>
              </w:rPr>
              <w:t xml:space="preserve">POP-PROD-012</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20"/>
              <w:jc w:val="left"/>
            </w:pPr>
            <w:r>
              <w:rPr>
                <w:rFonts w:ascii="Arial" w:cs="Arial" w:eastAsia="Arial" w:hAnsi="Arial"/>
                <w:b/>
                <w:bCs/>
                <w:caps w:val="false"/>
                <w:color w:val="D6E4F0"/>
                <w:sz w:val="16"/>
                <w:szCs w:val="16"/>
              </w:rPr>
              <w:t xml:space="preserve">Versão: </w:t>
            </w:r>
            <w:r>
              <w:rPr>
                <w:rFonts w:ascii="Arial" w:cs="Arial" w:eastAsia="Arial" w:hAnsi="Arial"/>
                <w:b/>
                <w:bCs/>
                <w:caps w:val="false"/>
                <w:color w:val="FFFFFF"/>
                <w:sz w:val="18"/>
                <w:szCs w:val="18"/>
              </w:rPr>
              <w:t xml:space="preserve">01</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60" w:before="20"/>
              <w:jc w:val="left"/>
            </w:pPr>
            <w:r>
              <w:rPr>
                <w:rFonts w:ascii="Arial" w:cs="Arial" w:eastAsia="Arial" w:hAnsi="Arial"/>
                <w:b/>
                <w:bCs/>
                <w:caps w:val="false"/>
                <w:color w:val="D6E4F0"/>
                <w:sz w:val="16"/>
                <w:szCs w:val="16"/>
              </w:rPr>
              <w:t xml:space="preserve">Emissão: </w:t>
            </w:r>
            <w:r>
              <w:rPr>
                <w:rFonts w:ascii="Arial" w:cs="Arial" w:eastAsia="Arial" w:hAnsi="Arial"/>
                <w:b w:val="false"/>
                <w:bCs w:val="false"/>
                <w:caps w:val="false"/>
                <w:color w:val="FFFFFF"/>
                <w:sz w:val="18"/>
                <w:szCs w:val="18"/>
              </w:rPr>
              <w:t xml:space="preserve">Jun/2025</w:t>
            </w:r>
          </w:p>
        </w:tc>
      </w:tr>
      <w:tr>
        <w:tc>
          <w:tcPr>
            <w:tcW w:type="dxa" w:w="2120"/>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Elaborado por:</w:t>
            </w:r>
          </w:p>
          <w:p>
            <w:pPr>
              <w:spacing w:after="20" w:before="0"/>
              <w:jc w:val="center"/>
            </w:pPr>
            <w:r>
              <w:rPr>
                <w:rFonts w:ascii="Arial" w:cs="Arial" w:eastAsia="Arial" w:hAnsi="Arial"/>
                <w:b w:val="false"/>
                <w:bCs w:val="false"/>
                <w:caps w:val="false"/>
                <w:color w:val="111111"/>
                <w:sz w:val="16"/>
                <w:szCs w:val="16"/>
              </w:rPr>
              <w:t xml:space="preserve">Responsável Técnico</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4915"/>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Verificado por:</w:t>
            </w:r>
          </w:p>
          <w:p>
            <w:pPr>
              <w:spacing w:after="20" w:before="0"/>
              <w:jc w:val="center"/>
            </w:pPr>
            <w:r>
              <w:rPr>
                <w:rFonts w:ascii="Arial" w:cs="Arial" w:eastAsia="Arial" w:hAnsi="Arial"/>
                <w:b w:val="false"/>
                <w:bCs w:val="false"/>
                <w:caps w:val="false"/>
                <w:color w:val="111111"/>
                <w:sz w:val="16"/>
                <w:szCs w:val="16"/>
              </w:rPr>
              <w:t xml:space="preserve">Garantia da Qualidade</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2602"/>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Aprovado por:</w:t>
            </w:r>
          </w:p>
          <w:p>
            <w:pPr>
              <w:spacing w:after="20" w:before="0"/>
              <w:jc w:val="center"/>
            </w:pPr>
            <w:r>
              <w:rPr>
                <w:rFonts w:ascii="Arial" w:cs="Arial" w:eastAsia="Arial" w:hAnsi="Arial"/>
                <w:b w:val="false"/>
                <w:bCs w:val="false"/>
                <w:caps w:val="false"/>
                <w:color w:val="111111"/>
                <w:sz w:val="16"/>
                <w:szCs w:val="16"/>
              </w:rPr>
              <w:t xml:space="preserve">Diretoria / RT</w:t>
            </w:r>
          </w:p>
          <w:p>
            <w:pPr>
              <w:spacing w:after="60" w:before="20"/>
              <w:jc w:val="center"/>
            </w:pPr>
            <w:r>
              <w:rPr>
                <w:rFonts w:ascii="Arial" w:cs="Arial" w:eastAsia="Arial" w:hAnsi="Arial"/>
                <w:b w:val="false"/>
                <w:bCs w:val="false"/>
                <w:caps w:val="false"/>
                <w:color w:val="888888"/>
                <w:sz w:val="15"/>
                <w:szCs w:val="15"/>
              </w:rPr>
              <w:t xml:space="preserve">_____ / ____/____</w:t>
            </w:r>
          </w:p>
        </w:tc>
      </w:tr>
    </w:tbl>
    <w:p>
      <w:pPr>
        <w:spacing w:after="80" w:before="16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 OBJETIVO</w:t>
      </w:r>
    </w:p>
    <w:p>
      <w:pPr>
        <w:spacing w:after="80" w:before="80"/>
        <w:jc w:val="both"/>
      </w:pPr>
      <w:r>
        <w:rPr>
          <w:rFonts w:ascii="Arial" w:cs="Arial" w:eastAsia="Arial" w:hAnsi="Arial"/>
          <w:b w:val="false"/>
          <w:bCs w:val="false"/>
          <w:caps w:val="false"/>
          <w:color w:val="111111"/>
          <w:sz w:val="20"/>
          <w:szCs w:val="20"/>
        </w:rPr>
        <w:t xml:space="preserve">Padronizar o processo de selagem das embalagens primárias de suplementos alimentares (selagem por indução, termosselagem de sachês/blisters e fechamento com lacre de segurança), garantindo a integridade do fechamento, a proteção contra violação e a conservação da qualidade do produto durante toda a vida útil.</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2. CAMPO DE APLICAÇÃO</w:t>
      </w:r>
    </w:p>
    <w:p>
      <w:pPr>
        <w:spacing w:after="80" w:before="80"/>
        <w:jc w:val="both"/>
      </w:pPr>
      <w:r>
        <w:rPr>
          <w:rFonts w:ascii="Arial" w:cs="Arial" w:eastAsia="Arial" w:hAnsi="Arial"/>
          <w:b w:val="false"/>
          <w:bCs w:val="false"/>
          <w:caps w:val="false"/>
          <w:color w:val="111111"/>
          <w:sz w:val="20"/>
          <w:szCs w:val="20"/>
        </w:rPr>
        <w:t xml:space="preserve">Aplica-se a todas as operações de selagem realizadas após o envase, incluindo selagem por indução em frascos e potes, termosselagem de sachês e blisters, e aplicação de lacres de segurança (anel de inviolabilidade, fita de segurança).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3. RESPONSABILIDADES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6746"/>
      </w:tblGrid>
      <w:tr>
        <w:trPr>
          <w:tblHeader/>
        </w:trPr>
        <w:tc>
          <w:tcPr>
            <w:tcW w:type="dxa" w:w="289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Função / Cargo</w:t>
            </w:r>
          </w:p>
        </w:tc>
        <w:tc>
          <w:tcPr>
            <w:tcW w:type="dxa" w:w="6746"/>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Responsabilidade</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Operador de Selagem</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Configurar e operar o equipamento de selagem, executar a inspeção de integridade e registrar os dados.</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Supervisor de Produção</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Verificar os parâmetros de selagem, supervisionar a inspeção e aprovar os registros.</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Controle de Qualidade</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Realizar testes de integridade de selagem (torque, tração, vácuo) e aprovar o lote para rotulagem.</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Manutenção</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Manter os equipamentos de selagem calibrados e em condições operacionais (temperatura, pressão, tempo).</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4. DEFINIÇÕES E ABREVIAÇÕES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698"/>
        <w:gridCol w:w="6939"/>
      </w:tblGrid>
      <w:tr>
        <w:trPr>
          <w:tblHeader/>
        </w:trPr>
        <w:tc>
          <w:tcPr>
            <w:tcW w:type="dxa" w:w="2698"/>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Termo / Sigla</w:t>
            </w:r>
          </w:p>
        </w:tc>
        <w:tc>
          <w:tcPr>
            <w:tcW w:type="dxa" w:w="693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Definição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Selagem por indução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Processo que utiliza campo eletromagnético para aderir um disco de aluminizado/polímero à boca do frasco, criando vedação hermética.</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Termosselagem</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Processo de fechamento por aplicação de calor e pressão em materiais termoplásticos (sachês, blisters).</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Lacre de inviolabilidade</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Dispositivo (anel plástico, fita) que evidencia visualmente se a embalagem foi aberta antes do uso pelo consumidor.</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Torque</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Força de torção necessária para abrir ou fechar uma tampa rosqueada; parâmetro crítico de qualidade do fechamento.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Teste de vácuo/pressão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Método de verificação da hermeticidade da selagem por diferencial de pressão.</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5. MATERIAIS, EQUIPAMENTOS E EPIs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Seladora de indução com controle de potência e tempo de exposição calibrado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Termoseladora com controle de temperatura (ambos os lados) e tempo de contato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Discos de selagem por indução (aluminizado/polímero) – lote aprovado pelo CQ</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Filme/material de termosselagem (laminado) – lote aprovado pelo CQ</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Torquímetro calibrado para verificação de tampas rosqueadas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Termômetro infravermelho calibrado para verificação da temperatura de selagem</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Kit de teste de vácuo/pressão (quando aplicável)</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EPI: jaleco, luvas resistentes a calor (termosselagem), óculos, touca, propé</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FOR-PROD-011 – Registro de Selagem | OP aprovada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6. PROCEDIMENTO DETALHADO</w:t>
      </w:r>
    </w:p>
    <w:p>
      <w:pPr>
        <w:spacing w:after="60" w:before="140"/>
        <w:jc w:val="left"/>
      </w:pPr>
      <w:r>
        <w:rPr>
          <w:rFonts w:ascii="Arial" w:cs="Arial" w:eastAsia="Arial" w:hAnsi="Arial"/>
          <w:b/>
          <w:bCs/>
          <w:caps w:val="false"/>
          <w:color w:val="1F3864"/>
          <w:sz w:val="20"/>
          <w:szCs w:val="20"/>
        </w:rPr>
        <w:t xml:space="preserve">6.1 Preparação do Equipamento</w:t>
      </w:r>
    </w:p>
    <w:p>
      <w:pPr>
        <w:pStyle w:val="ListParagraph"/>
        <w:numPr>
          <w:ilvl w:val="0"/>
          <w:numId w:val="17"/>
        </w:numPr>
        <w:spacing w:after="80" w:before="80"/>
        <w:jc w:val="both"/>
      </w:pPr>
      <w:r>
        <w:rPr>
          <w:rFonts w:ascii="Arial" w:cs="Arial" w:eastAsia="Arial" w:hAnsi="Arial"/>
          <w:b w:val="false"/>
          <w:bCs w:val="false"/>
          <w:caps w:val="false"/>
          <w:color w:val="111111"/>
          <w:sz w:val="20"/>
          <w:szCs w:val="20"/>
        </w:rPr>
        <w:t xml:space="preserve">Verificar limpeza e status do equipamento de selagem. Inspecionar os componentes: bobina de indução, resistências de termosselagem, sensores de temperatura.</w:t>
      </w:r>
    </w:p>
    <w:p>
      <w:pPr>
        <w:pStyle w:val="ListParagraph"/>
        <w:numPr>
          <w:ilvl w:val="0"/>
          <w:numId w:val="17"/>
        </w:numPr>
        <w:spacing w:after="80" w:before="80"/>
        <w:jc w:val="both"/>
      </w:pPr>
      <w:r>
        <w:rPr>
          <w:rFonts w:ascii="Arial" w:cs="Arial" w:eastAsia="Arial" w:hAnsi="Arial"/>
          <w:b w:val="false"/>
          <w:bCs w:val="false"/>
          <w:caps w:val="false"/>
          <w:color w:val="111111"/>
          <w:sz w:val="20"/>
          <w:szCs w:val="20"/>
        </w:rPr>
        <w:t xml:space="preserve">Ajustar os parâmetros de selagem conforme a especificação do produto e da embalagem (potência/tempo para indução; temperatura/tempo/pressão para termosselagem). Consultar a tabela de parâmetros validados por tipo de embalagem.</w:t>
      </w:r>
    </w:p>
    <w:p>
      <w:pPr>
        <w:spacing w:after="60" w:before="140"/>
        <w:jc w:val="left"/>
      </w:pPr>
      <w:r>
        <w:rPr>
          <w:rFonts w:ascii="Arial" w:cs="Arial" w:eastAsia="Arial" w:hAnsi="Arial"/>
          <w:b/>
          <w:bCs/>
          <w:caps w:val="false"/>
          <w:color w:val="1F3864"/>
          <w:sz w:val="20"/>
          <w:szCs w:val="20"/>
        </w:rPr>
        <w:t xml:space="preserve">6.2 Calibração e Teste Inicial</w:t>
      </w:r>
    </w:p>
    <w:p>
      <w:pPr>
        <w:pStyle w:val="ListParagraph"/>
        <w:numPr>
          <w:ilvl w:val="0"/>
          <w:numId w:val="17"/>
        </w:numPr>
        <w:spacing w:after="80" w:before="80"/>
        <w:jc w:val="both"/>
      </w:pPr>
      <w:r>
        <w:rPr>
          <w:rFonts w:ascii="Arial" w:cs="Arial" w:eastAsia="Arial" w:hAnsi="Arial"/>
          <w:b w:val="false"/>
          <w:bCs w:val="false"/>
          <w:caps w:val="false"/>
          <w:color w:val="111111"/>
          <w:sz w:val="20"/>
          <w:szCs w:val="20"/>
        </w:rPr>
        <w:t xml:space="preserve">Selar 10 unidades de teste com os parâmetros ajustados. Verificar a integridade de cada uma: para indução, observar a aderência completa do disco sem bolhas ou descolamento; para termosselagem, verificar a uniformidade da solda sem furos ou rugas.</w:t>
      </w:r>
    </w:p>
    <w:p>
      <w:pPr>
        <w:pStyle w:val="ListParagraph"/>
        <w:numPr>
          <w:ilvl w:val="0"/>
          <w:numId w:val="17"/>
        </w:numPr>
        <w:spacing w:after="80" w:before="80"/>
        <w:jc w:val="both"/>
      </w:pPr>
      <w:r>
        <w:rPr>
          <w:rFonts w:ascii="Arial" w:cs="Arial" w:eastAsia="Arial" w:hAnsi="Arial"/>
          <w:b w:val="false"/>
          <w:bCs w:val="false"/>
          <w:caps w:val="false"/>
          <w:color w:val="111111"/>
          <w:sz w:val="20"/>
          <w:szCs w:val="20"/>
        </w:rPr>
        <w:t xml:space="preserve">Realizar teste de torque (frascos com tampa rosqueada): o torque de abertura deve estar dentro do range especificado (tipicamente 0,5–1,5 N·m, conforme tipo de tampa). Realizar teste de vácuo/pressão quando aplicável.</w:t>
      </w:r>
    </w:p>
    <w:p>
      <w:pPr>
        <w:pStyle w:val="ListParagraph"/>
        <w:numPr>
          <w:ilvl w:val="0"/>
          <w:numId w:val="17"/>
        </w:numPr>
        <w:spacing w:after="80" w:before="80"/>
        <w:jc w:val="both"/>
      </w:pPr>
      <w:r>
        <w:rPr>
          <w:rFonts w:ascii="Arial" w:cs="Arial" w:eastAsia="Arial" w:hAnsi="Arial"/>
          <w:b w:val="false"/>
          <w:bCs w:val="false"/>
          <w:caps w:val="false"/>
          <w:color w:val="111111"/>
          <w:sz w:val="20"/>
          <w:szCs w:val="20"/>
        </w:rPr>
        <w:t xml:space="preserve">Somente iniciar a produção após aprovação de 10 unidades consecutivas de teste. Registrar os parâmetros finais em FOR-PROD-011.</w:t>
      </w:r>
    </w:p>
    <w:p>
      <w:pPr>
        <w:spacing w:after="60" w:before="140"/>
        <w:jc w:val="left"/>
      </w:pPr>
      <w:r>
        <w:rPr>
          <w:rFonts w:ascii="Arial" w:cs="Arial" w:eastAsia="Arial" w:hAnsi="Arial"/>
          <w:b/>
          <w:bCs/>
          <w:caps w:val="false"/>
          <w:color w:val="1F3864"/>
          <w:sz w:val="20"/>
          <w:szCs w:val="20"/>
        </w:rPr>
        <w:t xml:space="preserve">6.3 Produção e Controles em Processo</w:t>
      </w:r>
    </w:p>
    <w:p>
      <w:pPr>
        <w:pStyle w:val="ListParagraph"/>
        <w:numPr>
          <w:ilvl w:val="0"/>
          <w:numId w:val="17"/>
        </w:numPr>
        <w:spacing w:after="80" w:before="80"/>
        <w:jc w:val="both"/>
      </w:pPr>
      <w:r>
        <w:rPr>
          <w:rFonts w:ascii="Arial" w:cs="Arial" w:eastAsia="Arial" w:hAnsi="Arial"/>
          <w:b w:val="false"/>
          <w:bCs w:val="false"/>
          <w:caps w:val="false"/>
          <w:color w:val="111111"/>
          <w:sz w:val="20"/>
          <w:szCs w:val="20"/>
        </w:rPr>
        <w:t xml:space="preserve">Iniciar a selagem do lote. A cada 30 minutos, retirar 5 unidades aleatórias e verificar visualmente a integridade da selagem (aderência completa, ausência de bolhas, furos ou rugas).</w:t>
      </w:r>
    </w:p>
    <w:p>
      <w:pPr>
        <w:pBdr>
          <w:left w:val="single" w:color="C00000" w:sz="12"/>
        </w:pBdr>
        <w:spacing w:after="100" w:before="100"/>
        <w:ind w:left="600"/>
      </w:pPr>
      <w:r>
        <w:rPr>
          <w:rFonts w:ascii="Arial" w:cs="Arial" w:eastAsia="Arial" w:hAnsi="Arial"/>
          <w:b/>
          <w:bCs/>
          <w:caps w:val="false"/>
          <w:color w:val="C00000"/>
          <w:sz w:val="20"/>
          <w:szCs w:val="20"/>
        </w:rPr>
        <w:t xml:space="preserve">ATENÇÃO: </w:t>
      </w:r>
      <w:r>
        <w:rPr>
          <w:rFonts w:ascii="Arial" w:cs="Arial" w:eastAsia="Arial" w:hAnsi="Arial"/>
          <w:b/>
          <w:bCs/>
          <w:caps w:val="false"/>
          <w:color w:val="C00000"/>
          <w:sz w:val="20"/>
          <w:szCs w:val="20"/>
        </w:rPr>
        <w:t xml:space="preserve">Selagem incompleta ou ausente é uma não conformidade CRÍTICA – compromete diretamente a vida útil e a segurança microbiológica do produto. Nenhuma unidade com selagem comprometida pode seguir para expedição.</w:t>
      </w:r>
    </w:p>
    <w:p>
      <w:pPr>
        <w:pStyle w:val="ListParagraph"/>
        <w:numPr>
          <w:ilvl w:val="0"/>
          <w:numId w:val="17"/>
        </w:numPr>
        <w:spacing w:after="80" w:before="80"/>
        <w:jc w:val="both"/>
      </w:pPr>
      <w:r>
        <w:rPr>
          <w:rFonts w:ascii="Arial" w:cs="Arial" w:eastAsia="Arial" w:hAnsi="Arial"/>
          <w:b w:val="false"/>
          <w:bCs w:val="false"/>
          <w:caps w:val="false"/>
          <w:color w:val="111111"/>
          <w:sz w:val="20"/>
          <w:szCs w:val="20"/>
        </w:rPr>
        <w:t xml:space="preserve">Para selagem por indução: verificar periodicamente (a cada hora) com teste de "puxar a tampa" em 2 unidades – o disco deve permanecer aderido ao gargalo após a remoção da tampa.</w:t>
      </w:r>
    </w:p>
    <w:p>
      <w:pPr>
        <w:pStyle w:val="ListParagraph"/>
        <w:numPr>
          <w:ilvl w:val="0"/>
          <w:numId w:val="17"/>
        </w:numPr>
        <w:spacing w:after="80" w:before="80"/>
        <w:jc w:val="both"/>
      </w:pPr>
      <w:r>
        <w:rPr>
          <w:rFonts w:ascii="Arial" w:cs="Arial" w:eastAsia="Arial" w:hAnsi="Arial"/>
          <w:b w:val="false"/>
          <w:bCs w:val="false"/>
          <w:caps w:val="false"/>
          <w:color w:val="111111"/>
          <w:sz w:val="20"/>
          <w:szCs w:val="20"/>
        </w:rPr>
        <w:t xml:space="preserve">Para lacres de inviolabilidade: inspecionar 100% das unidades visualmente quanto à presença e à correta aplicação do lacre/anel.</w:t>
      </w:r>
    </w:p>
    <w:p>
      <w:pPr>
        <w:spacing w:after="60" w:before="140"/>
        <w:jc w:val="left"/>
      </w:pPr>
      <w:r>
        <w:rPr>
          <w:rFonts w:ascii="Arial" w:cs="Arial" w:eastAsia="Arial" w:hAnsi="Arial"/>
          <w:b/>
          <w:bCs/>
          <w:caps w:val="false"/>
          <w:color w:val="1F3864"/>
          <w:sz w:val="20"/>
          <w:szCs w:val="20"/>
        </w:rPr>
        <w:t xml:space="preserve">6.4 Inspeção de Integridade (100%)</w:t>
      </w:r>
    </w:p>
    <w:p>
      <w:pPr>
        <w:pStyle w:val="ListParagraph"/>
        <w:numPr>
          <w:ilvl w:val="0"/>
          <w:numId w:val="17"/>
        </w:numPr>
        <w:spacing w:after="80" w:before="80"/>
        <w:jc w:val="both"/>
      </w:pPr>
      <w:r>
        <w:rPr>
          <w:rFonts w:ascii="Arial" w:cs="Arial" w:eastAsia="Arial" w:hAnsi="Arial"/>
          <w:b w:val="false"/>
          <w:bCs w:val="false"/>
          <w:caps w:val="false"/>
          <w:color w:val="111111"/>
          <w:sz w:val="20"/>
          <w:szCs w:val="20"/>
        </w:rPr>
        <w:t xml:space="preserve">Inspecionar visualmente 100% das unidades seladas antes de encaminhar para rotulagem: integridade do disco/solda, ausência de vazamento, presença do lacre de segurança.</w:t>
      </w:r>
    </w:p>
    <w:p>
      <w:pPr>
        <w:pStyle w:val="ListParagraph"/>
        <w:numPr>
          <w:ilvl w:val="0"/>
          <w:numId w:val="17"/>
        </w:numPr>
        <w:spacing w:after="80" w:before="80"/>
        <w:jc w:val="both"/>
      </w:pPr>
      <w:r>
        <w:rPr>
          <w:rFonts w:ascii="Arial" w:cs="Arial" w:eastAsia="Arial" w:hAnsi="Arial"/>
          <w:b w:val="false"/>
          <w:bCs w:val="false"/>
          <w:caps w:val="false"/>
          <w:color w:val="111111"/>
          <w:sz w:val="20"/>
          <w:szCs w:val="20"/>
        </w:rPr>
        <w:t xml:space="preserve">Segregar imediatamente qualquer unidade com selagem comprometida. Não retrabalhar selagem defeituosa sem avaliação do CQ – em muitos casos, o material de selagem não pode ser reaproveitado.</w:t>
      </w:r>
    </w:p>
    <w:p>
      <w:pPr>
        <w:spacing w:after="60" w:before="140"/>
        <w:jc w:val="left"/>
      </w:pPr>
      <w:r>
        <w:rPr>
          <w:rFonts w:ascii="Arial" w:cs="Arial" w:eastAsia="Arial" w:hAnsi="Arial"/>
          <w:b/>
          <w:bCs/>
          <w:caps w:val="false"/>
          <w:color w:val="1F3864"/>
          <w:sz w:val="20"/>
          <w:szCs w:val="20"/>
        </w:rPr>
        <w:t xml:space="preserve">6.5 Encerramento</w:t>
      </w:r>
    </w:p>
    <w:p>
      <w:pPr>
        <w:pStyle w:val="ListParagraph"/>
        <w:numPr>
          <w:ilvl w:val="0"/>
          <w:numId w:val="17"/>
        </w:numPr>
        <w:spacing w:after="80" w:before="80"/>
        <w:jc w:val="both"/>
      </w:pPr>
      <w:r>
        <w:rPr>
          <w:rFonts w:ascii="Arial" w:cs="Arial" w:eastAsia="Arial" w:hAnsi="Arial"/>
          <w:b w:val="false"/>
          <w:bCs w:val="false"/>
          <w:caps w:val="false"/>
          <w:color w:val="111111"/>
          <w:sz w:val="20"/>
          <w:szCs w:val="20"/>
        </w:rPr>
        <w:t xml:space="preserve">Registrar na OP a quantidade selada, o refugo e o rendimento. Encaminhar o lote aprovado para a etapa de rotulagem (POP-PROD-013), mantendo a identificação do lote.</w:t>
      </w:r>
    </w:p>
    <w:p>
      <w:pPr>
        <w:pStyle w:val="ListParagraph"/>
        <w:numPr>
          <w:ilvl w:val="0"/>
          <w:numId w:val="17"/>
        </w:numPr>
        <w:spacing w:after="80" w:before="80"/>
        <w:jc w:val="both"/>
      </w:pPr>
      <w:r>
        <w:rPr>
          <w:rFonts w:ascii="Arial" w:cs="Arial" w:eastAsia="Arial" w:hAnsi="Arial"/>
          <w:b w:val="false"/>
          <w:bCs w:val="false"/>
          <w:caps w:val="false"/>
          <w:color w:val="111111"/>
          <w:sz w:val="20"/>
          <w:szCs w:val="20"/>
        </w:rPr>
        <w:t xml:space="preserve">Limpar o equipamento de selagem conforme POP-LIMP-001.</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7. FREQUÊNCIA DE EXECUÇÃO</w:t>
      </w:r>
    </w:p>
    <w:p>
      <w:pPr>
        <w:spacing w:after="80" w:before="80"/>
        <w:jc w:val="both"/>
      </w:pPr>
      <w:r>
        <w:rPr>
          <w:rFonts w:ascii="Arial" w:cs="Arial" w:eastAsia="Arial" w:hAnsi="Arial"/>
          <w:b w:val="false"/>
          <w:bCs w:val="false"/>
          <w:caps w:val="false"/>
          <w:color w:val="111111"/>
          <w:sz w:val="20"/>
          <w:szCs w:val="20"/>
        </w:rPr>
        <w:t xml:space="preserve">A cada lote produzido, para todas as formas de embalagem que requerem selagem.</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8. REGISTROS OBRIGATÓRIOS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FOR-PROD-011 – Registro de Selagem (parâmetros, IPC, inspeção 100%, rendimento)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FOR-PROD-001 – Ordem de Produção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FOR-CQ-014 – Teste de Torque/Vácuo (quando aplicável)</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FOR-LIMP-002 – Limpeza de Equipamentos</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9. CRITÉRIOS DE ACEITAÇÃO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Integridade da selagem: 100% das unidades com selagem completa, sem bolhas, furos ou rugas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Torque de abertura (tampas rosqueadas): dentro do range especificado (± tolerância validada)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Lacre de inviolabilidade: 100% presente e corretamente aplicado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Teste de "puxar a tampa" (indução): disco aderido ao gargalo em 100% das verificações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Rendimento: ≥ 98% (perdas admissíveis por ajuste e teste)</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10. PONTOS CRÍTICOS DE CONTROLE (PCC / HACCP)</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675"/>
        <w:gridCol w:w="1735"/>
        <w:gridCol w:w="2024"/>
        <w:gridCol w:w="3469"/>
        <w:gridCol w:w="1735"/>
      </w:tblGrid>
      <w:tr>
        <w:trPr>
          <w:tblHeader/>
        </w:trPr>
        <w:tc>
          <w:tcPr>
            <w:tcW w:type="dxa" w:w="67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PCC</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Parâmetro</w:t>
            </w:r>
          </w:p>
        </w:tc>
        <w:tc>
          <w:tcPr>
            <w:tcW w:type="dxa" w:w="202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Limite Crítico</w:t>
            </w:r>
          </w:p>
        </w:tc>
        <w:tc>
          <w:tcPr>
            <w:tcW w:type="dxa" w:w="346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Ação Corretiva</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Frequência</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PCC1</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Integridade da selagem (hermeticidade)</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das unidades sem falhas visuais ou de aderência</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Segregar e reprocessar (se material permitir) ou descartar unidades com selagem comprometida. Reajustar parâmetros do equipamento. Reinspecionar 100% antes de liberar.</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inspeção visual pós-selagem</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PCC2</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Temperatura/potência de selagem</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Conforme parâmetro validado por tipo de embalagem</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Interromper produção. Recalibrar o equipamento. Repetir teste de 10 unidades antes de retomar.</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 cada início de lote e a cada hora</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PCC3</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Presença do lacre de inviolabilidade</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presente</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Segregar unidades sem lacre. Não liberar para expedição. Acrescentar lacre manualmente apenas se procedimento de retrabalho aprovado existir.</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inspeção visual</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11. AÇÕES CORRETIVAS EM CASO DE DESVIO</w:t>
      </w:r>
    </w:p>
    <w:p>
      <w:pPr>
        <w:pStyle w:val="ListParagraph"/>
        <w:numPr>
          <w:ilvl w:val="0"/>
          <w:numId w:val="18"/>
        </w:numPr>
        <w:spacing w:after="80" w:before="80"/>
        <w:jc w:val="both"/>
      </w:pPr>
      <w:r>
        <w:rPr>
          <w:rFonts w:ascii="Arial" w:cs="Arial" w:eastAsia="Arial" w:hAnsi="Arial"/>
          <w:b w:val="false"/>
          <w:bCs w:val="false"/>
          <w:caps w:val="false"/>
          <w:color w:val="111111"/>
          <w:sz w:val="20"/>
          <w:szCs w:val="20"/>
        </w:rPr>
        <w:t xml:space="preserve">Selagem comprometida identificada: segregar imediatamente toda a produção desde a última verificação aprovada. Reajustar o equipamento. Reverificar com 10 unidades antes de retomar a produção.</w:t>
      </w:r>
    </w:p>
    <w:p>
      <w:pPr>
        <w:pStyle w:val="ListParagraph"/>
        <w:numPr>
          <w:ilvl w:val="0"/>
          <w:numId w:val="18"/>
        </w:numPr>
        <w:spacing w:after="80" w:before="80"/>
        <w:jc w:val="both"/>
      </w:pPr>
      <w:r>
        <w:rPr>
          <w:rFonts w:ascii="Arial" w:cs="Arial" w:eastAsia="Arial" w:hAnsi="Arial"/>
          <w:b w:val="false"/>
          <w:bCs w:val="false"/>
          <w:caps w:val="false"/>
          <w:color w:val="111111"/>
          <w:sz w:val="20"/>
          <w:szCs w:val="20"/>
        </w:rPr>
        <w:t xml:space="preserve">Falha sistemática de selagem (&gt; 2% das unidades inspecionadas): interromper a produção. Acionar manutenção para verificar o equipamento. Notificar o RT. Abrir CAPA.</w:t>
      </w:r>
    </w:p>
    <w:p>
      <w:pPr>
        <w:pStyle w:val="ListParagraph"/>
        <w:numPr>
          <w:ilvl w:val="0"/>
          <w:numId w:val="18"/>
        </w:numPr>
        <w:spacing w:after="80" w:before="80"/>
        <w:jc w:val="both"/>
      </w:pPr>
      <w:r>
        <w:rPr>
          <w:rFonts w:ascii="Arial" w:cs="Arial" w:eastAsia="Arial" w:hAnsi="Arial"/>
          <w:b w:val="false"/>
          <w:bCs w:val="false"/>
          <w:caps w:val="false"/>
          <w:color w:val="111111"/>
          <w:sz w:val="20"/>
          <w:szCs w:val="20"/>
        </w:rPr>
        <w:t xml:space="preserve">Ausência de lacre de inviolabilidade: segregar e bloquear a expedição do lote até a correção. Notificar GQ.</w:t>
      </w:r>
    </w:p>
    <w:p>
      <w:pPr>
        <w:pStyle w:val="ListParagraph"/>
        <w:numPr>
          <w:ilvl w:val="0"/>
          <w:numId w:val="18"/>
        </w:numPr>
        <w:spacing w:after="80" w:before="80"/>
        <w:jc w:val="both"/>
      </w:pPr>
      <w:r>
        <w:rPr>
          <w:rFonts w:ascii="Arial" w:cs="Arial" w:eastAsia="Arial" w:hAnsi="Arial"/>
          <w:b w:val="false"/>
          <w:bCs w:val="false"/>
          <w:caps w:val="false"/>
          <w:color w:val="111111"/>
          <w:sz w:val="20"/>
          <w:szCs w:val="20"/>
        </w:rPr>
        <w:t xml:space="preserve">Registrar todos os desvios em FOR-NC-001, com classificação "Crítico" para falhas de hermeticidade que comprometam a segurança do produto.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12. FORMULÁRIOS E DOCUMENTOS RELACIONADOS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FOR-PROD-001 – Ordem de Produção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FOR-PROD-011 – Registro de Selagem</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FOR-CQ-014 – Teste de Torque/Vácuo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FOR-LIMP-002 – Limpeza de Equipamentos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FOR-NC-001 – Não Conformidade | FOR-GQ-003 – CAPA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13. HISTÓRICO DE REVISÕES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5493"/>
        <w:gridCol w:w="1831"/>
      </w:tblGrid>
      <w:tr>
        <w:trPr>
          <w:tblHeader/>
        </w:trPr>
        <w:tc>
          <w:tcPr>
            <w:tcW w:type="dxa" w:w="96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Versão</w:t>
            </w:r>
          </w:p>
        </w:tc>
        <w:tc>
          <w:tcPr>
            <w:tcW w:type="dxa" w:w="134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Data</w:t>
            </w:r>
          </w:p>
        </w:tc>
        <w:tc>
          <w:tcPr>
            <w:tcW w:type="dxa" w:w="5493"/>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Descrição</w:t>
            </w:r>
          </w:p>
        </w:tc>
        <w:tc>
          <w:tcPr>
            <w:tcW w:type="dxa" w:w="183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Resp.</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01</w:t>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Jun/2025</w:t>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Emissão inicial do documento.</w:t>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RT/GQ</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r>
    </w:tbl>
    <w:p>
      <w:pPr>
        <w:spacing w:after="100" w:before="200"/>
      </w:pPr>
      <w:r>
        <w:rPr>
          <w:rFonts w:ascii="Arial" w:cs="Arial" w:eastAsia="Arial" w:hAnsi="Arial"/>
          <w:b w:val="false"/>
          <w:bCs w:val="false"/>
          <w:caps w:val="false"/>
          <w:color w:val="111111"/>
          <w:sz w:val="20"/>
          <w:szCs w:val="20"/>
        </w:rPr>
        <w:t xml:space="preserve"/>
      </w:r>
    </w:p>
    <w:p>
      <w:r>
        <w:br w:type="page"/>
      </w:r>
    </w:p>
    <w:p>
      <w:pPr>
        <w:pStyle w:val="Heading1"/>
        <w:spacing w:after="0" w:before="0"/>
      </w:pPr>
      <w:r>
        <w:rPr>
          <w:rFonts w:ascii="Arial" w:cs="Arial" w:eastAsia="Arial" w:hAnsi="Arial"/>
          <w:b w:val="false"/>
          <w:bCs w:val="false"/>
          <w:caps w:val="false"/>
          <w:color w:val="FFFFFF"/>
          <w:sz w:val="2"/>
          <w:szCs w:val="2"/>
        </w:rPr>
        <w:t xml:space="preserve">POP-PROD-013 — Rotulagem de Produtos Acabados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120"/>
        <w:gridCol w:w="4915"/>
        <w:gridCol w:w="2602"/>
      </w:tblGrid>
      <w:tr>
        <w:tc>
          <w:tcPr>
            <w:tcW w:type="dxa" w:w="2120"/>
            <w:vMerge w:val="restart"/>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FFFFFF"/>
                <w:sz w:val="17"/>
                <w:szCs w:val="17"/>
              </w:rPr>
              <w:t xml:space="preserve">INDÚSTRIA DE SUPLEMENTOS</w:t>
            </w:r>
          </w:p>
          <w:p>
            <w:pPr>
              <w:spacing w:after="60" w:before="0"/>
              <w:jc w:val="center"/>
            </w:pPr>
            <w:r>
              <w:rPr>
                <w:rFonts w:ascii="Arial" w:cs="Arial" w:eastAsia="Arial" w:hAnsi="Arial"/>
                <w:b w:val="false"/>
                <w:bCs w:val="false"/>
                <w:caps w:val="false"/>
                <w:color w:val="D6E4F0"/>
                <w:sz w:val="15"/>
                <w:szCs w:val="15"/>
              </w:rPr>
              <w:t xml:space="preserve">Alimentos para Fins Especiais</w:t>
            </w:r>
          </w:p>
        </w:tc>
        <w:tc>
          <w:tcPr>
            <w:tcW w:type="dxa" w:w="4915"/>
            <w:vMerge w:val="restart"/>
            <w:tcBorders>
              <w:top w:val="single" w:color="1F3864" w:sz="4"/>
              <w:left w:val="single" w:color="1F3864" w:sz="4"/>
              <w:bottom w:val="single" w:color="1F3864" w:sz="4"/>
              <w:right w:val="single" w:color="1F3864" w:sz="4"/>
            </w:tcBorders>
            <w:shd w:fill="D6E4F0" w:val="clear"/>
            <w:tcMar>
              <w:top w:type="dxa" w:w="80"/>
              <w:left w:type="dxa" w:w="100"/>
              <w:bottom w:type="dxa" w:w="80"/>
              <w:right w:type="dxa" w:w="100"/>
            </w:tcMar>
            <w:vAlign w:val="center"/>
          </w:tcPr>
          <w:p>
            <w:pPr>
              <w:spacing w:after="40" w:before="60"/>
              <w:jc w:val="center"/>
            </w:pPr>
            <w:r>
              <w:rPr>
                <w:rFonts w:ascii="Arial" w:cs="Arial" w:eastAsia="Arial" w:hAnsi="Arial"/>
                <w:b/>
                <w:bCs/>
                <w:caps/>
                <w:color w:val="1F3864"/>
                <w:sz w:val="17"/>
                <w:szCs w:val="17"/>
              </w:rPr>
              <w:t xml:space="preserve">PROCEDIMENTO OPERACIONAL PADRÃO</w:t>
            </w:r>
          </w:p>
          <w:p>
            <w:pPr>
              <w:spacing w:after="60" w:before="0"/>
              <w:jc w:val="center"/>
            </w:pPr>
            <w:r>
              <w:rPr>
                <w:rFonts w:ascii="Arial" w:cs="Arial" w:eastAsia="Arial" w:hAnsi="Arial"/>
                <w:b/>
                <w:bCs/>
                <w:caps w:val="false"/>
                <w:color w:val="1F3864"/>
                <w:sz w:val="22"/>
                <w:szCs w:val="22"/>
              </w:rPr>
              <w:t xml:space="preserve">Rotulagem de Produtos Acabados</w:t>
            </w: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left"/>
            </w:pPr>
            <w:r>
              <w:rPr>
                <w:rFonts w:ascii="Arial" w:cs="Arial" w:eastAsia="Arial" w:hAnsi="Arial"/>
                <w:b/>
                <w:bCs/>
                <w:caps w:val="false"/>
                <w:color w:val="D6E4F0"/>
                <w:sz w:val="16"/>
                <w:szCs w:val="16"/>
              </w:rPr>
              <w:t xml:space="preserve">Código: </w:t>
            </w:r>
            <w:r>
              <w:rPr>
                <w:rFonts w:ascii="Arial" w:cs="Arial" w:eastAsia="Arial" w:hAnsi="Arial"/>
                <w:b/>
                <w:bCs/>
                <w:caps w:val="false"/>
                <w:color w:val="FFFFFF"/>
                <w:sz w:val="18"/>
                <w:szCs w:val="18"/>
              </w:rPr>
              <w:t xml:space="preserve">POP-PROD-013</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20"/>
              <w:jc w:val="left"/>
            </w:pPr>
            <w:r>
              <w:rPr>
                <w:rFonts w:ascii="Arial" w:cs="Arial" w:eastAsia="Arial" w:hAnsi="Arial"/>
                <w:b/>
                <w:bCs/>
                <w:caps w:val="false"/>
                <w:color w:val="D6E4F0"/>
                <w:sz w:val="16"/>
                <w:szCs w:val="16"/>
              </w:rPr>
              <w:t xml:space="preserve">Versão: </w:t>
            </w:r>
            <w:r>
              <w:rPr>
                <w:rFonts w:ascii="Arial" w:cs="Arial" w:eastAsia="Arial" w:hAnsi="Arial"/>
                <w:b/>
                <w:bCs/>
                <w:caps w:val="false"/>
                <w:color w:val="FFFFFF"/>
                <w:sz w:val="18"/>
                <w:szCs w:val="18"/>
              </w:rPr>
              <w:t xml:space="preserve">01</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60" w:before="20"/>
              <w:jc w:val="left"/>
            </w:pPr>
            <w:r>
              <w:rPr>
                <w:rFonts w:ascii="Arial" w:cs="Arial" w:eastAsia="Arial" w:hAnsi="Arial"/>
                <w:b/>
                <w:bCs/>
                <w:caps w:val="false"/>
                <w:color w:val="D6E4F0"/>
                <w:sz w:val="16"/>
                <w:szCs w:val="16"/>
              </w:rPr>
              <w:t xml:space="preserve">Emissão: </w:t>
            </w:r>
            <w:r>
              <w:rPr>
                <w:rFonts w:ascii="Arial" w:cs="Arial" w:eastAsia="Arial" w:hAnsi="Arial"/>
                <w:b w:val="false"/>
                <w:bCs w:val="false"/>
                <w:caps w:val="false"/>
                <w:color w:val="FFFFFF"/>
                <w:sz w:val="18"/>
                <w:szCs w:val="18"/>
              </w:rPr>
              <w:t xml:space="preserve">Jun/2025</w:t>
            </w:r>
          </w:p>
        </w:tc>
      </w:tr>
      <w:tr>
        <w:tc>
          <w:tcPr>
            <w:tcW w:type="dxa" w:w="2120"/>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Elaborado por:</w:t>
            </w:r>
          </w:p>
          <w:p>
            <w:pPr>
              <w:spacing w:after="20" w:before="0"/>
              <w:jc w:val="center"/>
            </w:pPr>
            <w:r>
              <w:rPr>
                <w:rFonts w:ascii="Arial" w:cs="Arial" w:eastAsia="Arial" w:hAnsi="Arial"/>
                <w:b w:val="false"/>
                <w:bCs w:val="false"/>
                <w:caps w:val="false"/>
                <w:color w:val="111111"/>
                <w:sz w:val="16"/>
                <w:szCs w:val="16"/>
              </w:rPr>
              <w:t xml:space="preserve">Responsável Técnico</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4915"/>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Verificado por:</w:t>
            </w:r>
          </w:p>
          <w:p>
            <w:pPr>
              <w:spacing w:after="20" w:before="0"/>
              <w:jc w:val="center"/>
            </w:pPr>
            <w:r>
              <w:rPr>
                <w:rFonts w:ascii="Arial" w:cs="Arial" w:eastAsia="Arial" w:hAnsi="Arial"/>
                <w:b w:val="false"/>
                <w:bCs w:val="false"/>
                <w:caps w:val="false"/>
                <w:color w:val="111111"/>
                <w:sz w:val="16"/>
                <w:szCs w:val="16"/>
              </w:rPr>
              <w:t xml:space="preserve">Garantia da Qualidade</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2602"/>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Aprovado por:</w:t>
            </w:r>
          </w:p>
          <w:p>
            <w:pPr>
              <w:spacing w:after="20" w:before="0"/>
              <w:jc w:val="center"/>
            </w:pPr>
            <w:r>
              <w:rPr>
                <w:rFonts w:ascii="Arial" w:cs="Arial" w:eastAsia="Arial" w:hAnsi="Arial"/>
                <w:b w:val="false"/>
                <w:bCs w:val="false"/>
                <w:caps w:val="false"/>
                <w:color w:val="111111"/>
                <w:sz w:val="16"/>
                <w:szCs w:val="16"/>
              </w:rPr>
              <w:t xml:space="preserve">Diretoria / RT</w:t>
            </w:r>
          </w:p>
          <w:p>
            <w:pPr>
              <w:spacing w:after="60" w:before="20"/>
              <w:jc w:val="center"/>
            </w:pPr>
            <w:r>
              <w:rPr>
                <w:rFonts w:ascii="Arial" w:cs="Arial" w:eastAsia="Arial" w:hAnsi="Arial"/>
                <w:b w:val="false"/>
                <w:bCs w:val="false"/>
                <w:caps w:val="false"/>
                <w:color w:val="888888"/>
                <w:sz w:val="15"/>
                <w:szCs w:val="15"/>
              </w:rPr>
              <w:t xml:space="preserve">_____ / ____/____</w:t>
            </w:r>
          </w:p>
        </w:tc>
      </w:tr>
    </w:tbl>
    <w:p>
      <w:pPr>
        <w:spacing w:after="80" w:before="16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 OBJETIVO</w:t>
      </w:r>
    </w:p>
    <w:p>
      <w:pPr>
        <w:spacing w:after="80" w:before="80"/>
        <w:jc w:val="both"/>
      </w:pPr>
      <w:r>
        <w:rPr>
          <w:rFonts w:ascii="Arial" w:cs="Arial" w:eastAsia="Arial" w:hAnsi="Arial"/>
          <w:b w:val="false"/>
          <w:bCs w:val="false"/>
          <w:caps w:val="false"/>
          <w:color w:val="111111"/>
          <w:sz w:val="20"/>
          <w:szCs w:val="20"/>
        </w:rPr>
        <w:t xml:space="preserve">Padronizar o processo de rotulagem de suplementos alimentares, garantindo a correta identificação do produto, do lote e da validade, a conformidade com as exigências de rotulagem da RDC 429/2020 e da IN 75/2020, e a rastreabilidade plena entre o rótulo aplicado e o lote produzido.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2. CAMPO DE APLICAÇÃO</w:t>
      </w:r>
    </w:p>
    <w:p>
      <w:pPr>
        <w:spacing w:after="80" w:before="80"/>
        <w:jc w:val="both"/>
      </w:pPr>
      <w:r>
        <w:rPr>
          <w:rFonts w:ascii="Arial" w:cs="Arial" w:eastAsia="Arial" w:hAnsi="Arial"/>
          <w:b w:val="false"/>
          <w:bCs w:val="false"/>
          <w:caps w:val="false"/>
          <w:color w:val="111111"/>
          <w:sz w:val="20"/>
          <w:szCs w:val="20"/>
        </w:rPr>
        <w:t xml:space="preserve">Aplica-se à rotulagem de todos os produtos acabados fabricados nesta indústria, incluindo rótulos autoadesivos, impressão direta (jato de tinta/laser) de lote e validade, e aplicação de selos/etiquetas complementares.</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3. RESPONSABILIDADES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6746"/>
      </w:tblGrid>
      <w:tr>
        <w:trPr>
          <w:tblHeader/>
        </w:trPr>
        <w:tc>
          <w:tcPr>
            <w:tcW w:type="dxa" w:w="289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Função / Cargo</w:t>
            </w:r>
          </w:p>
        </w:tc>
        <w:tc>
          <w:tcPr>
            <w:tcW w:type="dxa" w:w="6746"/>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Responsabilidade</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Operador de Rotulagem</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Conferir o rótulo correto antes de iniciar, executar a aplicação/impressão e realizar a inspeção visual.</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Supervisor de Produção</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Verificar a conferência de rótulo (reconciliação) e aprovar o início e o encerramento do lote.</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Controle de Qualidade</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Aprovar o rótulo (arte e conteúdo) antes do uso e validar a legibilidade do lote/validade impressos.</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Garantia da Qualidade</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Manter o controle de versões de rótulos aprovados e gerenciar mudanças de rotulagem.</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4. DEFINIÇÕES E ABREVIAÇÕES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698"/>
        <w:gridCol w:w="6939"/>
      </w:tblGrid>
      <w:tr>
        <w:trPr>
          <w:tblHeader/>
        </w:trPr>
        <w:tc>
          <w:tcPr>
            <w:tcW w:type="dxa" w:w="2698"/>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Termo / Sigla</w:t>
            </w:r>
          </w:p>
        </w:tc>
        <w:tc>
          <w:tcPr>
            <w:tcW w:type="dxa" w:w="693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Definição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Reconciliação de rótulos</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Processo de contagem e conferência da quantidade de rótulos utilizados, danificados e devolvidos, comparada com a quantidade entregue.</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Lote/Validade impressos</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Informação variável aplicada no momento da rotulagem (codificação), distinta do conteúdo fixo do rótulo (impresso gráfico).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RDC 429/2020</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Regulamento que dispõe sobre a rotulagem nutricional de alimentos embalados.</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IN 75/2020</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Instrução normativa que estabelece os requisitos técnicos para rotulagem nutricional.</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Arte do rótulo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Layout gráfico aprovado do rótulo, incluindo todos os textos, imagens e informações obrigatórias.</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Changeover</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Troca de produto/rótulo na linha de produção; requer verificação completa de remoção do material anterior.</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5. MATERIAIS, EQUIPAMENTOS E EPIs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Rótulos autoadesivos ou termoencolhíveis – lote aprovado pelo CQ, conforme arte vigente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Rotuladora automática/semiautomática ou aplicação manual (conforme volume)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Sistema de codificação (jato de tinta, laser ou impressora térmica) para lote e validade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Lupa ou conta-fios para verificação de nitidez de impressão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Planilha de reconciliação de rótulos (FOR-PROD-012)</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EPI: jaleco, luvas, touca, propé</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6. PROCEDIMENTO DETALHADO</w:t>
      </w:r>
    </w:p>
    <w:p>
      <w:pPr>
        <w:spacing w:after="60" w:before="140"/>
        <w:jc w:val="left"/>
      </w:pPr>
      <w:r>
        <w:rPr>
          <w:rFonts w:ascii="Arial" w:cs="Arial" w:eastAsia="Arial" w:hAnsi="Arial"/>
          <w:b/>
          <w:bCs/>
          <w:caps w:val="false"/>
          <w:color w:val="1F3864"/>
          <w:sz w:val="20"/>
          <w:szCs w:val="20"/>
        </w:rPr>
        <w:t xml:space="preserve">6.1 Verificação Pré-Operacional (Line Clearance)</w:t>
      </w:r>
    </w:p>
    <w:p>
      <w:pPr>
        <w:pStyle w:val="ListParagraph"/>
        <w:numPr>
          <w:ilvl w:val="0"/>
          <w:numId w:val="19"/>
        </w:numPr>
        <w:spacing w:after="80" w:before="80"/>
        <w:jc w:val="both"/>
      </w:pPr>
      <w:r>
        <w:rPr>
          <w:rFonts w:ascii="Arial" w:cs="Arial" w:eastAsia="Arial" w:hAnsi="Arial"/>
          <w:b w:val="false"/>
          <w:bCs w:val="false"/>
          <w:caps w:val="false"/>
          <w:color w:val="111111"/>
          <w:sz w:val="20"/>
          <w:szCs w:val="20"/>
        </w:rPr>
        <w:t xml:space="preserve">Antes de iniciar, verificar que a linha está livre de rótulos, embalagens ou produtos do lote/produto anterior (changeover). Registrar a verificação de "linha livre" assinada pelo supervisor.</w:t>
      </w:r>
    </w:p>
    <w:p>
      <w:pPr>
        <w:pStyle w:val="ListParagraph"/>
        <w:numPr>
          <w:ilvl w:val="0"/>
          <w:numId w:val="19"/>
        </w:numPr>
        <w:spacing w:after="80" w:before="80"/>
        <w:jc w:val="both"/>
      </w:pPr>
      <w:r>
        <w:rPr>
          <w:rFonts w:ascii="Arial" w:cs="Arial" w:eastAsia="Arial" w:hAnsi="Arial"/>
          <w:b w:val="false"/>
          <w:bCs w:val="false"/>
          <w:caps w:val="false"/>
          <w:color w:val="111111"/>
          <w:sz w:val="20"/>
          <w:szCs w:val="20"/>
        </w:rPr>
        <w:t xml:space="preserve">Conferir o rótulo a ser utilizado contra a OP: nome do produto, código, versão da arte. Comparar com a amostra-padrão arquivada pelo CQ. Em caso de divergência, NÃO UTILIZAR – acionar o CQ imediatamente.</w:t>
      </w:r>
    </w:p>
    <w:p>
      <w:pPr>
        <w:pBdr>
          <w:left w:val="single" w:color="C00000" w:sz="12"/>
        </w:pBdr>
        <w:spacing w:after="100" w:before="100"/>
        <w:ind w:left="600"/>
      </w:pPr>
      <w:r>
        <w:rPr>
          <w:rFonts w:ascii="Arial" w:cs="Arial" w:eastAsia="Arial" w:hAnsi="Arial"/>
          <w:b/>
          <w:bCs/>
          <w:caps w:val="false"/>
          <w:color w:val="C00000"/>
          <w:sz w:val="20"/>
          <w:szCs w:val="20"/>
        </w:rPr>
        <w:t xml:space="preserve">ATENÇÃO: </w:t>
      </w:r>
      <w:r>
        <w:rPr>
          <w:rFonts w:ascii="Arial" w:cs="Arial" w:eastAsia="Arial" w:hAnsi="Arial"/>
          <w:b/>
          <w:bCs/>
          <w:caps w:val="false"/>
          <w:color w:val="C00000"/>
          <w:sz w:val="20"/>
          <w:szCs w:val="20"/>
        </w:rPr>
        <w:t xml:space="preserve">A aplicação de rótulo incorreto (produto, versão ou informação nutricional desatualizada) é uma não conformidade CRÍTICA que pode levar a recall. Toda rotulagem deve ser tripla-conferida antes do início: operador, supervisor e CQ.</w:t>
      </w:r>
    </w:p>
    <w:p>
      <w:pPr>
        <w:pStyle w:val="ListParagraph"/>
        <w:numPr>
          <w:ilvl w:val="0"/>
          <w:numId w:val="19"/>
        </w:numPr>
        <w:spacing w:after="80" w:before="80"/>
        <w:jc w:val="both"/>
      </w:pPr>
      <w:r>
        <w:rPr>
          <w:rFonts w:ascii="Arial" w:cs="Arial" w:eastAsia="Arial" w:hAnsi="Arial"/>
          <w:b w:val="false"/>
          <w:bCs w:val="false"/>
          <w:caps w:val="false"/>
          <w:color w:val="111111"/>
          <w:sz w:val="20"/>
          <w:szCs w:val="20"/>
        </w:rPr>
        <w:t xml:space="preserve">Contar e registrar a quantidade de rótulos recebida do almoxarifado/gráfica para o lote (reconciliação inicial).</w:t>
      </w:r>
    </w:p>
    <w:p>
      <w:pPr>
        <w:spacing w:after="60" w:before="140"/>
        <w:jc w:val="left"/>
      </w:pPr>
      <w:r>
        <w:rPr>
          <w:rFonts w:ascii="Arial" w:cs="Arial" w:eastAsia="Arial" w:hAnsi="Arial"/>
          <w:b/>
          <w:bCs/>
          <w:caps w:val="false"/>
          <w:color w:val="1F3864"/>
          <w:sz w:val="20"/>
          <w:szCs w:val="20"/>
        </w:rPr>
        <w:t xml:space="preserve">6.2 Configuração da Codificação Variável</w:t>
      </w:r>
    </w:p>
    <w:p>
      <w:pPr>
        <w:pStyle w:val="ListParagraph"/>
        <w:numPr>
          <w:ilvl w:val="0"/>
          <w:numId w:val="19"/>
        </w:numPr>
        <w:spacing w:after="80" w:before="80"/>
        <w:jc w:val="both"/>
      </w:pPr>
      <w:r>
        <w:rPr>
          <w:rFonts w:ascii="Arial" w:cs="Arial" w:eastAsia="Arial" w:hAnsi="Arial"/>
          <w:b w:val="false"/>
          <w:bCs w:val="false"/>
          <w:caps w:val="false"/>
          <w:color w:val="111111"/>
          <w:sz w:val="20"/>
          <w:szCs w:val="20"/>
        </w:rPr>
        <w:t xml:space="preserve">Programar no sistema de codificação: número do lote (conforme OP), data de fabricação e data de validade (calculada conforme prazo de validade aprovado do produto). Verificar duas vezes os dados antes de iniciar.</w:t>
      </w:r>
    </w:p>
    <w:p>
      <w:pPr>
        <w:pStyle w:val="ListParagraph"/>
        <w:numPr>
          <w:ilvl w:val="0"/>
          <w:numId w:val="19"/>
        </w:numPr>
        <w:spacing w:after="80" w:before="80"/>
        <w:jc w:val="both"/>
      </w:pPr>
      <w:r>
        <w:rPr>
          <w:rFonts w:ascii="Arial" w:cs="Arial" w:eastAsia="Arial" w:hAnsi="Arial"/>
          <w:b w:val="false"/>
          <w:bCs w:val="false"/>
          <w:caps w:val="false"/>
          <w:color w:val="111111"/>
          <w:sz w:val="20"/>
          <w:szCs w:val="20"/>
        </w:rPr>
        <w:t xml:space="preserve">Imprimir/codificar 5 unidades de teste. Verificar a legibilidade com lupa: caracteres completos, sem falhas, posicionamento correto, sem borrões. Aprovar com o supervisor antes de prosseguir.</w:t>
      </w:r>
    </w:p>
    <w:p>
      <w:pPr>
        <w:spacing w:after="60" w:before="140"/>
        <w:jc w:val="left"/>
      </w:pPr>
      <w:r>
        <w:rPr>
          <w:rFonts w:ascii="Arial" w:cs="Arial" w:eastAsia="Arial" w:hAnsi="Arial"/>
          <w:b/>
          <w:bCs/>
          <w:caps w:val="false"/>
          <w:color w:val="1F3864"/>
          <w:sz w:val="20"/>
          <w:szCs w:val="20"/>
        </w:rPr>
        <w:t xml:space="preserve">6.3 Aplicação dos Rótulos</w:t>
      </w:r>
    </w:p>
    <w:p>
      <w:pPr>
        <w:pStyle w:val="ListParagraph"/>
        <w:numPr>
          <w:ilvl w:val="0"/>
          <w:numId w:val="19"/>
        </w:numPr>
        <w:spacing w:after="80" w:before="80"/>
        <w:jc w:val="both"/>
      </w:pPr>
      <w:r>
        <w:rPr>
          <w:rFonts w:ascii="Arial" w:cs="Arial" w:eastAsia="Arial" w:hAnsi="Arial"/>
          <w:b w:val="false"/>
          <w:bCs w:val="false"/>
          <w:caps w:val="false"/>
          <w:color w:val="111111"/>
          <w:sz w:val="20"/>
          <w:szCs w:val="20"/>
        </w:rPr>
        <w:t xml:space="preserve">Aplicar os rótulos nas embalagens seladas, garantindo o posicionamento correto (alinhamento, ausência de bolhas ou dobras) e cobertura adequada (sem cobrir informações obrigatórias de outros rótulos, se aplicável).</w:t>
      </w:r>
    </w:p>
    <w:p>
      <w:pPr>
        <w:pStyle w:val="ListParagraph"/>
        <w:numPr>
          <w:ilvl w:val="0"/>
          <w:numId w:val="19"/>
        </w:numPr>
        <w:spacing w:after="80" w:before="80"/>
        <w:jc w:val="both"/>
      </w:pPr>
      <w:r>
        <w:rPr>
          <w:rFonts w:ascii="Arial" w:cs="Arial" w:eastAsia="Arial" w:hAnsi="Arial"/>
          <w:b w:val="false"/>
          <w:bCs w:val="false"/>
          <w:caps w:val="false"/>
          <w:color w:val="111111"/>
          <w:sz w:val="20"/>
          <w:szCs w:val="20"/>
        </w:rPr>
        <w:t xml:space="preserve">A cada 30 minutos, verificar 10 unidades aleatórias: legibilidade do lote/validade, posicionamento do rótulo, ausência de rótulos duplicados, invertidos ou ausentes. Registrar em FOR-PROD-012.</w:t>
      </w:r>
    </w:p>
    <w:p>
      <w:pPr>
        <w:spacing w:after="60" w:before="140"/>
        <w:jc w:val="left"/>
      </w:pPr>
      <w:r>
        <w:rPr>
          <w:rFonts w:ascii="Arial" w:cs="Arial" w:eastAsia="Arial" w:hAnsi="Arial"/>
          <w:b/>
          <w:bCs/>
          <w:caps w:val="false"/>
          <w:color w:val="1F3864"/>
          <w:sz w:val="20"/>
          <w:szCs w:val="20"/>
        </w:rPr>
        <w:t xml:space="preserve">6.4 Reconciliação Final de Rótulos</w:t>
      </w:r>
    </w:p>
    <w:p>
      <w:pPr>
        <w:pStyle w:val="ListParagraph"/>
        <w:numPr>
          <w:ilvl w:val="0"/>
          <w:numId w:val="19"/>
        </w:numPr>
        <w:spacing w:after="80" w:before="80"/>
        <w:jc w:val="both"/>
      </w:pPr>
      <w:r>
        <w:rPr>
          <w:rFonts w:ascii="Arial" w:cs="Arial" w:eastAsia="Arial" w:hAnsi="Arial"/>
          <w:b w:val="false"/>
          <w:bCs w:val="false"/>
          <w:caps w:val="false"/>
          <w:color w:val="111111"/>
          <w:sz w:val="20"/>
          <w:szCs w:val="20"/>
        </w:rPr>
        <w:t xml:space="preserve">Ao final do lote, contar: rótulos utilizados (unidades produzidas), rótulos danificados/rejeitados e rótulos sobrantes devolvidos. A soma deve corresponder à quantidade recebida (tolerância ± 0,5%).</w:t>
      </w:r>
    </w:p>
    <w:p>
      <w:pPr>
        <w:pStyle w:val="ListParagraph"/>
        <w:numPr>
          <w:ilvl w:val="0"/>
          <w:numId w:val="19"/>
        </w:numPr>
        <w:spacing w:after="80" w:before="80"/>
        <w:jc w:val="both"/>
      </w:pPr>
      <w:r>
        <w:rPr>
          <w:rFonts w:ascii="Arial" w:cs="Arial" w:eastAsia="Arial" w:hAnsi="Arial"/>
          <w:b w:val="false"/>
          <w:bCs w:val="false"/>
          <w:caps w:val="false"/>
          <w:color w:val="111111"/>
          <w:sz w:val="20"/>
          <w:szCs w:val="20"/>
        </w:rPr>
        <w:t xml:space="preserve">Discrepâncias na reconciliação acima da tolerância devem ser investigadas antes do encerramento do lote – podem indicar rótulos extraviados, mal utilizados em outro produto, ou erro de contagem.</w:t>
      </w:r>
    </w:p>
    <w:p>
      <w:pPr>
        <w:pStyle w:val="ListParagraph"/>
        <w:numPr>
          <w:ilvl w:val="0"/>
          <w:numId w:val="19"/>
        </w:numPr>
        <w:spacing w:after="80" w:before="80"/>
        <w:jc w:val="both"/>
      </w:pPr>
      <w:r>
        <w:rPr>
          <w:rFonts w:ascii="Arial" w:cs="Arial" w:eastAsia="Arial" w:hAnsi="Arial"/>
          <w:b w:val="false"/>
          <w:bCs w:val="false"/>
          <w:caps w:val="false"/>
          <w:color w:val="111111"/>
          <w:sz w:val="20"/>
          <w:szCs w:val="20"/>
        </w:rPr>
        <w:t xml:space="preserve">Destruir (picotar/descaracterizar) todos os rótulos danificados e rejeitados. Não descartar rótulos com identificação de produto/lote íntegra sem descaracterização (risco de uso indevido).</w:t>
      </w:r>
    </w:p>
    <w:p>
      <w:pPr>
        <w:spacing w:after="60" w:before="140"/>
        <w:jc w:val="left"/>
      </w:pPr>
      <w:r>
        <w:rPr>
          <w:rFonts w:ascii="Arial" w:cs="Arial" w:eastAsia="Arial" w:hAnsi="Arial"/>
          <w:b/>
          <w:bCs/>
          <w:caps w:val="false"/>
          <w:color w:val="1F3864"/>
          <w:sz w:val="20"/>
          <w:szCs w:val="20"/>
        </w:rPr>
        <w:t xml:space="preserve">6.5 Encerramento</w:t>
      </w:r>
    </w:p>
    <w:p>
      <w:pPr>
        <w:pStyle w:val="ListParagraph"/>
        <w:numPr>
          <w:ilvl w:val="0"/>
          <w:numId w:val="19"/>
        </w:numPr>
        <w:spacing w:after="80" w:before="80"/>
        <w:jc w:val="both"/>
      </w:pPr>
      <w:r>
        <w:rPr>
          <w:rFonts w:ascii="Arial" w:cs="Arial" w:eastAsia="Arial" w:hAnsi="Arial"/>
          <w:b w:val="false"/>
          <w:bCs w:val="false"/>
          <w:caps w:val="false"/>
          <w:color w:val="111111"/>
          <w:sz w:val="20"/>
          <w:szCs w:val="20"/>
        </w:rPr>
        <w:t xml:space="preserve">Registrar na OP a quantidade rotulada, o refugo e o rendimento. Encaminhar o lote para a etapa de armazenamento de produto acabado (POP-PROD-014), mantendo a identificação completa do lote.</w:t>
      </w:r>
    </w:p>
    <w:p>
      <w:pPr>
        <w:pStyle w:val="ListParagraph"/>
        <w:numPr>
          <w:ilvl w:val="0"/>
          <w:numId w:val="19"/>
        </w:numPr>
        <w:spacing w:after="80" w:before="80"/>
        <w:jc w:val="both"/>
      </w:pPr>
      <w:r>
        <w:rPr>
          <w:rFonts w:ascii="Arial" w:cs="Arial" w:eastAsia="Arial" w:hAnsi="Arial"/>
          <w:b w:val="false"/>
          <w:bCs w:val="false"/>
          <w:caps w:val="false"/>
          <w:color w:val="111111"/>
          <w:sz w:val="20"/>
          <w:szCs w:val="20"/>
        </w:rPr>
        <w:t xml:space="preserve">Arquivar uma amostra do rótulo aplicado (com codificação) junto ao registro de lote, para fins de rastreabilidade documental.</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7. FREQUÊNCIA DE EXECUÇÃO</w:t>
      </w:r>
    </w:p>
    <w:p>
      <w:pPr>
        <w:spacing w:after="80" w:before="80"/>
        <w:jc w:val="both"/>
      </w:pPr>
      <w:r>
        <w:rPr>
          <w:rFonts w:ascii="Arial" w:cs="Arial" w:eastAsia="Arial" w:hAnsi="Arial"/>
          <w:b w:val="false"/>
          <w:bCs w:val="false"/>
          <w:caps w:val="false"/>
          <w:color w:val="111111"/>
          <w:sz w:val="20"/>
          <w:szCs w:val="20"/>
        </w:rPr>
        <w:t xml:space="preserve">A cada lote produzido, em 100% das unidades.</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8. REGISTROS OBRIGATÓRIOS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FOR-PROD-012 – Registro de Rotulagem e Reconciliação de Rótulos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FOR-PROD-001 – Ordem de Produção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FOR-GQ-005 – Controle de Versões de Artes de Rótulo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FOR-NC-001 – Não Conformidade (em caso de rótulo incorreto ou ilegível)</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9. CRITÉRIOS DE ACEITAÇÃO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Identidade do rótulo: 100% correspondência com a OP e com a amostra-padrão aprovada pelo CQ</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Legibilidade do lote/validade: 100% legível e correto, sem falhas de impressão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Reconciliação de rótulos: variação ≤ 0,5% entre recebido e (utilizado + danificado + devolvido)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Posicionamento do rótulo: alinhado, sem bolhas, dobras ou cobertura de informações obrigatórias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Destruição de rótulos rejeitados: 100% descaracterizados antes do descarte</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10. PONTOS CRÍTICOS DE CONTROLE (PCC / HACCP)</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675"/>
        <w:gridCol w:w="1735"/>
        <w:gridCol w:w="2024"/>
        <w:gridCol w:w="3469"/>
        <w:gridCol w:w="1735"/>
      </w:tblGrid>
      <w:tr>
        <w:trPr>
          <w:tblHeader/>
        </w:trPr>
        <w:tc>
          <w:tcPr>
            <w:tcW w:type="dxa" w:w="67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PCC</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Parâmetro</w:t>
            </w:r>
          </w:p>
        </w:tc>
        <w:tc>
          <w:tcPr>
            <w:tcW w:type="dxa" w:w="202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Limite Crítico</w:t>
            </w:r>
          </w:p>
        </w:tc>
        <w:tc>
          <w:tcPr>
            <w:tcW w:type="dxa" w:w="346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Ação Corretiva</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Frequência</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PCC1</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Identidade/versão do rótulo</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correspondência com OP e amostra-padrão do CQ</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Interromper imediatamente. Segregar unidades já rotuladas com rótulo incorreto. Notificar RT e CQ. Avaliar necessidade de recall conforme extensão do erro.</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Verificação 100% antes de iniciar e a cada changeover</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PCC2</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Legibilidade do lote e validade impressos</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legível, sem falhas</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Parar a linha. Reajustar o sistema de codificação. Reverificar 10 unidades antes de retomar.</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 cada 30 min (10 unidades)</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PCC3</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Reconciliação de rótulos</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Variação ≤ 0,5%</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Investigar a discrepância antes de liberar o lote. Não encerrar a OP sem reconciliação completa.</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Ao final de cada lote (100%)</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11. AÇÕES CORRETIVAS EM CASO DE DESVIO</w:t>
      </w:r>
    </w:p>
    <w:p>
      <w:pPr>
        <w:pStyle w:val="ListParagraph"/>
        <w:numPr>
          <w:ilvl w:val="0"/>
          <w:numId w:val="20"/>
        </w:numPr>
        <w:spacing w:after="80" w:before="80"/>
        <w:jc w:val="both"/>
      </w:pPr>
      <w:r>
        <w:rPr>
          <w:rFonts w:ascii="Arial" w:cs="Arial" w:eastAsia="Arial" w:hAnsi="Arial"/>
          <w:b w:val="false"/>
          <w:bCs w:val="false"/>
          <w:caps w:val="false"/>
          <w:color w:val="111111"/>
          <w:sz w:val="20"/>
          <w:szCs w:val="20"/>
        </w:rPr>
        <w:t xml:space="preserve">Rótulo incorreto identificado em produção: parar a linha imediatamente. Segregar 100% das unidades produzidas desde o início do lote (ou desde a última verificação correta). Notificar RT e GQ – avaliar se já houve expedição (gatilho de recall conforme POP-GQ-RECALL).</w:t>
      </w:r>
    </w:p>
    <w:p>
      <w:pPr>
        <w:pStyle w:val="ListParagraph"/>
        <w:numPr>
          <w:ilvl w:val="0"/>
          <w:numId w:val="20"/>
        </w:numPr>
        <w:spacing w:after="80" w:before="80"/>
        <w:jc w:val="both"/>
      </w:pPr>
      <w:r>
        <w:rPr>
          <w:rFonts w:ascii="Arial" w:cs="Arial" w:eastAsia="Arial" w:hAnsi="Arial"/>
          <w:b w:val="false"/>
          <w:bCs w:val="false"/>
          <w:caps w:val="false"/>
          <w:color w:val="111111"/>
          <w:sz w:val="20"/>
          <w:szCs w:val="20"/>
        </w:rPr>
        <w:t xml:space="preserve">Falha de legibilidade do lote/validade: segregar as unidades afetadas. Reajustar o equipamento. Recodificar manualmente apenas mediante procedimento de retrabalho aprovado pelo RT.</w:t>
      </w:r>
    </w:p>
    <w:p>
      <w:pPr>
        <w:pStyle w:val="ListParagraph"/>
        <w:numPr>
          <w:ilvl w:val="0"/>
          <w:numId w:val="20"/>
        </w:numPr>
        <w:spacing w:after="80" w:before="80"/>
        <w:jc w:val="both"/>
      </w:pPr>
      <w:r>
        <w:rPr>
          <w:rFonts w:ascii="Arial" w:cs="Arial" w:eastAsia="Arial" w:hAnsi="Arial"/>
          <w:b w:val="false"/>
          <w:bCs w:val="false"/>
          <w:caps w:val="false"/>
          <w:color w:val="111111"/>
          <w:sz w:val="20"/>
          <w:szCs w:val="20"/>
        </w:rPr>
        <w:t xml:space="preserve">Discrepância de reconciliação acima da tolerância: não encerrar o lote. Investigar com o supervisor antes de liberar para a etapa seguinte. Registrar a investigação em FOR-NC-001.</w:t>
      </w:r>
    </w:p>
    <w:p>
      <w:pPr>
        <w:pStyle w:val="ListParagraph"/>
        <w:numPr>
          <w:ilvl w:val="0"/>
          <w:numId w:val="20"/>
        </w:numPr>
        <w:spacing w:after="80" w:before="80"/>
        <w:jc w:val="both"/>
      </w:pPr>
      <w:r>
        <w:rPr>
          <w:rFonts w:ascii="Arial" w:cs="Arial" w:eastAsia="Arial" w:hAnsi="Arial"/>
          <w:b w:val="false"/>
          <w:bCs w:val="false"/>
          <w:caps w:val="false"/>
          <w:color w:val="111111"/>
          <w:sz w:val="20"/>
          <w:szCs w:val="20"/>
        </w:rPr>
        <w:t xml:space="preserve">Todos os desvios de rotulagem com risco de chegar ao consumidor são classificados como "Crítico". Abrir CAPA obrigatoriamente e notificar a Diretoria/RT em até 24 horas.</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12. FORMULÁRIOS E DOCUMENTOS RELACIONADOS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FOR-PROD-001 – Ordem de Produção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FOR-PROD-012 – Registro de Rotulagem e Reconciliação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FOR-GQ-005 – Controle de Versões de Rótulo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FOR-NC-001 – Não Conformidade | FOR-GQ-003 – CAPA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POP-GQ-RECALL – Procedimento de Recolhimento de Produtos</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13. HISTÓRICO DE REVISÕES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5493"/>
        <w:gridCol w:w="1831"/>
      </w:tblGrid>
      <w:tr>
        <w:trPr>
          <w:tblHeader/>
        </w:trPr>
        <w:tc>
          <w:tcPr>
            <w:tcW w:type="dxa" w:w="96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Versão</w:t>
            </w:r>
          </w:p>
        </w:tc>
        <w:tc>
          <w:tcPr>
            <w:tcW w:type="dxa" w:w="134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Data</w:t>
            </w:r>
          </w:p>
        </w:tc>
        <w:tc>
          <w:tcPr>
            <w:tcW w:type="dxa" w:w="5493"/>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Descrição</w:t>
            </w:r>
          </w:p>
        </w:tc>
        <w:tc>
          <w:tcPr>
            <w:tcW w:type="dxa" w:w="183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Resp.</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01</w:t>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Jun/2025</w:t>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Emissão inicial do documento.</w:t>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RT/GQ</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r>
    </w:tbl>
    <w:p>
      <w:pPr>
        <w:spacing w:after="100" w:before="200"/>
      </w:pPr>
      <w:r>
        <w:rPr>
          <w:rFonts w:ascii="Arial" w:cs="Arial" w:eastAsia="Arial" w:hAnsi="Arial"/>
          <w:b w:val="false"/>
          <w:bCs w:val="false"/>
          <w:caps w:val="false"/>
          <w:color w:val="111111"/>
          <w:sz w:val="20"/>
          <w:szCs w:val="20"/>
        </w:rPr>
        <w:t xml:space="preserve"/>
      </w:r>
    </w:p>
    <w:p>
      <w:r>
        <w:br w:type="page"/>
      </w:r>
    </w:p>
    <w:p>
      <w:pPr>
        <w:pStyle w:val="Heading1"/>
        <w:spacing w:after="0" w:before="0"/>
      </w:pPr>
      <w:r>
        <w:rPr>
          <w:rFonts w:ascii="Arial" w:cs="Arial" w:eastAsia="Arial" w:hAnsi="Arial"/>
          <w:b w:val="false"/>
          <w:bCs w:val="false"/>
          <w:caps w:val="false"/>
          <w:color w:val="FFFFFF"/>
          <w:sz w:val="2"/>
          <w:szCs w:val="2"/>
        </w:rPr>
        <w:t xml:space="preserve">POP-PROD-014 — Armazenamento de Produto Acabado</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120"/>
        <w:gridCol w:w="4915"/>
        <w:gridCol w:w="2602"/>
      </w:tblGrid>
      <w:tr>
        <w:tc>
          <w:tcPr>
            <w:tcW w:type="dxa" w:w="2120"/>
            <w:vMerge w:val="restart"/>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FFFFFF"/>
                <w:sz w:val="17"/>
                <w:szCs w:val="17"/>
              </w:rPr>
              <w:t xml:space="preserve">INDÚSTRIA DE SUPLEMENTOS</w:t>
            </w:r>
          </w:p>
          <w:p>
            <w:pPr>
              <w:spacing w:after="60" w:before="0"/>
              <w:jc w:val="center"/>
            </w:pPr>
            <w:r>
              <w:rPr>
                <w:rFonts w:ascii="Arial" w:cs="Arial" w:eastAsia="Arial" w:hAnsi="Arial"/>
                <w:b w:val="false"/>
                <w:bCs w:val="false"/>
                <w:caps w:val="false"/>
                <w:color w:val="D6E4F0"/>
                <w:sz w:val="15"/>
                <w:szCs w:val="15"/>
              </w:rPr>
              <w:t xml:space="preserve">Alimentos para Fins Especiais</w:t>
            </w:r>
          </w:p>
        </w:tc>
        <w:tc>
          <w:tcPr>
            <w:tcW w:type="dxa" w:w="4915"/>
            <w:vMerge w:val="restart"/>
            <w:tcBorders>
              <w:top w:val="single" w:color="1F3864" w:sz="4"/>
              <w:left w:val="single" w:color="1F3864" w:sz="4"/>
              <w:bottom w:val="single" w:color="1F3864" w:sz="4"/>
              <w:right w:val="single" w:color="1F3864" w:sz="4"/>
            </w:tcBorders>
            <w:shd w:fill="D6E4F0" w:val="clear"/>
            <w:tcMar>
              <w:top w:type="dxa" w:w="80"/>
              <w:left w:type="dxa" w:w="100"/>
              <w:bottom w:type="dxa" w:w="80"/>
              <w:right w:type="dxa" w:w="100"/>
            </w:tcMar>
            <w:vAlign w:val="center"/>
          </w:tcPr>
          <w:p>
            <w:pPr>
              <w:spacing w:after="40" w:before="60"/>
              <w:jc w:val="center"/>
            </w:pPr>
            <w:r>
              <w:rPr>
                <w:rFonts w:ascii="Arial" w:cs="Arial" w:eastAsia="Arial" w:hAnsi="Arial"/>
                <w:b/>
                <w:bCs/>
                <w:caps/>
                <w:color w:val="1F3864"/>
                <w:sz w:val="17"/>
                <w:szCs w:val="17"/>
              </w:rPr>
              <w:t xml:space="preserve">PROCEDIMENTO OPERACIONAL PADRÃO</w:t>
            </w:r>
          </w:p>
          <w:p>
            <w:pPr>
              <w:spacing w:after="60" w:before="0"/>
              <w:jc w:val="center"/>
            </w:pPr>
            <w:r>
              <w:rPr>
                <w:rFonts w:ascii="Arial" w:cs="Arial" w:eastAsia="Arial" w:hAnsi="Arial"/>
                <w:b/>
                <w:bCs/>
                <w:caps w:val="false"/>
                <w:color w:val="1F3864"/>
                <w:sz w:val="22"/>
                <w:szCs w:val="22"/>
              </w:rPr>
              <w:t xml:space="preserve">Armazenamento de Produto Acabado</w:t>
            </w: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60"/>
              <w:jc w:val="left"/>
            </w:pPr>
            <w:r>
              <w:rPr>
                <w:rFonts w:ascii="Arial" w:cs="Arial" w:eastAsia="Arial" w:hAnsi="Arial"/>
                <w:b/>
                <w:bCs/>
                <w:caps w:val="false"/>
                <w:color w:val="D6E4F0"/>
                <w:sz w:val="16"/>
                <w:szCs w:val="16"/>
              </w:rPr>
              <w:t xml:space="preserve">Código: </w:t>
            </w:r>
            <w:r>
              <w:rPr>
                <w:rFonts w:ascii="Arial" w:cs="Arial" w:eastAsia="Arial" w:hAnsi="Arial"/>
                <w:b/>
                <w:bCs/>
                <w:caps w:val="false"/>
                <w:color w:val="FFFFFF"/>
                <w:sz w:val="18"/>
                <w:szCs w:val="18"/>
              </w:rPr>
              <w:t xml:space="preserve">POP-PROD-014</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20" w:before="20"/>
              <w:jc w:val="left"/>
            </w:pPr>
            <w:r>
              <w:rPr>
                <w:rFonts w:ascii="Arial" w:cs="Arial" w:eastAsia="Arial" w:hAnsi="Arial"/>
                <w:b/>
                <w:bCs/>
                <w:caps w:val="false"/>
                <w:color w:val="D6E4F0"/>
                <w:sz w:val="16"/>
                <w:szCs w:val="16"/>
              </w:rPr>
              <w:t xml:space="preserve">Versão: </w:t>
            </w:r>
            <w:r>
              <w:rPr>
                <w:rFonts w:ascii="Arial" w:cs="Arial" w:eastAsia="Arial" w:hAnsi="Arial"/>
                <w:b/>
                <w:bCs/>
                <w:caps w:val="false"/>
                <w:color w:val="FFFFFF"/>
                <w:sz w:val="18"/>
                <w:szCs w:val="18"/>
              </w:rPr>
              <w:t xml:space="preserve">01</w:t>
            </w:r>
          </w:p>
        </w:tc>
      </w:tr>
      <w:tr>
        <w:tc>
          <w:tcPr>
            <w:vMerge w:val="continue"/>
            <w:tcBorders>
              <w:top w:val="single" w:color="1F3864" w:sz="4"/>
              <w:left w:val="single" w:color="1F3864" w:sz="4"/>
              <w:bottom w:val="single" w:color="1F3864" w:sz="4"/>
              <w:right w:val="single" w:color="1F3864" w:sz="4"/>
            </w:tcBorders>
          </w:tcPr>
          <w:p/>
        </w:tc>
        <w:tc>
          <w:tcPr>
            <w:vMerge w:val="continue"/>
            <w:tcBorders>
              <w:top w:val="single" w:color="1F3864" w:sz="4"/>
              <w:left w:val="single" w:color="1F3864" w:sz="4"/>
              <w:bottom w:val="single" w:color="1F3864" w:sz="4"/>
              <w:right w:val="single" w:color="1F3864" w:sz="4"/>
            </w:tcBorders>
          </w:tcPr>
          <w:p/>
        </w:tc>
        <w:tc>
          <w:tcPr>
            <w:tcW w:type="dxa" w:w="260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60" w:before="20"/>
              <w:jc w:val="left"/>
            </w:pPr>
            <w:r>
              <w:rPr>
                <w:rFonts w:ascii="Arial" w:cs="Arial" w:eastAsia="Arial" w:hAnsi="Arial"/>
                <w:b/>
                <w:bCs/>
                <w:caps w:val="false"/>
                <w:color w:val="D6E4F0"/>
                <w:sz w:val="16"/>
                <w:szCs w:val="16"/>
              </w:rPr>
              <w:t xml:space="preserve">Emissão: </w:t>
            </w:r>
            <w:r>
              <w:rPr>
                <w:rFonts w:ascii="Arial" w:cs="Arial" w:eastAsia="Arial" w:hAnsi="Arial"/>
                <w:b w:val="false"/>
                <w:bCs w:val="false"/>
                <w:caps w:val="false"/>
                <w:color w:val="FFFFFF"/>
                <w:sz w:val="18"/>
                <w:szCs w:val="18"/>
              </w:rPr>
              <w:t xml:space="preserve">Jun/2025</w:t>
            </w:r>
          </w:p>
        </w:tc>
      </w:tr>
      <w:tr>
        <w:tc>
          <w:tcPr>
            <w:tcW w:type="dxa" w:w="2120"/>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Elaborado por:</w:t>
            </w:r>
          </w:p>
          <w:p>
            <w:pPr>
              <w:spacing w:after="20" w:before="0"/>
              <w:jc w:val="center"/>
            </w:pPr>
            <w:r>
              <w:rPr>
                <w:rFonts w:ascii="Arial" w:cs="Arial" w:eastAsia="Arial" w:hAnsi="Arial"/>
                <w:b w:val="false"/>
                <w:bCs w:val="false"/>
                <w:caps w:val="false"/>
                <w:color w:val="111111"/>
                <w:sz w:val="16"/>
                <w:szCs w:val="16"/>
              </w:rPr>
              <w:t xml:space="preserve">Responsável Técnico</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4915"/>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Verificado por:</w:t>
            </w:r>
          </w:p>
          <w:p>
            <w:pPr>
              <w:spacing w:after="20" w:before="0"/>
              <w:jc w:val="center"/>
            </w:pPr>
            <w:r>
              <w:rPr>
                <w:rFonts w:ascii="Arial" w:cs="Arial" w:eastAsia="Arial" w:hAnsi="Arial"/>
                <w:b w:val="false"/>
                <w:bCs w:val="false"/>
                <w:caps w:val="false"/>
                <w:color w:val="111111"/>
                <w:sz w:val="16"/>
                <w:szCs w:val="16"/>
              </w:rPr>
              <w:t xml:space="preserve">Garantia da Qualidade</w:t>
            </w:r>
          </w:p>
          <w:p>
            <w:pPr>
              <w:spacing w:after="60" w:before="20"/>
              <w:jc w:val="center"/>
            </w:pPr>
            <w:r>
              <w:rPr>
                <w:rFonts w:ascii="Arial" w:cs="Arial" w:eastAsia="Arial" w:hAnsi="Arial"/>
                <w:b w:val="false"/>
                <w:bCs w:val="false"/>
                <w:caps w:val="false"/>
                <w:color w:val="888888"/>
                <w:sz w:val="15"/>
                <w:szCs w:val="15"/>
              </w:rPr>
              <w:t xml:space="preserve">_____ / ____/____</w:t>
            </w:r>
          </w:p>
        </w:tc>
        <w:tc>
          <w:tcPr>
            <w:tcW w:type="dxa" w:w="2602"/>
            <w:tcBorders>
              <w:top w:val="single" w:color="1F3864" w:sz="4"/>
              <w:left w:val="single" w:color="1F3864" w:sz="4"/>
              <w:bottom w:val="single" w:color="1F3864" w:sz="4"/>
              <w:right w:val="single" w:color="1F3864" w:sz="4"/>
            </w:tcBorders>
            <w:shd w:fill="F2F2F2" w:val="clear"/>
            <w:tcMar>
              <w:top w:type="dxa" w:w="80"/>
              <w:left w:type="dxa" w:w="100"/>
              <w:bottom w:type="dxa" w:w="80"/>
              <w:right w:type="dxa" w:w="100"/>
            </w:tcMar>
            <w:vAlign w:val="center"/>
          </w:tcPr>
          <w:p>
            <w:pPr>
              <w:spacing w:after="20" w:before="60"/>
              <w:jc w:val="center"/>
            </w:pPr>
            <w:r>
              <w:rPr>
                <w:rFonts w:ascii="Arial" w:cs="Arial" w:eastAsia="Arial" w:hAnsi="Arial"/>
                <w:b/>
                <w:bCs/>
                <w:caps w:val="false"/>
                <w:color w:val="1F3864"/>
                <w:sz w:val="17"/>
                <w:szCs w:val="17"/>
              </w:rPr>
              <w:t xml:space="preserve">Aprovado por:</w:t>
            </w:r>
          </w:p>
          <w:p>
            <w:pPr>
              <w:spacing w:after="20" w:before="0"/>
              <w:jc w:val="center"/>
            </w:pPr>
            <w:r>
              <w:rPr>
                <w:rFonts w:ascii="Arial" w:cs="Arial" w:eastAsia="Arial" w:hAnsi="Arial"/>
                <w:b w:val="false"/>
                <w:bCs w:val="false"/>
                <w:caps w:val="false"/>
                <w:color w:val="111111"/>
                <w:sz w:val="16"/>
                <w:szCs w:val="16"/>
              </w:rPr>
              <w:t xml:space="preserve">Diretoria / RT</w:t>
            </w:r>
          </w:p>
          <w:p>
            <w:pPr>
              <w:spacing w:after="60" w:before="20"/>
              <w:jc w:val="center"/>
            </w:pPr>
            <w:r>
              <w:rPr>
                <w:rFonts w:ascii="Arial" w:cs="Arial" w:eastAsia="Arial" w:hAnsi="Arial"/>
                <w:b w:val="false"/>
                <w:bCs w:val="false"/>
                <w:caps w:val="false"/>
                <w:color w:val="888888"/>
                <w:sz w:val="15"/>
                <w:szCs w:val="15"/>
              </w:rPr>
              <w:t xml:space="preserve">_____ / ____/____</w:t>
            </w:r>
          </w:p>
        </w:tc>
      </w:tr>
    </w:tbl>
    <w:p>
      <w:pPr>
        <w:spacing w:after="80" w:before="16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 OBJETIVO</w:t>
      </w:r>
    </w:p>
    <w:p>
      <w:pPr>
        <w:spacing w:after="80" w:before="80"/>
        <w:jc w:val="both"/>
      </w:pPr>
      <w:r>
        <w:rPr>
          <w:rFonts w:ascii="Arial" w:cs="Arial" w:eastAsia="Arial" w:hAnsi="Arial"/>
          <w:b w:val="false"/>
          <w:bCs w:val="false"/>
          <w:caps w:val="false"/>
          <w:color w:val="111111"/>
          <w:sz w:val="20"/>
          <w:szCs w:val="20"/>
        </w:rPr>
        <w:t xml:space="preserve">Padronizar o processo de armazenamento de produtos acabados após a liberação pelo Controle de Qualidade, garantindo a manutenção das condições de temperatura e umidade especificadas, a correta segregação por status (quarentena/aprovado/reprovado), a aplicação do método FIFO/FEFO e a rastreabilidade plena até a expedição.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2. CAMPO DE APLICAÇÃO</w:t>
      </w:r>
    </w:p>
    <w:p>
      <w:pPr>
        <w:spacing w:after="80" w:before="80"/>
        <w:jc w:val="both"/>
      </w:pPr>
      <w:r>
        <w:rPr>
          <w:rFonts w:ascii="Arial" w:cs="Arial" w:eastAsia="Arial" w:hAnsi="Arial"/>
          <w:b w:val="false"/>
          <w:bCs w:val="false"/>
          <w:caps w:val="false"/>
          <w:color w:val="111111"/>
          <w:sz w:val="20"/>
          <w:szCs w:val="20"/>
        </w:rPr>
        <w:t xml:space="preserve">Aplica-se ao armazenamento de todos os produtos acabados desta indústria, desde o recebimento da área de produção/rotulagem até a expedição para clientes ou distribuidores, incluindo a gestão de quarentena pós-fabricação.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3. RESPONSABILIDADES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6746"/>
      </w:tblGrid>
      <w:tr>
        <w:trPr>
          <w:tblHeader/>
        </w:trPr>
        <w:tc>
          <w:tcPr>
            <w:tcW w:type="dxa" w:w="289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Função / Cargo</w:t>
            </w:r>
          </w:p>
        </w:tc>
        <w:tc>
          <w:tcPr>
            <w:tcW w:type="dxa" w:w="6746"/>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Responsabilidade</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Operador de Armazém/Expedição</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Receber, conferir, armazenar e movimentar o produto acabado conforme este POP e os registros de estoque.</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Supervisor de Armazém</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Supervisionar o armazenamento, verificar as condições ambientais e autorizar a movimentação de status.</w:t>
            </w:r>
          </w:p>
        </w:tc>
      </w:tr>
      <w:tr>
        <w:tc>
          <w:tcPr>
            <w:tcW w:type="dxa" w:w="2891"/>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Controle de Qualidade</w:t>
            </w:r>
          </w:p>
        </w:tc>
        <w:tc>
          <w:tcPr>
            <w:tcW w:type="dxa" w:w="6746"/>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Emitir o laudo de liberação do lote, autorizando a mudança de status de quarentena para aprovado.</w:t>
            </w:r>
          </w:p>
        </w:tc>
      </w:tr>
      <w:tr>
        <w:tc>
          <w:tcPr>
            <w:tcW w:type="dxa" w:w="2891"/>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Garantia da Qualidade</w:t>
            </w:r>
          </w:p>
        </w:tc>
        <w:tc>
          <w:tcPr>
            <w:tcW w:type="dxa" w:w="6746"/>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Auditar periodicamente o armazém quanto à conformidade de segregação e FIFO/FEFO.</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4. DEFINIÇÕES E ABREVIAÇÕES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698"/>
        <w:gridCol w:w="6939"/>
      </w:tblGrid>
      <w:tr>
        <w:trPr>
          <w:tblHeader/>
        </w:trPr>
        <w:tc>
          <w:tcPr>
            <w:tcW w:type="dxa" w:w="2698"/>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Termo / Sigla</w:t>
            </w:r>
          </w:p>
        </w:tc>
        <w:tc>
          <w:tcPr>
            <w:tcW w:type="dxa" w:w="693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8"/>
                <w:szCs w:val="18"/>
              </w:rPr>
              <w:t xml:space="preserve">Definição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FIFO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First In, First Out – primeiro que entra, primeiro que sai; baseado na ordem cronológica de recebimento.</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FEFO</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First Expired, First Out – primeiro que vence, primeiro que sai; baseado na data de validade, é o método obrigatório para produtos perecíveis e suplementos.</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Quarentena</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Status de bloqueio físico e documental de um lote aguardando a liberação do CQ. Produtos em quarentena NÃO podem ser expedidos.</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Status de produto</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Classificação documental e física do lote: Quarentena (amarelo), Aprovado (verde) ou Reprovado/Bloqueado (vermelho).</w:t>
            </w:r>
          </w:p>
        </w:tc>
      </w:tr>
      <w:tr>
        <w:tc>
          <w:tcPr>
            <w:tcW w:type="dxa" w:w="2698"/>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Endereçamento</w:t>
            </w:r>
          </w:p>
        </w:tc>
        <w:tc>
          <w:tcPr>
            <w:tcW w:type="dxa" w:w="6939"/>
            <w:tcBorders>
              <w:top w:val="single" w:color="BBBBBB" w:sz="4"/>
              <w:left w:val="single" w:color="BBBBBB" w:sz="4"/>
              <w:bottom w:val="single" w:color="BBBBBB" w:sz="4"/>
              <w:right w:val="single" w:color="BBBBBB" w:sz="4"/>
            </w:tcBorders>
            <w:shd w:fill="D6E4F0"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Sistema de localização física dos produtos no armazém (corredor, prateleira, posição), essencial para rastreabilidade.</w:t>
            </w:r>
          </w:p>
        </w:tc>
      </w:tr>
      <w:tr>
        <w:tc>
          <w:tcPr>
            <w:tcW w:type="dxa" w:w="2698"/>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111111"/>
                <w:sz w:val="18"/>
                <w:szCs w:val="18"/>
              </w:rPr>
              <w:t xml:space="preserve">Pallet/Box</w:t>
            </w:r>
          </w:p>
        </w:tc>
        <w:tc>
          <w:tcPr>
            <w:tcW w:type="dxa" w:w="6939"/>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Unidade de armazenamento e movimentação de produtos acabados.</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5. MATERIAIS, EQUIPAMENTOS E EPIs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Área de armazenamento climatizada (15–25 °C, UR ≤ 60%, salvo especificação diferente do produto)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Termo-higrômetro calibrado com registro contínuo (datalogger) ou verificação manual diária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Etiquetas de status: verde (aprovado), amarelo (quarentena), vermelho (reprovado/bloqueado)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Sistema de endereçamento (prateleiras numeradas, identificação de corredores)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Paletes, estrados ou prateleiras adequados (produto nunca em contato direto com o piso)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Sistema de controle de estoque (planilha ou software – ex.: módulo de estoque do Sistema Aurum) com registro de lote, validade e quantidade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EPI: conforme atividade (jaleco/uniforme, calçado de segurança para movimentação de cargas)</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6. PROCEDIMENTO DETALHADO</w:t>
      </w:r>
    </w:p>
    <w:p>
      <w:pPr>
        <w:spacing w:after="60" w:before="140"/>
        <w:jc w:val="left"/>
      </w:pPr>
      <w:r>
        <w:rPr>
          <w:rFonts w:ascii="Arial" w:cs="Arial" w:eastAsia="Arial" w:hAnsi="Arial"/>
          <w:b/>
          <w:bCs/>
          <w:caps w:val="false"/>
          <w:color w:val="1F3864"/>
          <w:sz w:val="20"/>
          <w:szCs w:val="20"/>
        </w:rPr>
        <w:t xml:space="preserve">6.1 Recebimento do Produto Acabado</w:t>
      </w:r>
    </w:p>
    <w:p>
      <w:pPr>
        <w:pStyle w:val="ListParagraph"/>
        <w:numPr>
          <w:ilvl w:val="0"/>
          <w:numId w:val="21"/>
        </w:numPr>
        <w:spacing w:after="80" w:before="80"/>
        <w:jc w:val="both"/>
      </w:pPr>
      <w:r>
        <w:rPr>
          <w:rFonts w:ascii="Arial" w:cs="Arial" w:eastAsia="Arial" w:hAnsi="Arial"/>
          <w:b w:val="false"/>
          <w:bCs w:val="false"/>
          <w:caps w:val="false"/>
          <w:color w:val="111111"/>
          <w:sz w:val="20"/>
          <w:szCs w:val="20"/>
        </w:rPr>
        <w:t xml:space="preserve">Receber o produto acabado proveniente da rotulagem (POP-PROD-013), com toda a documentação do lote: OP completa, laudos de IPC, registro de rotulagem.</w:t>
      </w:r>
    </w:p>
    <w:p>
      <w:pPr>
        <w:pStyle w:val="ListParagraph"/>
        <w:numPr>
          <w:ilvl w:val="0"/>
          <w:numId w:val="21"/>
        </w:numPr>
        <w:spacing w:after="80" w:before="80"/>
        <w:jc w:val="both"/>
      </w:pPr>
      <w:r>
        <w:rPr>
          <w:rFonts w:ascii="Arial" w:cs="Arial" w:eastAsia="Arial" w:hAnsi="Arial"/>
          <w:b w:val="false"/>
          <w:bCs w:val="false"/>
          <w:caps w:val="false"/>
          <w:color w:val="111111"/>
          <w:sz w:val="20"/>
          <w:szCs w:val="20"/>
        </w:rPr>
        <w:t xml:space="preserve">Conferir a quantidade física recebida contra o registrado na OP. Identificar o lote com etiqueta AMARELA de "EM QUARENTENA – AGUARDANDO LIBERAÇÃO DO CQ" até a emissão do laudo final.</w:t>
      </w:r>
    </w:p>
    <w:p>
      <w:pPr>
        <w:spacing w:after="60" w:before="140"/>
        <w:jc w:val="left"/>
      </w:pPr>
      <w:r>
        <w:rPr>
          <w:rFonts w:ascii="Arial" w:cs="Arial" w:eastAsia="Arial" w:hAnsi="Arial"/>
          <w:b/>
          <w:bCs/>
          <w:caps w:val="false"/>
          <w:color w:val="1F3864"/>
          <w:sz w:val="20"/>
          <w:szCs w:val="20"/>
        </w:rPr>
        <w:t xml:space="preserve">6.2 Armazenamento em Quarentena</w:t>
      </w:r>
    </w:p>
    <w:p>
      <w:pPr>
        <w:pStyle w:val="ListParagraph"/>
        <w:numPr>
          <w:ilvl w:val="0"/>
          <w:numId w:val="21"/>
        </w:numPr>
        <w:spacing w:after="80" w:before="80"/>
        <w:jc w:val="both"/>
      </w:pPr>
      <w:r>
        <w:rPr>
          <w:rFonts w:ascii="Arial" w:cs="Arial" w:eastAsia="Arial" w:hAnsi="Arial"/>
          <w:b w:val="false"/>
          <w:bCs w:val="false"/>
          <w:caps w:val="false"/>
          <w:color w:val="111111"/>
          <w:sz w:val="20"/>
          <w:szCs w:val="20"/>
        </w:rPr>
        <w:t xml:space="preserve">Armazenar o lote em área física segregada e identificada como "QUARENTENA", separada das áreas de produtos aprovados e reprovados. Registrar o endereçamento (localização) no sistema de controle de estoque.</w:t>
      </w:r>
    </w:p>
    <w:p>
      <w:pPr>
        <w:pStyle w:val="ListParagraph"/>
        <w:numPr>
          <w:ilvl w:val="0"/>
          <w:numId w:val="21"/>
        </w:numPr>
        <w:spacing w:after="80" w:before="80"/>
        <w:jc w:val="both"/>
      </w:pPr>
      <w:r>
        <w:rPr>
          <w:rFonts w:ascii="Arial" w:cs="Arial" w:eastAsia="Arial" w:hAnsi="Arial"/>
          <w:b w:val="false"/>
          <w:bCs w:val="false"/>
          <w:caps w:val="false"/>
          <w:color w:val="111111"/>
          <w:sz w:val="20"/>
          <w:szCs w:val="20"/>
        </w:rPr>
        <w:t xml:space="preserve">Monitorar e registrar diariamente a temperatura e a umidade da área de armazenamento em FOR-AMBI-002. Fora dos limites especificados, notificar o supervisor e o CQ, pois pode haver impacto na estabilidade do produto.</w:t>
      </w:r>
    </w:p>
    <w:p>
      <w:pPr>
        <w:spacing w:after="60" w:before="140"/>
        <w:jc w:val="left"/>
      </w:pPr>
      <w:r>
        <w:rPr>
          <w:rFonts w:ascii="Arial" w:cs="Arial" w:eastAsia="Arial" w:hAnsi="Arial"/>
          <w:b/>
          <w:bCs/>
          <w:caps w:val="false"/>
          <w:color w:val="1F3864"/>
          <w:sz w:val="20"/>
          <w:szCs w:val="20"/>
        </w:rPr>
        <w:t xml:space="preserve">6.3 Liberação pelo Controle de Qualidade</w:t>
      </w:r>
    </w:p>
    <w:p>
      <w:pPr>
        <w:pStyle w:val="ListParagraph"/>
        <w:numPr>
          <w:ilvl w:val="0"/>
          <w:numId w:val="21"/>
        </w:numPr>
        <w:spacing w:after="80" w:before="80"/>
        <w:jc w:val="both"/>
      </w:pPr>
      <w:r>
        <w:rPr>
          <w:rFonts w:ascii="Arial" w:cs="Arial" w:eastAsia="Arial" w:hAnsi="Arial"/>
          <w:b w:val="false"/>
          <w:bCs w:val="false"/>
          <w:caps w:val="false"/>
          <w:color w:val="111111"/>
          <w:sz w:val="20"/>
          <w:szCs w:val="20"/>
        </w:rPr>
        <w:t xml:space="preserve">Aguardar a emissão do laudo de análise do CQ (parâmetros físico-químicos, microbiológicos e de rotulagem). O laudo deve indicar explicitamente "APROVADO" ou "REPROVADO".</w:t>
      </w:r>
    </w:p>
    <w:p>
      <w:pPr>
        <w:pStyle w:val="ListParagraph"/>
        <w:numPr>
          <w:ilvl w:val="0"/>
          <w:numId w:val="21"/>
        </w:numPr>
        <w:spacing w:after="80" w:before="80"/>
        <w:jc w:val="both"/>
      </w:pPr>
      <w:r>
        <w:rPr>
          <w:rFonts w:ascii="Arial" w:cs="Arial" w:eastAsia="Arial" w:hAnsi="Arial"/>
          <w:b w:val="false"/>
          <w:bCs w:val="false"/>
          <w:caps w:val="false"/>
          <w:color w:val="111111"/>
          <w:sz w:val="20"/>
          <w:szCs w:val="20"/>
        </w:rPr>
        <w:t xml:space="preserve">Ao receber o laudo de APROVADO: substituir a etiqueta amarela pela etiqueta VERDE de "APROVADO – LIBERADO PARA EXPEDIÇÃO". Mover o lote (fisicamente ou ao menos no registro de endereçamento) para a área de produtos aprovados. Atualizar o status no sistema de controle de estoque.</w:t>
      </w:r>
    </w:p>
    <w:p>
      <w:pPr>
        <w:pStyle w:val="ListParagraph"/>
        <w:numPr>
          <w:ilvl w:val="0"/>
          <w:numId w:val="21"/>
        </w:numPr>
        <w:spacing w:after="80" w:before="80"/>
        <w:jc w:val="both"/>
      </w:pPr>
      <w:r>
        <w:rPr>
          <w:rFonts w:ascii="Arial" w:cs="Arial" w:eastAsia="Arial" w:hAnsi="Arial"/>
          <w:b w:val="false"/>
          <w:bCs w:val="false"/>
          <w:caps w:val="false"/>
          <w:color w:val="111111"/>
          <w:sz w:val="20"/>
          <w:szCs w:val="20"/>
        </w:rPr>
        <w:t xml:space="preserve">Ao receber o laudo de REPROVADO: substituir a etiqueta pela etiqueta VERMELHA de "REPROVADO – BLOQUEADO". Mover o lote para área segregada de bloqueados. Notificar o RT e a GQ para decisão sobre destinação (reprocesso, devolução ao fornecedor ou descarte).</w:t>
      </w:r>
    </w:p>
    <w:p>
      <w:pPr>
        <w:pBdr>
          <w:left w:val="single" w:color="C00000" w:sz="12"/>
        </w:pBdr>
        <w:spacing w:after="100" w:before="100"/>
        <w:ind w:left="600"/>
      </w:pPr>
      <w:r>
        <w:rPr>
          <w:rFonts w:ascii="Arial" w:cs="Arial" w:eastAsia="Arial" w:hAnsi="Arial"/>
          <w:b/>
          <w:bCs/>
          <w:caps w:val="false"/>
          <w:color w:val="C00000"/>
          <w:sz w:val="20"/>
          <w:szCs w:val="20"/>
        </w:rPr>
        <w:t xml:space="preserve">ATENÇÃO: </w:t>
      </w:r>
      <w:r>
        <w:rPr>
          <w:rFonts w:ascii="Arial" w:cs="Arial" w:eastAsia="Arial" w:hAnsi="Arial"/>
          <w:b/>
          <w:bCs/>
          <w:caps w:val="false"/>
          <w:color w:val="C00000"/>
          <w:sz w:val="20"/>
          <w:szCs w:val="20"/>
        </w:rPr>
        <w:t xml:space="preserve">Em nenhuma circunstância um produto em quarentena ou reprovado pode ser expedido, mesmo parcialmente ou por urgência comercial. A liberação é exclusivamente documental, mediante laudo formal do CQ.</w:t>
      </w:r>
    </w:p>
    <w:p>
      <w:pPr>
        <w:spacing w:after="60" w:before="140"/>
        <w:jc w:val="left"/>
      </w:pPr>
      <w:r>
        <w:rPr>
          <w:rFonts w:ascii="Arial" w:cs="Arial" w:eastAsia="Arial" w:hAnsi="Arial"/>
          <w:b/>
          <w:bCs/>
          <w:caps w:val="false"/>
          <w:color w:val="1F3864"/>
          <w:sz w:val="20"/>
          <w:szCs w:val="20"/>
        </w:rPr>
        <w:t xml:space="preserve">6.4 Gestão de Estoque – FEFO</w:t>
      </w:r>
    </w:p>
    <w:p>
      <w:pPr>
        <w:pStyle w:val="ListParagraph"/>
        <w:numPr>
          <w:ilvl w:val="0"/>
          <w:numId w:val="21"/>
        </w:numPr>
        <w:spacing w:after="80" w:before="80"/>
        <w:jc w:val="both"/>
      </w:pPr>
      <w:r>
        <w:rPr>
          <w:rFonts w:ascii="Arial" w:cs="Arial" w:eastAsia="Arial" w:hAnsi="Arial"/>
          <w:b w:val="false"/>
          <w:bCs w:val="false"/>
          <w:caps w:val="false"/>
          <w:color w:val="111111"/>
          <w:sz w:val="20"/>
          <w:szCs w:val="20"/>
        </w:rPr>
        <w:t xml:space="preserve">Organizar o armazenamento de forma que os lotes com validade mais próxima fiquem fisicamente mais acessíveis (regra FEFO). Para produtos com a mesma validade, aplicar FIFO (ordem de recebimento).</w:t>
      </w:r>
    </w:p>
    <w:p>
      <w:pPr>
        <w:pStyle w:val="ListParagraph"/>
        <w:numPr>
          <w:ilvl w:val="0"/>
          <w:numId w:val="21"/>
        </w:numPr>
        <w:spacing w:after="80" w:before="80"/>
        <w:jc w:val="both"/>
      </w:pPr>
      <w:r>
        <w:rPr>
          <w:rFonts w:ascii="Arial" w:cs="Arial" w:eastAsia="Arial" w:hAnsi="Arial"/>
          <w:b w:val="false"/>
          <w:bCs w:val="false"/>
          <w:caps w:val="false"/>
          <w:color w:val="111111"/>
          <w:sz w:val="20"/>
          <w:szCs w:val="20"/>
        </w:rPr>
        <w:t xml:space="preserve">Atualizar o sistema de controle de estoque a cada movimentação (entrada, saída, transferência de status), registrando: produto, lote, quantidade, validade, localização e responsável.</w:t>
      </w:r>
    </w:p>
    <w:p>
      <w:pPr>
        <w:pStyle w:val="ListParagraph"/>
        <w:numPr>
          <w:ilvl w:val="0"/>
          <w:numId w:val="21"/>
        </w:numPr>
        <w:spacing w:after="80" w:before="80"/>
        <w:jc w:val="both"/>
      </w:pPr>
      <w:r>
        <w:rPr>
          <w:rFonts w:ascii="Arial" w:cs="Arial" w:eastAsia="Arial" w:hAnsi="Arial"/>
          <w:b w:val="false"/>
          <w:bCs w:val="false"/>
          <w:caps w:val="false"/>
          <w:color w:val="111111"/>
          <w:sz w:val="20"/>
          <w:szCs w:val="20"/>
        </w:rPr>
        <w:t xml:space="preserve">Realizar inventário cíclico periódico (mínimo mensal) comparando o estoque físico com o sistema. Investigar e documentar quaisquer divergências.</w:t>
      </w:r>
    </w:p>
    <w:p>
      <w:pPr>
        <w:spacing w:after="60" w:before="140"/>
        <w:jc w:val="left"/>
      </w:pPr>
      <w:r>
        <w:rPr>
          <w:rFonts w:ascii="Arial" w:cs="Arial" w:eastAsia="Arial" w:hAnsi="Arial"/>
          <w:b/>
          <w:bCs/>
          <w:caps w:val="false"/>
          <w:color w:val="1F3864"/>
          <w:sz w:val="20"/>
          <w:szCs w:val="20"/>
        </w:rPr>
        <w:t xml:space="preserve">6.5 Expedição</w:t>
      </w:r>
    </w:p>
    <w:p>
      <w:pPr>
        <w:pStyle w:val="ListParagraph"/>
        <w:numPr>
          <w:ilvl w:val="0"/>
          <w:numId w:val="21"/>
        </w:numPr>
        <w:spacing w:after="80" w:before="80"/>
        <w:jc w:val="both"/>
      </w:pPr>
      <w:r>
        <w:rPr>
          <w:rFonts w:ascii="Arial" w:cs="Arial" w:eastAsia="Arial" w:hAnsi="Arial"/>
          <w:b w:val="false"/>
          <w:bCs w:val="false"/>
          <w:caps w:val="false"/>
          <w:color w:val="111111"/>
          <w:sz w:val="20"/>
          <w:szCs w:val="20"/>
        </w:rPr>
        <w:t xml:space="preserve">Antes de expedir, verificar: status do lote (somente "APROVADO"), prazo de validade remanescente (conforme política comercial – usualmente mínimo de 70–80% da vida útil restante), integridade da embalagem de transporte.</w:t>
      </w:r>
    </w:p>
    <w:p>
      <w:pPr>
        <w:pStyle w:val="ListParagraph"/>
        <w:numPr>
          <w:ilvl w:val="0"/>
          <w:numId w:val="21"/>
        </w:numPr>
        <w:spacing w:after="80" w:before="80"/>
        <w:jc w:val="both"/>
      </w:pPr>
      <w:r>
        <w:rPr>
          <w:rFonts w:ascii="Arial" w:cs="Arial" w:eastAsia="Arial" w:hAnsi="Arial"/>
          <w:b w:val="false"/>
          <w:bCs w:val="false"/>
          <w:caps w:val="false"/>
          <w:color w:val="111111"/>
          <w:sz w:val="20"/>
          <w:szCs w:val="20"/>
        </w:rPr>
        <w:t xml:space="preserve">Selecionar o lote a ser expedido seguindo estritamente a regra FEFO, salvo determinação contrária documentada (ex.: solicitação específica de cliente).</w:t>
      </w:r>
    </w:p>
    <w:p>
      <w:pPr>
        <w:pStyle w:val="ListParagraph"/>
        <w:numPr>
          <w:ilvl w:val="0"/>
          <w:numId w:val="21"/>
        </w:numPr>
        <w:spacing w:after="80" w:before="80"/>
        <w:jc w:val="both"/>
      </w:pPr>
      <w:r>
        <w:rPr>
          <w:rFonts w:ascii="Arial" w:cs="Arial" w:eastAsia="Arial" w:hAnsi="Arial"/>
          <w:b w:val="false"/>
          <w:bCs w:val="false"/>
          <w:caps w:val="false"/>
          <w:color w:val="111111"/>
          <w:sz w:val="20"/>
          <w:szCs w:val="20"/>
        </w:rPr>
        <w:t xml:space="preserve">Registrar a expedição no sistema de controle de estoque e na documentação de rastreabilidade (nota fiscal vinculada ao(s) número(s) de lote expedido(s)).</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7. FREQUÊNCIA DE EXECUÇÃO</w:t>
      </w:r>
    </w:p>
    <w:p>
      <w:pPr>
        <w:spacing w:after="80" w:before="80"/>
        <w:jc w:val="both"/>
      </w:pPr>
      <w:r>
        <w:rPr>
          <w:rFonts w:ascii="Arial" w:cs="Arial" w:eastAsia="Arial" w:hAnsi="Arial"/>
          <w:b w:val="false"/>
          <w:bCs w:val="false"/>
          <w:caps w:val="false"/>
          <w:color w:val="111111"/>
          <w:sz w:val="20"/>
          <w:szCs w:val="20"/>
        </w:rPr>
        <w:t xml:space="preserve">Contínuo – monitoramento ambiental diário; movimentação registrada a cada operação de entrada, transferência de status ou saída.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8. REGISTROS OBRIGATÓRIOS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FOR-AMBI-002 – Controle Ambiental do Armazém de Produto Acabado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FOR-EST-003 – Registro de Movimentação de Estoque (entrada/saída/status)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FOR-CQ-015 – Laudo de Liberação de Produto Acabado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FOR-EST-004 – Inventário Cíclico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Sistema Aurum – Módulo de Estoque (registro digital de lote, validade e localização)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9. CRITÉRIOS DE ACEITAÇÃO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Temperatura da área de armazenamento: 15–25 °C (ou especificação do produto); umidade relativa ≤ 60%</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Segregação física: 100% dos lotes com etiqueta de status correta e correspondente à sua localização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Liberação: nenhuma unidade expedida sem laudo de aprovação do CQ</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Aplicação de FEFO: ≥ 98% das expedições seguindo a ordem de validade mais próxima</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Acuracidade de inventário: divergência ≤ 0,5% entre estoque físico e sistêmico</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10. PONTOS CRÍTICOS DE CONTROLE (PCC / HACCP)</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675"/>
        <w:gridCol w:w="1735"/>
        <w:gridCol w:w="2024"/>
        <w:gridCol w:w="3469"/>
        <w:gridCol w:w="1735"/>
      </w:tblGrid>
      <w:tr>
        <w:trPr>
          <w:tblHeader/>
        </w:trPr>
        <w:tc>
          <w:tcPr>
            <w:tcW w:type="dxa" w:w="67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PCC</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Parâmetro</w:t>
            </w:r>
          </w:p>
        </w:tc>
        <w:tc>
          <w:tcPr>
            <w:tcW w:type="dxa" w:w="202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Limite Crítico</w:t>
            </w:r>
          </w:p>
        </w:tc>
        <w:tc>
          <w:tcPr>
            <w:tcW w:type="dxa" w:w="346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Ação Corretiva</w:t>
            </w:r>
          </w:p>
        </w:tc>
        <w:tc>
          <w:tcPr>
            <w:tcW w:type="dxa" w:w="1735"/>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Frequência</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PCC1</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Status de liberação do lote</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dos lotes expedidos com laudo "APROVADO"</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Bloquear imediatamente a expedição. Verificar a causa (erro de sistema, etiqueta trocada). Notificar RT e GQ. Investigar se houve expedição indevida.</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100% antes de cada expedição</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PCC2</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Temperatura/umidade do armazém</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15–25 °C / UR ≤ 60% (ou especificação do produto)</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Acionar manutenção do sistema de climatização. Avaliar impacto na estabilidade dos lotes armazenados durante o desvio com o CQ.</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Diário (contínuo via datalogger, se disponível)</w:t>
            </w:r>
          </w:p>
        </w:tc>
      </w:tr>
      <w:tr>
        <w:tc>
          <w:tcPr>
            <w:tcW w:type="dxa" w:w="67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111111"/>
                <w:sz w:val="18"/>
                <w:szCs w:val="18"/>
              </w:rPr>
              <w:t xml:space="preserve">PCC3</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Segregação física por status</w:t>
            </w:r>
          </w:p>
        </w:tc>
        <w:tc>
          <w:tcPr>
            <w:tcW w:type="dxa" w:w="2024"/>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Zero mistura entre quarentena, aprovado e reprovado</w:t>
            </w:r>
          </w:p>
        </w:tc>
        <w:tc>
          <w:tcPr>
            <w:tcW w:type="dxa" w:w="3469"/>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Reorganizar imediatamente. Re-etiquetar conforme status correto. Investigar como ocorreu a mistura.</w:t>
            </w:r>
          </w:p>
        </w:tc>
        <w:tc>
          <w:tcPr>
            <w:tcW w:type="dxa" w:w="1735"/>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Auditoria periódica (mínimo semanal)</w:t>
            </w:r>
          </w:p>
        </w:tc>
      </w:tr>
    </w:tbl>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11. AÇÕES CORRETIVAS EM CASO DE DESVIO</w:t>
      </w:r>
    </w:p>
    <w:p>
      <w:pPr>
        <w:pStyle w:val="ListParagraph"/>
        <w:numPr>
          <w:ilvl w:val="0"/>
          <w:numId w:val="22"/>
        </w:numPr>
        <w:spacing w:after="80" w:before="80"/>
        <w:jc w:val="both"/>
      </w:pPr>
      <w:r>
        <w:rPr>
          <w:rFonts w:ascii="Arial" w:cs="Arial" w:eastAsia="Arial" w:hAnsi="Arial"/>
          <w:b w:val="false"/>
          <w:bCs w:val="false"/>
          <w:caps w:val="false"/>
          <w:color w:val="111111"/>
          <w:sz w:val="20"/>
          <w:szCs w:val="20"/>
        </w:rPr>
        <w:t xml:space="preserve">Detecção de produto sem status de liberação na área de aprovados: segregar imediatamente, devolver à quarentena com etiqueta correta, verificar se houve risco de expedição indevida.</w:t>
      </w:r>
    </w:p>
    <w:p>
      <w:pPr>
        <w:pStyle w:val="ListParagraph"/>
        <w:numPr>
          <w:ilvl w:val="0"/>
          <w:numId w:val="22"/>
        </w:numPr>
        <w:spacing w:after="80" w:before="80"/>
        <w:jc w:val="both"/>
      </w:pPr>
      <w:r>
        <w:rPr>
          <w:rFonts w:ascii="Arial" w:cs="Arial" w:eastAsia="Arial" w:hAnsi="Arial"/>
          <w:b w:val="false"/>
          <w:bCs w:val="false"/>
          <w:caps w:val="false"/>
          <w:color w:val="111111"/>
          <w:sz w:val="20"/>
          <w:szCs w:val="20"/>
        </w:rPr>
        <w:t xml:space="preserve">Falha ambiental prolongada (temperatura/umidade fora do limite por mais de 4 horas): notificar CQ para avaliação de impacto na estabilidade dos lotes armazenados. Pode requerer testes adicionais de estabilidade antes da liberação para expedição.</w:t>
      </w:r>
    </w:p>
    <w:p>
      <w:pPr>
        <w:pStyle w:val="ListParagraph"/>
        <w:numPr>
          <w:ilvl w:val="0"/>
          <w:numId w:val="22"/>
        </w:numPr>
        <w:spacing w:after="80" w:before="80"/>
        <w:jc w:val="both"/>
      </w:pPr>
      <w:r>
        <w:rPr>
          <w:rFonts w:ascii="Arial" w:cs="Arial" w:eastAsia="Arial" w:hAnsi="Arial"/>
          <w:b w:val="false"/>
          <w:bCs w:val="false"/>
          <w:caps w:val="false"/>
          <w:color w:val="111111"/>
          <w:sz w:val="20"/>
          <w:szCs w:val="20"/>
        </w:rPr>
        <w:t xml:space="preserve">Divergência de inventário acima de 0,5%: investigar imediatamente (erro de registro, extravio, roubo). Documentar a investigação e as ações corretivas em FOR-NC-001.</w:t>
      </w:r>
    </w:p>
    <w:p>
      <w:pPr>
        <w:pStyle w:val="ListParagraph"/>
        <w:numPr>
          <w:ilvl w:val="0"/>
          <w:numId w:val="22"/>
        </w:numPr>
        <w:spacing w:after="80" w:before="80"/>
        <w:jc w:val="both"/>
      </w:pPr>
      <w:r>
        <w:rPr>
          <w:rFonts w:ascii="Arial" w:cs="Arial" w:eastAsia="Arial" w:hAnsi="Arial"/>
          <w:b w:val="false"/>
          <w:bCs w:val="false"/>
          <w:caps w:val="false"/>
          <w:color w:val="111111"/>
          <w:sz w:val="20"/>
          <w:szCs w:val="20"/>
        </w:rPr>
        <w:t xml:space="preserve">Quebra da regra FEFO identificada: investigar a causa (erro de endereçamento, pressão comercial). Reforçar o treinamento da equipe de armazém. Registrar em CAPA se recorrente.</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12. FORMULÁRIOS E DOCUMENTOS RELACIONADOS</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FOR-AMBI-002 – Controle Ambiental do Armazém</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FOR-EST-003 – Movimentação de Estoque</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FOR-EST-004 – Inventário Cíclico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FOR-CQ-015 – Laudo de Liberação de Produto Acabado</w:t>
      </w:r>
    </w:p>
    <w:p>
      <w:pPr>
        <w:pStyle w:val="ListParagraph"/>
        <w:numPr>
          <w:ilvl w:val="0"/>
          <w:numId w:val="2"/>
        </w:numPr>
        <w:spacing w:after="60" w:before="60"/>
        <w:jc w:val="left"/>
      </w:pPr>
      <w:r>
        <w:rPr>
          <w:rFonts w:ascii="Arial" w:cs="Arial" w:eastAsia="Arial" w:hAnsi="Arial"/>
          <w:b w:val="false"/>
          <w:bCs w:val="false"/>
          <w:caps w:val="false"/>
          <w:color w:val="111111"/>
          <w:sz w:val="20"/>
          <w:szCs w:val="20"/>
        </w:rPr>
        <w:t xml:space="preserve">FOR-NC-001 – Não Conformidade | FOR-GQ-003 – CAPA</w:t>
      </w:r>
    </w:p>
    <w:p>
      <w:pPr>
        <w:spacing w:after="80" w:before="80"/>
      </w:pPr>
      <w:r>
        <w:rPr>
          <w:rFonts w:ascii="Arial" w:cs="Arial" w:eastAsia="Arial" w:hAnsi="Arial"/>
          <w:b w:val="false"/>
          <w:bCs w:val="false"/>
          <w:caps w:val="false"/>
          <w:color w:val="111111"/>
          <w:sz w:val="20"/>
          <w:szCs w:val="20"/>
        </w:rPr>
        <w:t xml:space="preserve"/>
      </w:r>
    </w:p>
    <w:p>
      <w:pPr>
        <w:pBdr>
          <w:bottom w:val="single" w:color="2E75B6" w:sz="6"/>
        </w:pBdr>
        <w:spacing w:after="100" w:before="200"/>
      </w:pPr>
      <w:r>
        <w:rPr>
          <w:rFonts w:ascii="Arial" w:cs="Arial" w:eastAsia="Arial" w:hAnsi="Arial"/>
          <w:b/>
          <w:bCs/>
          <w:caps/>
          <w:color w:val="1F3864"/>
          <w:sz w:val="22"/>
          <w:szCs w:val="22"/>
        </w:rPr>
        <w:t xml:space="preserve">13. HISTÓRICO DE REVISÕES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5493"/>
        <w:gridCol w:w="1831"/>
      </w:tblGrid>
      <w:tr>
        <w:trPr>
          <w:tblHeader/>
        </w:trPr>
        <w:tc>
          <w:tcPr>
            <w:tcW w:type="dxa" w:w="964"/>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Versão</w:t>
            </w:r>
          </w:p>
        </w:tc>
        <w:tc>
          <w:tcPr>
            <w:tcW w:type="dxa" w:w="1349"/>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Data</w:t>
            </w:r>
          </w:p>
        </w:tc>
        <w:tc>
          <w:tcPr>
            <w:tcW w:type="dxa" w:w="5493"/>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left"/>
            </w:pPr>
            <w:r>
              <w:rPr>
                <w:rFonts w:ascii="Arial" w:cs="Arial" w:eastAsia="Arial" w:hAnsi="Arial"/>
                <w:b/>
                <w:bCs/>
                <w:caps w:val="false"/>
                <w:color w:val="FFFFFF"/>
                <w:sz w:val="17"/>
                <w:szCs w:val="17"/>
              </w:rPr>
              <w:t xml:space="preserve">Descrição</w:t>
            </w:r>
          </w:p>
        </w:tc>
        <w:tc>
          <w:tcPr>
            <w:tcW w:type="dxa" w:w="1831"/>
            <w:tcBorders>
              <w:top w:val="single" w:color="BBBBBB" w:sz="4"/>
              <w:left w:val="single" w:color="BBBBBB" w:sz="4"/>
              <w:bottom w:val="single" w:color="BBBBBB" w:sz="4"/>
              <w:right w:val="single" w:color="BBBBBB" w:sz="4"/>
            </w:tcBorders>
            <w:shd w:fill="1F3864" w:val="clear"/>
            <w:tcMar>
              <w:top w:type="dxa" w:w="80"/>
              <w:left w:type="dxa" w:w="100"/>
              <w:bottom w:type="dxa" w:w="80"/>
              <w:right w:type="dxa" w:w="100"/>
            </w:tcMar>
            <w:vAlign w:val="center"/>
          </w:tcPr>
          <w:p>
            <w:pPr>
              <w:spacing w:after="60" w:before="60"/>
              <w:jc w:val="center"/>
            </w:pPr>
            <w:r>
              <w:rPr>
                <w:rFonts w:ascii="Arial" w:cs="Arial" w:eastAsia="Arial" w:hAnsi="Arial"/>
                <w:b/>
                <w:bCs/>
                <w:caps w:val="false"/>
                <w:color w:val="FFFFFF"/>
                <w:sz w:val="17"/>
                <w:szCs w:val="17"/>
              </w:rPr>
              <w:t xml:space="preserve">Resp.</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01</w:t>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Jun/2025</w:t>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Emissão inicial do documento.</w:t>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center"/>
            </w:pPr>
            <w:r>
              <w:rPr>
                <w:rFonts w:ascii="Arial" w:cs="Arial" w:eastAsia="Arial" w:hAnsi="Arial"/>
                <w:b w:val="false"/>
                <w:bCs w:val="false"/>
                <w:caps w:val="false"/>
                <w:color w:val="111111"/>
                <w:sz w:val="18"/>
                <w:szCs w:val="18"/>
              </w:rPr>
              <w:t xml:space="preserve">RT/GQ</w:t>
            </w:r>
          </w:p>
        </w:tc>
      </w:tr>
      <w:tr>
        <w:tc>
          <w:tcPr>
            <w:tcW w:type="dxa" w:w="964"/>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349"/>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5493"/>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c>
          <w:tcPr>
            <w:tcW w:type="dxa" w:w="1831"/>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60" w:before="60"/>
              <w:jc w:val="left"/>
            </w:pPr>
            <w:r>
              <w:rPr>
                <w:rFonts w:ascii="Arial" w:cs="Arial" w:eastAsia="Arial" w:hAnsi="Arial"/>
                <w:b w:val="false"/>
                <w:bCs w:val="false"/>
                <w:caps w:val="false"/>
                <w:color w:val="111111"/>
                <w:sz w:val="18"/>
                <w:szCs w:val="18"/>
              </w:rPr>
              <w:t xml:space="preserve"/>
            </w:r>
          </w:p>
        </w:tc>
      </w:tr>
    </w:tbl>
    <w:p>
      <w:pPr>
        <w:spacing w:after="100" w:before="200"/>
      </w:pPr>
      <w:r>
        <w:rPr>
          <w:rFonts w:ascii="Arial" w:cs="Arial" w:eastAsia="Arial" w:hAnsi="Arial"/>
          <w:b w:val="false"/>
          <w:bCs w:val="false"/>
          <w:caps w:val="false"/>
          <w:color w:val="111111"/>
          <w:sz w:val="20"/>
          <w:szCs w:val="20"/>
        </w:rPr>
        <w:t xml:space="preserve"/>
      </w:r>
    </w:p>
    <w:p>
      <w:r>
        <w:br w:type="page"/>
      </w:r>
    </w:p>
    <w:sectPr>
      <w:headerReference w:type="default" r:id="rId7"/>
      <w:headerReference w:type="first" r:id="rId8"/>
      <w:footerReference w:type="default" r:id="rId9"/>
      <w:footerReference w:type="first" r:id="rId10"/>
      <w:pgSz w:w="11906" w:h="16838" w:orient="portrait"/>
      <w:pgMar w:top="1134" w:right="851" w:bottom="1134"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caps w:val="false"/>
        <w:color w:val="888888"/>
        <w:sz w:val="14"/>
        <w:szCs w:val="14"/>
      </w:rPr>
      <w:t xml:space="preserve">Página </w:t>
    </w:r>
    <w:r>
      <w:rPr>
        <w:color w:val="888888"/>
        <w:sz w:val="14"/>
        <w:szCs w:val="14"/>
      </w:rPr>
      <w:fldChar w:fldCharType="begin"/>
      <w:instrText xml:space="preserve">PAGE</w:instrText>
      <w:fldChar w:fldCharType="separate"/>
      <w:fldChar w:fldCharType="end"/>
    </w:r>
    <w:r>
      <w:rPr>
        <w:rFonts w:ascii="Arial" w:cs="Arial" w:eastAsia="Arial" w:hAnsi="Arial"/>
        <w:b w:val="false"/>
        <w:bCs w:val="false"/>
        <w:caps w:val="false"/>
        <w:color w:val="888888"/>
        <w:sz w:val="14"/>
        <w:szCs w:val="14"/>
      </w:rPr>
      <w:t xml:space="preserve"> de </w:t>
    </w:r>
    <w:r>
      <w:rPr>
        <w:color w:val="888888"/>
        <w:sz w:val="14"/>
        <w:szCs w:val="14"/>
      </w:rPr>
      <w:fldChar w:fldCharType="begin"/>
      <w:instrText xml:space="preserve">NUMPAGES</w:instrText>
      <w:fldChar w:fldCharType="separate"/>
      <w:fldChar w:fldCharType="end"/>
    </w:r>
    <w:r>
      <w:rPr>
        <w:rFonts w:ascii="Arial" w:cs="Arial" w:eastAsia="Arial" w:hAnsi="Arial"/>
        <w:b w:val="false"/>
        <w:bCs w:val="false"/>
        <w:caps w:val="false"/>
        <w:color w:val="888888"/>
        <w:sz w:val="14"/>
        <w:szCs w:val="14"/>
      </w:rPr>
      <w:t xml:space="preserve">  |  Documento Confidencial — Uso Interno</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20"/>
      <w:jc w:val="right"/>
    </w:pPr>
    <w:r>
      <w:rPr>
        <w:rFonts w:ascii="Arial" w:cs="Arial" w:eastAsia="Arial" w:hAnsi="Arial"/>
        <w:b w:val="false"/>
        <w:bCs w:val="false"/>
        <w:caps w:val="false"/>
        <w:color w:val="888888"/>
        <w:sz w:val="14"/>
        <w:szCs w:val="14"/>
      </w:rPr>
      <w:t xml:space="preserve">Sistema de Gestão da Qualidade — POPs de Produção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rPr>
    </w:lvl>
    <w:lvl w:ilvl="1" w15:tentative="1">
      <w:start w:val="1"/>
      <w:numFmt w:val="bullet"/>
      <w:lvlText w:val="◦"/>
      <w:lvlJc w:val="left"/>
      <w:pPr>
        <w:ind w:left="900" w:hanging="2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2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2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2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2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2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2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2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2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2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2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3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3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3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3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3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3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3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3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3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3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4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5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6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7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8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9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0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3"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4"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5"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6"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7"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8"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19"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20"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21"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abstractNum w:abstractNumId="122" w15:restartNumberingAfterBreak="0">
    <w:multiLevelType w:val="hybridMultilevel"/>
    <w:lvl w:ilvl="0" w15:tentative="1">
      <w:start w:val="1"/>
      <w:numFmt w:val="decimal"/>
      <w:lvlText w:val="%1."/>
      <w:lvlJc w:val="left"/>
      <w:pPr>
        <w:ind w:left="600" w:hanging="360"/>
      </w:pPr>
      <w:rPr>
        <w:rFonts w:ascii="Arial" w:cs="Arial" w:eastAsia="Arial" w:hAnsi="Arial"/>
      </w:rPr>
    </w:lvl>
    <w:lvl w:ilvl="1" w15:tentative="1">
      <w:start w:val="1"/>
      <w:numFmt w:val="lowerLetter"/>
      <w:lvlText w:val="%2)"/>
      <w:lvlJc w:val="left"/>
      <w:pPr>
        <w:ind w:left="100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color w:val="FFFFFF"/>
      <w:sz w:val="2"/>
      <w:szCs w:val="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2026-06-19T13:28:36.525Z</dcterms:created>
  <dcterms:modified xsi:type="dcterms:W3CDTF">2026-06-19T13:28:36.525Z</dcterms:modified>
</cp:coreProperties>
</file>

<file path=docProps/custom.xml><?xml version="1.0" encoding="utf-8"?>
<Properties xmlns="http://schemas.openxmlformats.org/officeDocument/2006/custom-properties" xmlns:vt="http://schemas.openxmlformats.org/officeDocument/2006/docPropsVTypes"/>
</file>