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TÉCNICO COMPLETO + PROCEDIMENTO OPERACIONAL PADRÃO - POP-PRD-SOL-001</w:t>
      </w:r>
    </w:p>
    <w:p>
      <w:pPr>
        <w:pStyle w:val="Heading2"/>
      </w:pPr>
      <w:r>
        <w:t>1. IDENTIFICAÇÃO DO PROCEDIMENTO</w:t>
      </w:r>
    </w:p>
    <w:p>
      <w:r>
        <w:t>Código: POP-PRD-SOL-001</w:t>
        <w:br/>
        <w:t>Título: Produção de Suplementos Alimentares em Pó Solúvel</w:t>
        <w:br/>
        <w:t>Área: Produção</w:t>
        <w:br/>
        <w:t>Aplicação: Produtos em pó solúvel</w:t>
        <w:br/>
        <w:t>Responsável: Produção / CQ / GQ / RT</w:t>
        <w:br/>
        <w:t>Revisão: 00</w:t>
      </w:r>
    </w:p>
    <w:p>
      <w:pPr>
        <w:pStyle w:val="Heading2"/>
      </w:pPr>
      <w:r>
        <w:t>2. OBJETIVO</w:t>
      </w:r>
    </w:p>
    <w:p>
      <w:r>
        <w:t>Estabelecer os critérios operacionais para fabricação de suplementos alimentares em pó solúvel.</w:t>
      </w:r>
    </w:p>
    <w:p>
      <w:pPr>
        <w:pStyle w:val="Heading2"/>
      </w:pPr>
      <w:r>
        <w:t>3. DOCUMENTOS DE REFERÊNCIA</w:t>
      </w:r>
    </w:p>
    <w:p>
      <w:r>
        <w:t>RDC 275/2002; RDC 243/2018; IN 28/2018; RDC 331/2019; IN 161/2022; RDC 429/2020; IN 75/2020.</w:t>
      </w:r>
    </w:p>
    <w:p>
      <w:pPr>
        <w:pStyle w:val="Heading2"/>
      </w:pPr>
      <w:r>
        <w:t>4. DEFINIÇÕES</w:t>
      </w:r>
    </w:p>
    <w:p>
      <w:r>
        <w:t>Blend, PCC, Homogeneidade, Segregação e Densidade Aparente.</w:t>
      </w:r>
    </w:p>
    <w:p>
      <w:pPr>
        <w:pStyle w:val="Heading2"/>
      </w:pPr>
      <w:r>
        <w:t>5. RESPONSABILIDADES</w:t>
      </w:r>
    </w:p>
    <w:p>
      <w:r>
        <w:t>Produção, CQ, GQ e RT.</w:t>
      </w:r>
    </w:p>
    <w:p>
      <w:pPr>
        <w:pStyle w:val="Heading2"/>
      </w:pPr>
      <w:r>
        <w:t>6. ETAPA 1 – LIBERAÇÃO DE LINHA</w:t>
      </w:r>
    </w:p>
    <w:p>
      <w:r>
        <w:t>Verificar limpeza, OP aprovada e matérias-primas liberadas.</w:t>
      </w:r>
    </w:p>
    <w:p>
      <w:pPr>
        <w:pStyle w:val="Heading2"/>
      </w:pPr>
      <w:r>
        <w:t>7. ETAPA 2 – PESAGEM</w:t>
      </w:r>
    </w:p>
    <w:p>
      <w:r>
        <w:t>Ativos ±0,5%; excipientes ±2,0%.</w:t>
      </w:r>
    </w:p>
    <w:p>
      <w:pPr>
        <w:pStyle w:val="Heading2"/>
      </w:pPr>
      <w:r>
        <w:t>8. ETAPA 3 – PENEIRAMENTO</w:t>
      </w:r>
    </w:p>
    <w:p>
      <w:r>
        <w:t>Eliminar grumos e uniformizar granulometria.</w:t>
      </w:r>
    </w:p>
    <w:p>
      <w:pPr>
        <w:pStyle w:val="Heading2"/>
      </w:pPr>
      <w:r>
        <w:t>9. ETAPA 4 – MISTURA E HOMOGENEIZAÇÃO</w:t>
      </w:r>
    </w:p>
    <w:p>
      <w:r>
        <w:t>Mistura por 15 a 30 minutos.</w:t>
      </w:r>
    </w:p>
    <w:p>
      <w:pPr>
        <w:pStyle w:val="Heading2"/>
      </w:pPr>
      <w:r>
        <w:t>10. ETAPA 5 – CONTROLE DE HOMOGENEIDADE</w:t>
      </w:r>
    </w:p>
    <w:p>
      <w:r>
        <w:t>90–110% do valor teórico ou RSD ≤ 5%.</w:t>
      </w:r>
    </w:p>
    <w:p>
      <w:pPr>
        <w:pStyle w:val="Heading2"/>
      </w:pPr>
      <w:r>
        <w:t>11. ETAPA 6 – CONTROLE DE UMIDADE</w:t>
      </w:r>
    </w:p>
    <w:p>
      <w:r>
        <w:t>≤ 5%.</w:t>
      </w:r>
    </w:p>
    <w:p>
      <w:pPr>
        <w:pStyle w:val="Heading2"/>
      </w:pPr>
      <w:r>
        <w:t>12. ETAPA 7 – ENVASE</w:t>
      </w:r>
    </w:p>
    <w:p>
      <w:r>
        <w:t>Peso líquido ±2%.</w:t>
      </w:r>
    </w:p>
    <w:p>
      <w:pPr>
        <w:pStyle w:val="Heading2"/>
      </w:pPr>
      <w:r>
        <w:t>13. ETAPA 8 – SELAGEM E ROTULAGEM</w:t>
      </w:r>
    </w:p>
    <w:p>
      <w:r>
        <w:t>Verificação de vedação e rotulagem.</w:t>
      </w:r>
    </w:p>
    <w:p>
      <w:pPr>
        <w:pStyle w:val="Heading2"/>
      </w:pPr>
      <w:r>
        <w:t>14. CONTROLE MICROBIOLÓGICO</w:t>
      </w:r>
    </w:p>
    <w:p>
      <w:r>
        <w:t>Conforme RDC 331/2019 e IN 161/2022.</w:t>
      </w:r>
    </w:p>
    <w:p>
      <w:pPr>
        <w:pStyle w:val="Heading2"/>
      </w:pPr>
      <w:r>
        <w:t>15. RENDIMENTO E RECONCILIAÇÃO</w:t>
      </w:r>
    </w:p>
    <w:p>
      <w:r>
        <w:t>95% a 105%.</w:t>
      </w:r>
    </w:p>
    <w:p>
      <w:pPr>
        <w:pStyle w:val="Heading2"/>
      </w:pPr>
      <w:r>
        <w:t>16. CONTAMINAÇÃO CRUZADA E LIMPEZA</w:t>
      </w:r>
    </w:p>
    <w:p>
      <w:r>
        <w:t>POP de limpeza e line clearance.</w:t>
      </w:r>
    </w:p>
    <w:p>
      <w:pPr>
        <w:pStyle w:val="Heading2"/>
      </w:pPr>
      <w:r>
        <w:t>17. DOCUMENTOS DE SUPORTE UTILIZADOS</w:t>
      </w:r>
    </w:p>
    <w:p>
      <w:r>
        <w:t>OP, pesagem, homogeneidade, umidade, CAPA e demais registros.</w:t>
      </w:r>
    </w:p>
    <w:p>
      <w:pPr>
        <w:pStyle w:val="Heading2"/>
      </w:pPr>
      <w:r>
        <w:t>18. DADOS DA EMPRESA</w:t>
      </w:r>
    </w:p>
    <w:p>
      <w:r>
        <w:t>Lemoncaps Indústria Comércio LTDA - CNPJ 55.836.075/0001-07.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