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i w:val="0"/>
          <w:color w:val="12355B"/>
          <w:sz w:val="52"/>
        </w:rPr>
        <w:t>LEMONCAPS</w:t>
      </w:r>
    </w:p>
    <w:p>
      <w:pPr>
        <w:spacing w:before="0" w:after="200"/>
      </w:pPr>
      <w:r>
        <w:rPr>
          <w:rFonts w:ascii="Calibri" w:hAnsi="Calibri"/>
          <w:b w:val="0"/>
          <w:i w:val="0"/>
          <w:color w:val="1F5C99"/>
          <w:sz w:val="21"/>
        </w:rPr>
        <w:t>Indústria e Comércio Ltda — Fabricação de Suplementos Alimentares</w:t>
      </w:r>
    </w:p>
    <w:p>
      <w:pPr>
        <w:spacing w:before="0" w:after="0"/>
      </w:pPr>
      <w:r>
        <w:rPr>
          <w:rFonts w:ascii="Calibri" w:hAnsi="Calibri"/>
          <w:b/>
          <w:i w:val="0"/>
          <w:color w:val="5A5A5A"/>
          <w:sz w:val="22"/>
        </w:rPr>
        <w:t>PROCEDIMENTO OPERACIONAL PADRONIZADO</w:t>
      </w:r>
    </w:p>
    <w:p>
      <w:pPr>
        <w:spacing w:before="40" w:after="0"/>
      </w:pPr>
      <w:r>
        <w:rPr>
          <w:rFonts w:ascii="Calibri" w:hAnsi="Calibri"/>
          <w:b/>
          <w:i w:val="0"/>
          <w:color w:val="12355B"/>
          <w:sz w:val="40"/>
        </w:rPr>
        <w:t>RASTREABILIDADE DE LOTES</w:t>
      </w:r>
    </w:p>
    <w:p>
      <w:pPr>
        <w:spacing w:before="20" w:after="240"/>
      </w:pPr>
      <w:r>
        <w:rPr>
          <w:rFonts w:ascii="Calibri" w:hAnsi="Calibri"/>
          <w:b w:val="0"/>
          <w:i/>
          <w:color w:val="5A5A5A"/>
          <w:sz w:val="21"/>
        </w:rPr>
        <w:t>Vínculo lote a lote entre matéria-prima, produção, produto acabado e distribuição (forward e backward)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Empresa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Lemoncaps Indústria e Comércio Ltda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CNPJ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55.836.075/0001-07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Nome do documento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Rastreabilidade de Lotes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Código do documento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POP-QUA-RAS-001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Revisão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00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 de emissão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22/07/2026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 de revisão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____/____/________  (revisar em até 24 meses)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Base legal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RDC ANVISA nº 655/2022; RDC nº 275/2002; RDC nº 243/2018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Situação do documento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VIGENTE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Classificação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Documento Controlado — Uso Interno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 pela elaboração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________________________  (Garantia da Qualidade)</w:t>
            </w:r>
          </w:p>
        </w:tc>
      </w:tr>
      <w:tr>
        <w:tc>
          <w:tcPr>
            <w:tcW w:type="dxa" w:w="283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 pela aprovação</w:t>
            </w:r>
          </w:p>
        </w:tc>
        <w:tc>
          <w:tcPr>
            <w:tcW w:type="dxa" w:w="6520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________________________  (Responsável Técnico)</w:t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1. CONTROLE DE REVISÕES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Rev.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</w:t>
            </w:r>
          </w:p>
        </w:tc>
        <w:tc>
          <w:tcPr>
            <w:tcW w:type="dxa" w:w="5386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Descrição da alteração</w:t>
            </w:r>
          </w:p>
        </w:tc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</w:t>
            </w:r>
          </w:p>
        </w:tc>
      </w:tr>
      <w:tr>
        <w:tc>
          <w:tcPr>
            <w:tcW w:type="dxa" w:w="90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00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22/07/2026</w:t>
            </w:r>
          </w:p>
        </w:tc>
        <w:tc>
          <w:tcPr>
            <w:tcW w:type="dxa" w:w="5386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Emissão inicial do procedimento.</w:t>
            </w:r>
          </w:p>
        </w:tc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GQ / RT</w:t>
            </w:r>
          </w:p>
        </w:tc>
      </w:tr>
      <w:tr>
        <w:tc>
          <w:tcPr>
            <w:tcW w:type="dxa" w:w="90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01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5386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90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02</w:t>
            </w:r>
          </w:p>
        </w:tc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5386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2. OBJETIVO</w:t>
      </w:r>
    </w:p>
    <w:p>
      <w:pPr>
        <w:spacing w:before="40" w:after="120"/>
      </w:pPr>
      <w:r>
        <w:rPr>
          <w:rFonts w:ascii="Calibri" w:hAnsi="Calibri"/>
          <w:b w:val="0"/>
          <w:i w:val="0"/>
          <w:sz w:val="21"/>
        </w:rPr>
        <w:t>Estabelecer a sistemática de rastreabilidade que permita, a qualquer momento, reconstruir o histórico completo de um lote de produto — do fornecedor da matéria-prima até o cliente de destino — nos sentidos progressivo (forward) e regressivo (backward).</w:t>
      </w:r>
    </w:p>
    <w:p>
      <w:pPr>
        <w:spacing w:before="40" w:after="120"/>
      </w:pPr>
      <w:r>
        <w:rPr>
          <w:rFonts w:ascii="Calibri" w:hAnsi="Calibri"/>
          <w:b w:val="0"/>
          <w:i w:val="0"/>
          <w:sz w:val="21"/>
        </w:rPr>
        <w:t>Assegurar que, diante de um desvio, reclamação ou risco à saúde, a empresa consiga localizar e bloquear os lotes envolvidos em tempo hábil, viabilizando o recolhimento (recall) conforme a RDC 655/2022.</w:t>
      </w:r>
    </w:p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3. CAMPO DE APLICAÇÃO</w:t>
      </w:r>
    </w:p>
    <w:p>
      <w:pPr>
        <w:spacing w:before="40" w:after="120"/>
      </w:pPr>
      <w:r>
        <w:rPr>
          <w:rFonts w:ascii="Calibri" w:hAnsi="Calibri"/>
          <w:b w:val="0"/>
          <w:i w:val="0"/>
          <w:sz w:val="21"/>
        </w:rPr>
        <w:t>Aplica-se a todos os lotes fabricados pela Lemoncaps (cápsulas, gummies, solúveis e líquidos) e a toda a cadeia: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Matérias-primas, insumos e materiais de embalagem (lote do fornecedor e CoA);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Produção (ordem de produção, lote interno, controles em processo);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Produto acabado (lote, data de fabricação e validade);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Distribuição e expedição (cliente, nota fiscal e quantidade por lote).</w:t>
      </w:r>
    </w:p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4. RESPONSABILIDADES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Função</w:t>
            </w:r>
          </w:p>
        </w:tc>
        <w:tc>
          <w:tcPr>
            <w:tcW w:type="dxa" w:w="680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Responsabilidades</w:t>
            </w:r>
          </w:p>
        </w:tc>
      </w:tr>
      <w:tr>
        <w:tc>
          <w:tcPr>
            <w:tcW w:type="dxa" w:w="255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Garantia da Qualidade (GQ)</w:t>
            </w:r>
          </w:p>
        </w:tc>
        <w:tc>
          <w:tcPr>
            <w:tcW w:type="dxa" w:w="680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Definir e manter o sistema de rastreabilidade; conduzir os testes de rastreabilidade (simulados); arquivar os registros.</w:t>
            </w:r>
          </w:p>
        </w:tc>
      </w:tr>
      <w:tr>
        <w:tc>
          <w:tcPr>
            <w:tcW w:type="dxa" w:w="255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Almoxarifado / Recebimento</w:t>
            </w:r>
          </w:p>
        </w:tc>
        <w:tc>
          <w:tcPr>
            <w:tcW w:type="dxa" w:w="680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Registrar o lote do fornecedor e o CoA de cada MP/embalagem no recebimento e vincular ao endereço de estoque.</w:t>
            </w:r>
          </w:p>
        </w:tc>
      </w:tr>
      <w:tr>
        <w:tc>
          <w:tcPr>
            <w:tcW w:type="dxa" w:w="255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Produção</w:t>
            </w:r>
          </w:p>
        </w:tc>
        <w:tc>
          <w:tcPr>
            <w:tcW w:type="dxa" w:w="680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Registrar na ordem de produção os lotes de MP consumidos e o lote interno gerado; garantir a codificação do lote no produto.</w:t>
            </w:r>
          </w:p>
        </w:tc>
      </w:tr>
      <w:tr>
        <w:tc>
          <w:tcPr>
            <w:tcW w:type="dxa" w:w="255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Controle de Qualidade (CQ)</w:t>
            </w:r>
          </w:p>
        </w:tc>
        <w:tc>
          <w:tcPr>
            <w:tcW w:type="dxa" w:w="680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Vincular amostras e resultados analíticos ao lote; registrar a liberação/reprovação.</w:t>
            </w:r>
          </w:p>
        </w:tc>
      </w:tr>
      <w:tr>
        <w:tc>
          <w:tcPr>
            <w:tcW w:type="dxa" w:w="255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Expedição / Comercial</w:t>
            </w:r>
          </w:p>
        </w:tc>
        <w:tc>
          <w:tcPr>
            <w:tcW w:type="dxa" w:w="680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Registrar o destino (cliente/NF) de cada lote expedido.</w:t>
            </w:r>
          </w:p>
        </w:tc>
      </w:tr>
      <w:tr>
        <w:tc>
          <w:tcPr>
            <w:tcW w:type="dxa" w:w="255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Responsável Técnico (RT)</w:t>
            </w:r>
          </w:p>
        </w:tc>
        <w:tc>
          <w:tcPr>
            <w:tcW w:type="dxa" w:w="680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Assegurar a integridade da rastreabilidade e acionar o recolhimento quando necessário.</w:t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5. DEFINIÇÕES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Termo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Definição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Rastreabilidade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Capacidade de recuperar o histórico, a aplicação e a localização de um produto por meio de identificações registradas.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Rastreabilidade forward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Do insumo/lote em direção ao destino final (para onde foi o lote).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Rastreabilidade backward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Do produto acabado em direção à origem (de quais insumos veio).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Lote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Quantidade definida de produto fabricada em um ciclo, com características homogêneas e identificação única.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Codificação de lote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Código que identifica o lote de forma única, legível e indelével no produto.</w:t>
            </w:r>
          </w:p>
        </w:tc>
      </w:tr>
      <w:tr>
        <w:tc>
          <w:tcPr>
            <w:tcW w:type="dxa" w:w="226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Balanço de massa</w:t>
            </w:r>
          </w:p>
        </w:tc>
        <w:tc>
          <w:tcPr>
            <w:tcW w:type="dxa" w:w="70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Reconciliação entre quantidade teórica e real, usada para confirmar a integridade do lote.</w:t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6. BASE LEGAL E NORMATIVA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72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Norma / Referência</w:t>
            </w:r>
          </w:p>
        </w:tc>
        <w:tc>
          <w:tcPr>
            <w:tcW w:type="dxa" w:w="663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Aplicação a este procedimento</w:t>
            </w:r>
          </w:p>
        </w:tc>
      </w:tr>
      <w:tr>
        <w:tc>
          <w:tcPr>
            <w:tcW w:type="dxa" w:w="272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RDC ANVISA nº 655/2022</w:t>
            </w:r>
          </w:p>
        </w:tc>
        <w:tc>
          <w:tcPr>
            <w:tcW w:type="dxa" w:w="663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Dispõe sobre recolhimento e exige rastreabilidade que viabilize a localização e o bloqueio de lotes.</w:t>
            </w:r>
          </w:p>
        </w:tc>
      </w:tr>
      <w:tr>
        <w:tc>
          <w:tcPr>
            <w:tcW w:type="dxa" w:w="272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RDC ANVISA nº 275/2002</w:t>
            </w:r>
          </w:p>
        </w:tc>
        <w:tc>
          <w:tcPr>
            <w:tcW w:type="dxa" w:w="663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BPF: exige registros que assegurem a rastreabilidade da produção.</w:t>
            </w:r>
          </w:p>
        </w:tc>
      </w:tr>
      <w:tr>
        <w:tc>
          <w:tcPr>
            <w:tcW w:type="dxa" w:w="272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RDC ANVISA nº 243/2018</w:t>
            </w:r>
          </w:p>
        </w:tc>
        <w:tc>
          <w:tcPr>
            <w:tcW w:type="dxa" w:w="663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Requisitos de BPF para suplementos, incluindo controle e registro por lote.</w:t>
            </w:r>
          </w:p>
        </w:tc>
      </w:tr>
      <w:tr>
        <w:tc>
          <w:tcPr>
            <w:tcW w:type="dxa" w:w="272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IN ANVISA nº 28/2018</w:t>
            </w:r>
          </w:p>
        </w:tc>
        <w:tc>
          <w:tcPr>
            <w:tcW w:type="dxa" w:w="663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Requisitos complementares de composição e identificação.</w:t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7. PROCEDIMENTO</w:t>
      </w:r>
    </w:p>
    <w:p>
      <w:pPr>
        <w:spacing w:before="40" w:after="120"/>
      </w:pPr>
      <w:r>
        <w:rPr>
          <w:rFonts w:ascii="Calibri" w:hAnsi="Calibri"/>
          <w:b w:val="0"/>
          <w:i w:val="0"/>
          <w:sz w:val="21"/>
        </w:rPr>
        <w:t>A rastreabilidade é construída registrando-se, em cada etapa, o vínculo entre os lotes, de modo que a cadeia possa ser percorrida nos dois sentidos.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ETAPA 1 — Rastreabilidade no recebimento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O que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Registrar o lote do fornecedor, a quantidade e o número do CoA de cada MP e embalagem recebida.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Como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Lançar no registro de recebimento (FOR-RAS-01) e identificar fisicamente o material com o status e o lote interno de estoque.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Cuidado crítico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MP sem identificação de lote/CoA não pode entrar em produção — quebra a rastreabilidade.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Registro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FOR-RAS-01 — Recebimento e vínculo de lote de MP.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ETAPA 2 — Rastreabilidade na produção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O que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Vincular, na ordem de produção, todos os lotes de MP/embalagem consumidos ao lote interno gerado.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Como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Registrar na OP os lotes consumidos, quantidades, equipamentos e operadores; aplicar a codificação de lote no produto.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Cuidado crítico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Um lote de produto deve permitir identificar exatamente quais lotes de MP o compõem.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Registro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Ordem de Produção; FOR-RAS-02 — Vínculo de lotes na produção.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F5C99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ETAPA 3 — Rastreabilidade na expedição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O que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Registrar o destino de cada lote de produto acabado (cliente, NF, quantidade, data).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Como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Vincular o lote expedido à nota fiscal e ao cliente no FOR-RAS-03.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Cuidado crítico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Sem registro de destino por lote, o recall é inviável.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Registro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FOR-RAS-03 — Expedição e destino por lote.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972"/>
            <w:gridSpan w:val="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B3261E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ETAPA 4 — Teste de rastreabilidade (simulado)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O que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Comprovar periodicamente a capacidade de rastrear um lote nos dois sentidos, em tempo hábil.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Como fazer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Selecionar 1 lote de produto acabado e reconstruir toda a cadeia (backward até MP; forward até cliente) em até 4 horas.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Cuidado crítico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O tempo-alvo (≤ 4 h) é indicador de eficácia do recall; falha exige ação corretiva.</w:t>
            </w:r>
          </w:p>
        </w:tc>
      </w:tr>
      <w:tr>
        <w:tc>
          <w:tcPr>
            <w:tcW w:type="dxa" w:w="238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12355B"/>
                <w:sz w:val="19"/>
              </w:rPr>
              <w:t>Registro</w:t>
            </w:r>
          </w:p>
        </w:tc>
        <w:tc>
          <w:tcPr>
            <w:tcW w:type="dxa" w:w="6973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FOR-RAS-04 — Relatório de teste de rastreabilidade.</w:t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8. FREQUÊNCIAS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Atividade</w:t>
            </w:r>
          </w:p>
        </w:tc>
        <w:tc>
          <w:tcPr>
            <w:tcW w:type="dxa" w:w="510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Periodicidade</w:t>
            </w:r>
          </w:p>
        </w:tc>
      </w:tr>
      <w:tr>
        <w:tc>
          <w:tcPr>
            <w:tcW w:type="dxa" w:w="425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Registro de rastreabilidade</w:t>
            </w:r>
          </w:p>
        </w:tc>
        <w:tc>
          <w:tcPr>
            <w:tcW w:type="dxa" w:w="510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 cada recebimento, produção e expedição (contínuo).</w:t>
            </w:r>
          </w:p>
        </w:tc>
      </w:tr>
      <w:tr>
        <w:tc>
          <w:tcPr>
            <w:tcW w:type="dxa" w:w="425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Teste de rastreabilidade (simulado)</w:t>
            </w:r>
          </w:p>
        </w:tc>
        <w:tc>
          <w:tcPr>
            <w:tcW w:type="dxa" w:w="510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No mínimo semestral e sempre junto ao simulado de recall.</w:t>
            </w:r>
          </w:p>
        </w:tc>
      </w:tr>
      <w:tr>
        <w:tc>
          <w:tcPr>
            <w:tcW w:type="dxa" w:w="425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Revisão do sistema de rastreabilidade</w:t>
            </w:r>
          </w:p>
        </w:tc>
        <w:tc>
          <w:tcPr>
            <w:tcW w:type="dxa" w:w="5102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Anual ou após mudança de processo/sistema.</w:t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9. CRITÉRIOS DE ACEITAÇÃO E PONTOS CRÍTICOS DE CONTROLE (PCC)</w:t>
      </w:r>
    </w:p>
    <w:p>
      <w:pPr>
        <w:spacing w:before="40" w:after="120"/>
      </w:pPr>
      <w:r>
        <w:rPr>
          <w:rFonts w:ascii="Calibri" w:hAnsi="Calibri"/>
          <w:b w:val="0"/>
          <w:i w:val="0"/>
          <w:sz w:val="21"/>
        </w:rPr>
        <w:t>Para ser CONFORME (seção 13 do roteiro), a rastreabilidade deve atender: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B3261E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Critério de aceitação (PCC)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B3261E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Situação esperada</w:t>
            </w:r>
          </w:p>
        </w:tc>
      </w:tr>
      <w:t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Identificação de lote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Lote único, legível e registrado em todo produto.</w:t>
            </w:r>
          </w:p>
        </w:tc>
      </w:tr>
      <w:t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Vínculo backward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Possível identificar todos os lotes de MP de um lote de produto.</w:t>
            </w:r>
          </w:p>
        </w:tc>
      </w:tr>
      <w:t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Vínculo forward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Possível identificar todos os destinos (clientes/NF) de um lote.</w:t>
            </w:r>
          </w:p>
        </w:tc>
      </w:tr>
      <w:t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Tempo de resposta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Rastreio completo concluído em tempo hábil (meta ≤ 4 h).</w:t>
            </w:r>
          </w:p>
        </w:tc>
      </w:tr>
      <w:tr>
        <w:tc>
          <w:tcPr>
            <w:tcW w:type="dxa" w:w="368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Integridade dos registros</w:t>
            </w:r>
          </w:p>
        </w:tc>
        <w:tc>
          <w:tcPr>
            <w:tcW w:type="dxa" w:w="5669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Registros completos, legíveis e arquivados.</w:t>
            </w:r>
          </w:p>
        </w:tc>
      </w:tr>
    </w:tbl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10. AÇÕES CORRETIVAS E CLASSIFICAÇÃO DE NÃO CONFORMIDADES</w:t>
      </w:r>
    </w:p>
    <w:p>
      <w:pPr>
        <w:spacing w:before="40" w:after="120"/>
      </w:pPr>
      <w:r>
        <w:rPr>
          <w:rFonts w:ascii="Calibri" w:hAnsi="Calibri"/>
          <w:b w:val="0"/>
          <w:i w:val="0"/>
          <w:sz w:val="21"/>
        </w:rPr>
        <w:t>Classificação conforme o roteiro de inspeção (seção 13) e ações correspondentes: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Classificação</w:t>
            </w:r>
          </w:p>
        </w:tc>
        <w:tc>
          <w:tcPr>
            <w:tcW w:type="dxa" w:w="362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Situação</w:t>
            </w:r>
          </w:p>
        </w:tc>
        <w:tc>
          <w:tcPr>
            <w:tcW w:type="dxa" w:w="334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Ação corretiva</w:t>
            </w:r>
          </w:p>
        </w:tc>
        <w:tc>
          <w:tcPr>
            <w:tcW w:type="dxa" w:w="113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Prazo</w:t>
            </w:r>
          </w:p>
        </w:tc>
      </w:tr>
      <w:tr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NC CRÍTICA</w:t>
            </w:r>
          </w:p>
        </w:tc>
        <w:tc>
          <w:tcPr>
            <w:tcW w:type="dxa" w:w="362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Incapacidade de rastrear o lote (rastreabilidade quebrada).</w:t>
            </w:r>
          </w:p>
        </w:tc>
        <w:tc>
          <w:tcPr>
            <w:tcW w:type="dxa" w:w="334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Reconstituir imediatamente os vínculos; bloquear lotes sem rastreio; corrigir o sistema.</w:t>
            </w:r>
          </w:p>
        </w:tc>
        <w:tc>
          <w:tcPr>
            <w:tcW w:type="dxa" w:w="113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Imediato / 30 dias</w:t>
            </w:r>
          </w:p>
        </w:tc>
      </w:tr>
      <w:tr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NC MAIOR</w:t>
            </w:r>
          </w:p>
        </w:tc>
        <w:tc>
          <w:tcPr>
            <w:tcW w:type="dxa" w:w="362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Rastreio incompleto ou lento (não conclui em tempo hábil).</w:t>
            </w:r>
          </w:p>
        </w:tc>
        <w:tc>
          <w:tcPr>
            <w:tcW w:type="dxa" w:w="334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Completar os registros faltantes; revisar o fluxo; repetir o simulado.</w:t>
            </w:r>
          </w:p>
        </w:tc>
        <w:tc>
          <w:tcPr>
            <w:tcW w:type="dxa" w:w="113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30 dias</w:t>
            </w:r>
          </w:p>
        </w:tc>
      </w:tr>
      <w:tr>
        <w:tc>
          <w:tcPr>
            <w:tcW w:type="dxa" w:w="147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NC MENOR</w:t>
            </w:r>
          </w:p>
        </w:tc>
        <w:tc>
          <w:tcPr>
            <w:tcW w:type="dxa" w:w="3628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Simulado desatualizado ou registro pontual incompleto.</w:t>
            </w:r>
          </w:p>
        </w:tc>
        <w:tc>
          <w:tcPr>
            <w:tcW w:type="dxa" w:w="3345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Atualizar o simulado; corrigir os registros.</w:t>
            </w:r>
          </w:p>
        </w:tc>
        <w:tc>
          <w:tcPr>
            <w:tcW w:type="dxa" w:w="1134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30 dias</w:t>
            </w:r>
          </w:p>
        </w:tc>
      </w:tr>
    </w:tbl>
    <w:p>
      <w:pPr>
        <w:spacing w:before="40" w:after="120"/>
      </w:pPr>
      <w:r>
        <w:rPr>
          <w:rFonts w:ascii="Calibri" w:hAnsi="Calibri"/>
          <w:b w:val="0"/>
          <w:i/>
          <w:sz w:val="20"/>
        </w:rPr>
        <w:t>A rastreabilidade é pré-requisito do recolhimento (POP-QUA-REC-001) e integra a Lista Mestra de Registros (FOR-DOC-02).</w:t>
      </w:r>
    </w:p>
    <w:p>
      <w:pPr>
        <w:spacing w:before="280" w:after="80"/>
        <w:pBdr>
          <w:bottom w:val="single" w:sz="6" w:space="2" w:color="12355B"/>
        </w:pBdr>
      </w:pPr>
      <w:r>
        <w:rPr>
          <w:rFonts w:ascii="Calibri" w:hAnsi="Calibri"/>
          <w:b/>
          <w:color w:val="12355B"/>
          <w:sz w:val="26"/>
        </w:rPr>
        <w:t>11. REGISTROS E FORMULÁRIOS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Código</w:t>
            </w:r>
          </w:p>
        </w:tc>
        <w:tc>
          <w:tcPr>
            <w:tcW w:type="dxa" w:w="6066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Formulário / Registro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12355B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Retenção</w:t>
            </w:r>
          </w:p>
        </w:tc>
      </w:tr>
      <w:tr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FOR-RAS-01</w:t>
            </w:r>
          </w:p>
        </w:tc>
        <w:tc>
          <w:tcPr>
            <w:tcW w:type="dxa" w:w="6066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Recebimento e Vínculo de Lote de Matéria-Prima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5 anos</w:t>
            </w:r>
          </w:p>
        </w:tc>
      </w:tr>
      <w:tr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FOR-RAS-02</w:t>
            </w:r>
          </w:p>
        </w:tc>
        <w:tc>
          <w:tcPr>
            <w:tcW w:type="dxa" w:w="6066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Vínculo de Lotes na Produção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5 anos</w:t>
            </w:r>
          </w:p>
        </w:tc>
      </w:tr>
      <w:tr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FOR-RAS-03</w:t>
            </w:r>
          </w:p>
        </w:tc>
        <w:tc>
          <w:tcPr>
            <w:tcW w:type="dxa" w:w="6066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Expedição e Destino por Lote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5 anos</w:t>
            </w:r>
          </w:p>
        </w:tc>
      </w:tr>
      <w:tr>
        <w:tc>
          <w:tcPr>
            <w:tcW w:type="dxa" w:w="1587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FOR-RAS-04</w:t>
            </w:r>
          </w:p>
        </w:tc>
        <w:tc>
          <w:tcPr>
            <w:tcW w:type="dxa" w:w="6066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Relatório de Teste de Rastreabilidade (simulado)</w:t>
            </w:r>
          </w:p>
        </w:tc>
        <w:tc>
          <w:tcPr>
            <w:tcW w:type="dxa" w:w="1701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shd w:val="clear" w:fill="EEF4FA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5 anos</w:t>
            </w:r>
          </w:p>
        </w:tc>
      </w:tr>
    </w:tbl>
    <w:p>
      <w:pPr>
        <w:spacing w:before="40" w:after="120"/>
      </w:pPr>
    </w:p>
    <w:p>
      <w:pPr>
        <w:spacing w:before="320" w:after="120"/>
        <w:jc w:val="center"/>
      </w:pPr>
      <w:r>
        <w:rPr>
          <w:rFonts w:ascii="Calibri" w:hAnsi="Calibri"/>
          <w:b w:val="0"/>
          <w:i w:val="0"/>
          <w:sz w:val="21"/>
        </w:rPr>
        <w:t>_________________________________________          _________________________________________</w:t>
      </w:r>
    </w:p>
    <w:p>
      <w:pPr>
        <w:spacing w:before="0" w:after="120"/>
        <w:jc w:val="center"/>
      </w:pPr>
      <w:r>
        <w:rPr>
          <w:rFonts w:ascii="Calibri" w:hAnsi="Calibri"/>
          <w:b w:val="0"/>
          <w:i w:val="0"/>
          <w:color w:val="5A5A5A"/>
          <w:sz w:val="19"/>
        </w:rPr>
        <w:t>Garantia da Qualidade (Elaboração)                              Responsável Técnico (Aprovação)</w:t>
      </w:r>
    </w:p>
    <w:p>
      <w:pPr>
        <w:spacing w:before="40" w:after="120"/>
        <w:jc w:val="center"/>
      </w:pPr>
      <w:r>
        <w:rPr>
          <w:rFonts w:ascii="Calibri" w:hAnsi="Calibri"/>
          <w:b w:val="0"/>
          <w:i w:val="0"/>
          <w:color w:val="5A5A5A"/>
          <w:sz w:val="19"/>
        </w:rPr>
        <w:t>Data: 22/07/2026                                                     Data: 22/07/2026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