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MATRIZ DE AVALIAÇÃO DO CONTROLE DE QUALIDADE</w:t>
      </w:r>
    </w:p>
    <w:p>
      <w:pPr>
        <w:spacing w:before="20" w:after="120"/>
      </w:pPr>
      <w:r>
        <w:rPr>
          <w:rFonts w:ascii="Calibri" w:hAnsi="Calibri"/>
          <w:b w:val="0"/>
          <w:i/>
          <w:color w:val="5A5A5A"/>
          <w:sz w:val="19"/>
        </w:rPr>
        <w:t>Avaliação das análises, liberação e tratamento de qualidade — Seção 9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 / CNPJ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  ·  55.836.075/0001-07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Matriz de Avaliação do Controle de Qualidade  ·  Código MAT-CQ-001  ·  Rev. 00  ·  22/07/2026  ·  VIGENTE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legal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RDC ANVISA nº 275/2002; RDC nº 243/2018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Documentos operacionais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POP-QUA-CQ-001, POP-QUA-AMO-001, POP-QUA-LPA-001, POP-QUA-OOS-001, POP-QUA-DSV-001, POP-QUA-RCL-001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Evidências exigidas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Criticidade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 / evidência Lemoncaps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 (campo)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Especificações de produto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Especificação aprovada por produto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ESP-PA-001 + POP-QUA-FORM-001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Plano de amostragem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Plano definido e aplicado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POP-QUA-AMO-001 + PLA-AMO-001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Liberação de lotes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 de liberação pelo RT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POP-QUA-LPA-001 + FOR-LPA-01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4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em processo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de controle durante a produção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POPs de produção (IPC) + FOR-CQ-11..14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5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Controle final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Análises/conferências do produto acabado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POP-QUA-CQ-001 + laudos do acabado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6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Gestão de desvios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com causa-raiz e ação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POP-QUA-DSV-001 + POP-QUA-CAPA-001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7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Gestão de OOS (fora de especificação)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Procedimento e registros de OOS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POP-QUA-OOS-001 + FOR-OOS-01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8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Gestão de reclamações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Registros e tratativas de reclamações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POP-QUA-RCL-001 + FOR-RCL-01/02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/>
          <w:i w:val="0"/>
          <w:sz w:val="17"/>
        </w:rPr>
        <w:t>Resumo da Seção 9: o Controle de Qualidade cobre especificações, amostragem, controle em processo e final, liberação, desvios, OOS e reclamações — todo documentado. As evidências são REGISTROS: laudos de análise, registros de IPC, liberações assinadas pelo RT e investigações de OOS/desvios.</w:t>
      </w:r>
    </w:p>
    <w:p>
      <w:pPr>
        <w:spacing w:before="40" w:after="120"/>
      </w:pPr>
      <w:r>
        <w:rPr>
          <w:rFonts w:ascii="Calibri" w:hAnsi="Calibri"/>
          <w:b w:val="0"/>
          <w:i/>
          <w:color w:val="B3261E"/>
          <w:sz w:val="17"/>
        </w:rPr>
        <w:t>⚠ Itens CRÍTICOS: liberação de lotes pelo RT (item 3) e gestão de OOS (item 7). Liberar lote sem análise/decisão do RT, ou ignorar um resultado fora de especificação, é NC Crítica.</w:t>
      </w:r>
    </w:p>
    <w:p>
      <w:pPr>
        <w:spacing w:before="40" w:after="120"/>
      </w:pPr>
    </w:p>
    <w:p>
      <w:pPr>
        <w:spacing w:before="16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