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44"/>
        </w:rPr>
        <w:t>LEMONCAPS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F5C99"/>
          <w:sz w:val="19"/>
        </w:rPr>
        <w:t>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29"/>
        </w:rPr>
        <w:t>MATRIZ DE AVALIAÇÃO DE MATÉRIAS-PRIMAS E EMBALAGENS</w:t>
      </w:r>
    </w:p>
    <w:p>
      <w:pPr>
        <w:spacing w:before="20" w:after="120"/>
      </w:pPr>
      <w:r>
        <w:rPr>
          <w:rFonts w:ascii="Calibri" w:hAnsi="Calibri"/>
          <w:b w:val="0"/>
          <w:i/>
          <w:color w:val="5A5A5A"/>
          <w:sz w:val="19"/>
        </w:rPr>
        <w:t>Avaliação do controle de insumos, do fornecedor à liberação — Seção 8 do roteiro de inspeção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Empresa / CNPJ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Lemoncaps Indústria e Comércio Ltda  ·  55.836.075/0001-07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Matriz de Avaliação de MP e Embalagens  ·  Código MAT-MP-001  ·  Rev. 00  ·  22/07/2026  ·  VIGENTE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Base legal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RDC ANVISA nº 275/2002; RDC nº 243/2018; IN nº 28/2018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Documentos operacionais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POP-QUA-QFOR-001, POP-ALM-REC-001, POP-QUA-LMP-001, ESP-MP-001, ESP-EMB-001, POP-ALM-ARM-001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Evidências exigidas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Criticidade</w:t>
            </w:r>
          </w:p>
        </w:tc>
        <w:tc>
          <w:tcPr>
            <w:tcW w:type="dxa" w:w="385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 / evidência Lemoncaps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 (campo)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Homologação de fornecedores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Cadastro + critérios de homologação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85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POP-QUA-QFOR-001 + CAD-FORN-001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Qualificação de fornecedores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Avaliação documental/auditoria do fornecedor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85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POP-QUA-QFOR-001 (avaliação/requalificação)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3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Especificações técnicas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Especificação por MP/embalagem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85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ESP-MP-001 + ESP-EMB-001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4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Certificados de análise (CoA)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CoA por lote de MP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85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POP-ALM-REC-001 (conferência do CoA) + arquivo de CoA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5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Controle de recebimento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Ficha de recebimento + conferência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85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POP-ALM-REC-001 + FOR-REC-01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6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Sistema FEFO/FIFO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Identificação por validade + rotina FEFO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85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POP-ALM-ARM-001 (FEFO) + FOR-EST-003/004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7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Rastreabilidade por lote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Vínculo lote MP → lote produto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85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POP-QUA-RAS-001 + FOR-RAS-01/02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8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Quarentena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Área/identificação de quarentena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85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POP-ALM-ARM-001 (quarentena) + etiqueta de status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9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Aprovação ou reprovação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 de decisão pelo CQ/RT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85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POP-QUA-LMP-001 + FOR-LMP-01 (liberação)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</w:tbl>
    <w:p>
      <w:pPr>
        <w:spacing w:before="40" w:after="120"/>
      </w:pPr>
    </w:p>
    <w:p>
      <w:pPr>
        <w:spacing w:before="40" w:after="120"/>
      </w:pPr>
      <w:r>
        <w:rPr>
          <w:rFonts w:ascii="Calibri" w:hAnsi="Calibri"/>
          <w:b/>
          <w:i w:val="0"/>
          <w:sz w:val="17"/>
        </w:rPr>
        <w:t>Resumo da Seção 8: o controle de insumos vai da qualificação do fornecedor à liberação, todo documentado (POP-QUA-QFOR-001, POP-ALM-REC-001, POP-QUA-LMP-001, especificações e armazenamento). As evidências são REGISTROS: cadastro de fornecedores, CoA por lote, fichas de recebimento e etiquetas de status.</w:t>
      </w:r>
    </w:p>
    <w:p>
      <w:pPr>
        <w:spacing w:before="40" w:after="120"/>
      </w:pPr>
      <w:r>
        <w:rPr>
          <w:rFonts w:ascii="Calibri" w:hAnsi="Calibri"/>
          <w:b w:val="0"/>
          <w:i/>
          <w:color w:val="B3261E"/>
          <w:sz w:val="17"/>
        </w:rPr>
        <w:t>⚠ Itens CRÍTICOS (verificados primeiro): CoA por lote de MP (item 4) e rastreabilidade lote MP → produto (item 7). MP sem CoA/laudo ou sem rastreio é NC Crítica.</w:t>
      </w:r>
    </w:p>
    <w:p>
      <w:pPr>
        <w:spacing w:before="40" w:after="120"/>
      </w:pPr>
    </w:p>
    <w:p>
      <w:pPr>
        <w:spacing w:before="160" w:after="120"/>
        <w:jc w:val="center"/>
      </w:pPr>
      <w:r>
        <w:rPr>
          <w:rFonts w:ascii="Calibri" w:hAnsi="Calibri"/>
          <w:b w:val="0"/>
          <w:i w:val="0"/>
          <w:sz w:val="20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Data: ____/____/________                                              Data: ____/____/________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