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DIZERES TÉCNICOS DE RÓTULO</w:t>
      </w:r>
    </w:p>
    <w:p>
      <w:pPr>
        <w:spacing w:after="20"/>
        <w:jc w:val="center"/>
      </w:pPr>
      <w:r>
        <w:rPr>
          <w:b/>
          <w:color w:val="1F3864"/>
          <w:sz w:val="22"/>
        </w:rPr>
        <w:t>SUPLEMENTO ALIMENTAR DE VITAMINAS C E E, ZINCO E SELÊNIO — 60 CÁPSULAS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2268"/>
        <w:gridCol w:w="7144"/>
      </w:tblGrid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FT-ROT-ANTIOX-001 — Revisão 00 — 13/08/2026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Marca / produto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 DEFINIR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Porção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2 cápsulas ao dia — 30 porções por embalagem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Base legal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RDC nº 243/2018 · IN nº 28/2018 e atualizações · RDC nº 429/2020 · IN nº 75/2020 · RDC nº 727/2022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 Técnico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 DENOMINAÇÃO DE VENDA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/>
                <w:sz w:val="21"/>
              </w:rPr>
              <w:t>SUPLEMENTO ALIMENTAR DE VITAMINAS C E E, ZINCO E SELÊNIO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 COMPOSIÇÃO — FÓRMULA QUANTITATIVA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3742"/>
        <w:gridCol w:w="2268"/>
        <w:gridCol w:w="1701"/>
        <w:gridCol w:w="1701"/>
      </w:tblGrid>
      <w:tr>
        <w:trPr>
          <w:tblHeader w:val="true"/>
          <w:cantSplit/>
        </w:trPr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Ativo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Por dose (2 cápsulas)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Por cápsula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%VD*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Vitamina C (ácido ascórbico)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200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100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200%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Vitamina E (acetato de tocoferol)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80%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Zinco (bisglicinato de zinco)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7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3,5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64%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Selênio (selenometionina)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34 mcg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17 mcg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57%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Cápsula nº 00 com 500,00 mg de pó — 1.000,00 mg por dose. Excipiente: dióxido de silício q.s.p. (364,46 mg por cápsula).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 INFORMAÇÃO NUTRICIONAL — FORMATO LINEAR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/>
                <w:sz w:val="21"/>
              </w:rPr>
              <w:t>INFORMAÇÃO NUTRICIONAL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Porções por embalagem: 30 — Porção: 1 g (2 cápsulas)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Quantidade por porção (%VD*): Valor energético 0 kcal = 0 kJ (0%); Carboidratos totais 0 g (0%); Açúcares totais 0 g; Açúcares adicionados 0 g (0%); Proteínas 0 g (0%); Gorduras totais 0 g (0%); Gorduras saturadas 0 g (0%); Gorduras trans 0 g; Fibra alimentar 0 g (0%); Sódio 0 mg (0%); Vitamina C 200 mg (200%); Vitamina E 12 mg (80%); Zinco 7 mg (64%); Selênio 34 mcg (57%).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*Percentual de valores diários fornecidos pela porção, com base nos VDR do Anexo II da IN nº 75/2020.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 INGREDIENTES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Ingredientes: Antiumectante dióxido de silício (INS 551), vitamina C (ácido ascórbico), bisglicinato de zinco, vitamina E (acetato de dl-alfa-tocoferila), L-selenometionina e cápsula: gelatina, água purificada e corante dióxido de titânio (INS 171).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NÃO CONTÉM GLÚTEN.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 MODO DE USO E APRESENTAÇÃO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Modo de uso: Ingerir 2 cápsulas ao dia, preferencialmente junto a uma refeição, com água, ou conforme orientação de profissional de saúde.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Peso líquido: 30 g — Contém 60 cápsulas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Sem sabor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 ADVERTÊNCIAS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Este produto não é um medicamento.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Não exceder a recomendação diária de consumo indicada na embalagem.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Mantenha fora do alcance de crianças.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Público indicado: adultos com 19 anos ou mais.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Conservar em local seco, fresco e arejado, ao abrigo da luz e do calor excessivo, em temperatura ambiente entre 15 °C e 30 °C.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Após aberto, consumir em até 60 dias.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Não consumir se o lacre de segurança estiver violado.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 ALEGAÇÕES AUTORIZADAS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A vitamina C é um antioxidante que auxilia na proteção dos danos causados pelos radicais livres.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E é um antioxidante que auxilia na proteção dos danos causados pelos radicais livres.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O zinco é um antioxidante que auxilia na proteção dos danos causados pelos radicais livres.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O selênio é um antioxidante que auxilia na proteção dos danos causados pelos radicais livres.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C auxilia no funcionamento do sistema imune.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O zinco auxilia no funcionamento do sistema imune.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O selênio auxilia no funcionamento do sistema imune.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C auxilia na formação do colágeno.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C auxilia na absorção de ferro dos alimentos.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C auxilia na regeneração da forma reduzida da vitamina 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O zinco contribui para a manutenção do cabelo, da pele e das unhas.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Alto teor de vitamina C, de vitamina E, de zinco e de selênio.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 IDENTIFICAÇÃO DO FABRICANTE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Fabricado e envasado por: Lemoncaps Indústria e Comércio Ltda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CNPJ: 55.836.075/0001-07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Rua Érico Veríssimo, Quadra 05, Lote 10 — Santa Cruz — Cuiabá/MT — CEP 78068-190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Farm. Resp.: Anderson C. Barbosa — CRF/MT 5526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SAC: sac@lemoncaps.com.br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Indústria Brasileira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Lote, data de fabricação e validade: impressos na embalagem.</w:t>
            </w:r>
          </w:p>
        </w:tc>
      </w:tr>
    </w:tbl>
    <w:p>
      <w:pPr>
        <w:spacing w:after="0" w:before="0"/>
      </w:pPr>
      <w:r>
        <w:rPr>
          <w:sz w:val="16"/>
        </w:rPr>
      </w:r>
    </w:p>
    <w:sectPr w:rsidR="00FC693F" w:rsidRPr="0006063C" w:rsidSect="00034616">
      <w:footerReference w:type="default" r:id="rId9"/>
      <w:pgSz w:w="11906" w:h="16838"/>
      <w:pgMar w:top="680" w:right="1247" w:bottom="68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FT-ROT-ANTIOX-001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