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Cápsulas · Pó solúvel · Líquido/Gotas · Gummies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GUIA DE TIPOGRAFIA DOS RÓTULOS</w:t>
      </w:r>
    </w:p>
    <w:p>
      <w:pPr>
        <w:spacing w:after="20"/>
        <w:jc w:val="center"/>
      </w:pPr>
      <w:r>
        <w:rPr>
          <w:b/>
          <w:color w:val="1F3864"/>
          <w:sz w:val="22"/>
        </w:rPr>
        <w:t>TIPO DE LETRA, CORPO E ALINHAMENTO EM CADA LOCAL DA PEÇA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 de Tipografia dos Rótulos — para designer gráfico e conferência do RT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GUIA-TIP-001 — rev.01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 de emissão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27/08/2026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 Técnico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Anderson C. Barbosa — CRF/MT 5526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Base normativa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RDC nº 429/2020 (arts. 16 e 17) · IN nº 75/2020 (Anexos X, XI, XII e XIV) · RDC nº 243/2018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Complementa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 e os guias por forma (A cápsulas, B e B1 pó solúvel, C líquido/gotas, D gummies)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Aplicação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Toda arte de rótulo da linha, própria ou de cliente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 COMO LER ESTE DOCUMENTO</w:t>
      </w:r>
    </w:p>
    <w:p>
      <w:r>
        <w:rPr>
          <w:b w:val="0"/>
          <w:i w:val="0"/>
          <w:sz w:val="20"/>
        </w:rPr>
        <w:t>Cada tabela traz a coluna Origem. Ela diz de onde vem a exigência, e isso muda o que se pode negociar com o cliente ou com o designer.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5670"/>
        <w:gridCol w:w="1927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56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 que significa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Pode mudar?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RDC 429/2020 · IN 75/2020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Exigência da ANVISA. Descumprir é irregularidade de rotulagem e reprova a arte.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Padrão Lemoncaps</w:t>
            </w:r>
          </w:p>
        </w:tc>
        <w:tc>
          <w:tcPr>
            <w:tcW w:type="dxa" w:w="56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Escolha da Lemoncaps, feita dentro do que a norma permite.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Sim, por decisão do dono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20"/>
        </w:rPr>
        <w:t>Onde a norma não fixa tipo de letra — praticamente todo o painel principal — vale a hierarquia de tamanhos da seção 2. A tabela nutricional é o oposto: ali o tipo, o corpo, o peso, o alinhamento, a cor e até o símbolo separador estão fixados, e não há área de criação.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 PAINEL PRINCIPAL — HIERARQUIA E CORPO</w:t>
      </w:r>
    </w:p>
    <w:p>
      <w:r>
        <w:rPr>
          <w:b w:val="0"/>
          <w:i w:val="0"/>
          <w:sz w:val="20"/>
        </w:rPr>
        <w:t>A norma não fixa família tipográfica para o painel principal. O que se controla é a hierarquia: cada elemento tem um tamanho de referência, medido em relação ao elemento acima dele ou à altura útil da peça.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623"/>
        <w:gridCol w:w="2835"/>
        <w:gridCol w:w="2494"/>
        <w:gridCol w:w="2438"/>
        <w:gridCol w:w="1587"/>
      </w:tblGrid>
      <w:tr>
        <w:trPr>
          <w:tblHeader w:val="true"/>
          <w:cantSplit/>
        </w:trPr>
        <w:tc>
          <w:tcPr>
            <w:tcW w:type="dxa" w:w="6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Local da peça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Corpo / proporção</w:t>
            </w:r>
          </w:p>
        </w:tc>
        <w:tc>
          <w:tcPr>
            <w:tcW w:type="dxa" w:w="243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caixa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/ logotipo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 a 30 % da altura útil do painel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manual da marca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 e variante (sabor)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a 60 % do tamanho da marca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Livre — legibilidade acima da estética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de rotulagem frontal, quando aplicável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a RDC 429/2020, na metade superior do painel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contraste, preto sobre branco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venda: SUPLEMENTO ALIMENTAR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Mínimo de 1/3 do tamanho do nome do produto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alta, próxima ao nome do produto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 contagem de unidades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 a 14 pt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Destacado, no rodapé do painel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Benefício ou alegação autorizada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Discreto, abaixo do nome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 frase literal da IN 28/2018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20"/>
        </w:rPr>
        <w:t>A denominação de venda é “Suplemento Alimentar” seguida da forma de apresentação — por exemplo, “Suplemento Alimentar em cápsulas” (art. 12 da RDC nº 243/2018). Nunca “Suplemento alimentar de vitamina C e zinco”.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 PAINEL DE INFORMAÇÕES — CORPO MÍNIMO POR BLOCO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3515"/>
        <w:gridCol w:w="2041"/>
        <w:gridCol w:w="3061"/>
        <w:gridCol w:w="1360"/>
      </w:tblGrid>
      <w:tr>
        <w:trPr>
          <w:tblHeader w:val="true"/>
          <w:cantSplit/>
        </w:trPr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Local da peça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Corpo mínimo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alinhamento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de informação nutricional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— ver seção 4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Anexo XII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ingredientes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· entrelinha 1,1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obrigatórias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destacada sobre fundo neutro, alto contraste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uso e recomendação de consumo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“AGITE ANTES DE USAR”, havendo suspensão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junto à recomendação de uso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Origem, fabricante e endereço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 e nº do conselho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SAC e canal de atendimento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Dispensa de registro (RDC 243/2018)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 e validade — área de codificação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Reservar 25 × 8 mm, sem arte ao fundo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Impresso na linha, não na arte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20"/>
        </w:rPr>
        <w:t>Nenhum texto legal pode ser cortado por dobra, solda, emenda, alça ou área de cola, nem ficar dentro da margem de segurança de 4 mm. Em frasco pequeno, esquecer a área de codificação é o erro mais comum.</w:t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 TABELA NUTRICIONAL EM QUADRO — ANEXO XII DA IN Nº 75/2020</w:t>
      </w:r>
    </w:p>
    <w:p>
      <w:r>
        <w:rPr>
          <w:b w:val="0"/>
          <w:i w:val="0"/>
          <w:sz w:val="20"/>
        </w:rPr>
        <w:t>Este é o modelo que a Lemoncaps usa. A coluna “Formatação padrão” é a regra; a “Formatação reduzida” só entra como recurso de compactação, quando a tabela não couber em uma única superfície contínua da embalagem, e depois de esgotados os recursos da seção 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835"/>
        <w:gridCol w:w="3515"/>
        <w:gridCol w:w="3628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Elemento da tabela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Formatação padrão</w:t>
            </w:r>
          </w:p>
        </w:tc>
        <w:tc>
          <w:tcPr>
            <w:tcW w:type="dxa" w:w="36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Formatação reduzida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Tipo de fonte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Arial ou Helvetica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Título INFORMAÇÃO NUTRICIONAL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Negrito, caixa alta, 10 pt, centralizado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Negrito, caixa alta, 8 pt, centralizado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Subtítulos “Porções por embalagem:” e “Porção: X g (medida caseira)”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8 pt, centralizado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6 pt, centralizado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Títulos das colunas “100 g”, “X g” e “%VD*”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8 pt, centralizado na horizontal e na vertical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6 pt, centralizado na horizontal e na vertical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dos constituintes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8 pt, alinhado à esquerda e centralizado na vertical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6 pt, alinhado à esquerda e centralizado na vertical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Valores nutricionais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8 pt, centralizado na horizontal e na vertical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8 pt, centralizado na horizontal e na vertical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Nota “*Percentual de valores diários fornecidos pela porção.”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6 pt, alinhado à esquerda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Nota “**No alimento pronto para o consumo.”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6 pt, alinhado à esquerda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Regular, caixa alta e baixa, 6 pt, alinhado à esquerda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20"/>
        </w:rPr>
        <w:t>Os valores do Anexo XII são MÍNIMOS: aumentar o corpo é permitido, desde que a proporção entre os elementos se mantenha. Reduzir abaixo deles, não.</w:t>
      </w:r>
    </w:p>
    <w:p>
      <w:r>
        <w:rPr>
          <w:b/>
          <w:color w:val="1F3864"/>
          <w:sz w:val="22"/>
        </w:rPr>
        <w:t>4.1  Cor, grade e espaçamento — RDC nº 429/2020, art. 16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6123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Caracteres e linhas em preto 100 % sobre fundo branco. Sem exceção, sem fundo colorido, sem cinza.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Preto de texto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100 % K puro em textos pequenos. Preto rico apenas em áreas sólidas grandes.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das linhas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Todas as linhas da grade interna têm a MESMA altura.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Espaçamento entre linhas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Suficiente para que nenhum caractere toque outro, nem encoste na barra, na borda ou na linha de separação.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Borda, barras e margens internas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Anexo XII — não se suprimem para ganhar espaço.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Nomes, ordem e unidades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do Anexo XI da IN nº 75/2020, sem sinônimo comercial e sem reordenar.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4.2  Indentação — medida pela letra “n”</w:t>
      </w:r>
    </w:p>
    <w:p>
      <w:r>
        <w:rPr>
          <w:b w:val="0"/>
          <w:i w:val="0"/>
          <w:sz w:val="20"/>
        </w:rPr>
        <w:t>O recuo não se faz a olho nem por tabulação do editor. A referência é a letra “n”, em caixa baixa, no mesmo tipo e corpo usados para o nome dos constituintes.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1927"/>
        <w:gridCol w:w="1927"/>
        <w:gridCol w:w="6123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Recuo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Onde se aplica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Primeiro nível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igual a “n”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Açúcares totais, gorduras saturadas e gorduras trans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Segundo nível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igual a “nn”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Açúcares adicionados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Terceiro nível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igual a “nnn”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Desdobramentos de terceiro nível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4.3  Símbolo separador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7597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 de texto normal, subconjunto Formas geométricas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Proibido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Bullet do editor de texto, hífen, ponto médio ou qualquer substituto visual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 MODELO LINEAR — ANEXO XIV DA IN Nº 75/2020</w:t>
      </w:r>
    </w:p>
    <w:p>
      <w:r>
        <w:rPr>
          <w:b w:val="0"/>
          <w:i w:val="0"/>
          <w:sz w:val="20"/>
        </w:rPr>
        <w:t>Só se usa depois de esgotados os quatro recursos de compactação da seção 7. Escolher o linear por conveniência de layout é irregularidade de rotulagem (art. 17 da RDC nº 429/2020).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3628"/>
        <w:gridCol w:w="6350"/>
      </w:tblGrid>
      <w:tr>
        <w:trPr>
          <w:tblHeader w:val="true"/>
          <w:cantSplit/>
        </w:trPr>
        <w:tc>
          <w:tcPr>
            <w:tcW w:type="dxa" w:w="36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35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 tipográfica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 de fonte</w:t>
            </w:r>
          </w:p>
        </w:tc>
        <w:tc>
          <w:tcPr>
            <w:tcW w:type="dxa" w:w="635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635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alinhado à esquerda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635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declaração “Por 100 g ou ml (Porção, %VD*):”</w:t>
            </w:r>
          </w:p>
        </w:tc>
        <w:tc>
          <w:tcPr>
            <w:tcW w:type="dxa" w:w="635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635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em 100 g, na porção e o %VD</w:t>
            </w:r>
          </w:p>
        </w:tc>
        <w:tc>
          <w:tcPr>
            <w:tcW w:type="dxa" w:w="635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</w:t>
            </w:r>
          </w:p>
        </w:tc>
        <w:tc>
          <w:tcPr>
            <w:tcW w:type="dxa" w:w="635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</w:t>
            </w:r>
          </w:p>
        </w:tc>
        <w:tc>
          <w:tcPr>
            <w:tcW w:type="dxa" w:w="635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(●), fonte de texto normal, subconjunto Formas geométricas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 DECLARAÇÃO SIMPLIFICADA — ANEXO X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268"/>
        <w:gridCol w:w="7711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71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Mesmo tipo de fonte das demais informações, regular, 8 pt na formatação padrão e 6 pt na reduzida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 entra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Abaixo da última linha da grade, separada por uma linha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Minerais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“MINERAIS. Por 100 g (Porção, %VD): Cálcio 00 mg (00 mg, 0 %) ● …”, com MINERAIS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“VITAMINAS. Por 100 g (Porção, %VD): Vitamina A 00 μg (00 μg, 0 %) ● …”, com VITAMINAS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de separação</w:t>
            </w:r>
          </w:p>
        </w:tc>
        <w:tc>
          <w:tcPr>
            <w:tcW w:type="dxa" w:w="771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Uma linha separando os minerais das vitaminas e outra separando as vitaminas do que vier abaixo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 NÃO COUBE? A ORDEM DOS RECURSOS É ESTA</w:t>
      </w:r>
    </w:p>
    <w:p>
      <w:r>
        <w:rPr>
          <w:b w:val="0"/>
          <w:i w:val="0"/>
          <w:sz w:val="20"/>
        </w:rPr>
        <w:t>Os recursos se aplicam nesta ordem. Pular etapas para chegar ao modelo linear é irregularidade de rotulagem.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793"/>
        <w:gridCol w:w="3628"/>
        <w:gridCol w:w="5556"/>
      </w:tblGrid>
      <w:tr>
        <w:trPr>
          <w:tblHeader w:val="true"/>
          <w:cantSplit/>
        </w:trPr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6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55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Efeito sobre a tipografia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Declaração simplificada de vitaminas e minerais (Anexo X)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minerais e as vitaminas saem da grade e passam a texto corrido, em 8 pt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Abreviação dos nomes dos nutrientes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as abreviações do Anexo XI: “Gord saturadas”, “Gord trans” e afins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Redução do corpo tipográfico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os limites da formatação reduzida do Anexo XII — 8 pt no título e 6 pt no corpo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condensadas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Narrow ou Helvetica Condensed, previstas para a formatação reduzida</w:t>
            </w:r>
          </w:p>
        </w:tc>
      </w:tr>
      <w:tr>
        <w:trPr>
          <w:cantSplit/>
        </w:trPr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linear (Anexo XIV)</w:t>
            </w:r>
          </w:p>
        </w:tc>
        <w:tc>
          <w:tcPr>
            <w:tcW w:type="dxa" w:w="555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Só depois de esgotados os quatro recursos acima, conforme o art. 17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 REGRAS DE TEXTO E ARTE FINAL QUE VALEM PARA A PEÇA INTEIRA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6123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mínimo absoluto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na tabela nutricional e nas advertências. Nenhum elemento abaixo disso.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de letra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mínima de 1,5 mm em qualquer texto da peça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Entrelinha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1,1 na tabela nutricional e na lista de ingredientes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Contraste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Proibido texto claro sobre imagem, degradê ou textura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no arquivo final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Convertidas em curvas no PDF/X-4; enviar também o editável com as fontes vivas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cor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CMYK. Nunca RGB. Cores especiais em Pantone, identificadas na camada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Margem de segurança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 mm — nenhum texto ou elemento essencial dentro da faixa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Sangria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 mm em todos os lados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Sobreposição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cortado por dobra, solda, emenda, alça ou área de cola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20"/>
        </w:rPr>
        <w:t>Regra que resolve o aperto das peças pequenas, e que vale como decisão: quando o texto de ingredientes não couber acima de 6 pt — o caso mais comum é a peça de cápsulas, de 160 × 50 mm —, aumenta-se a peça ou reduz-se o número de ativos. Nunca se reduz a fonte.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 O QUE A LEMONCAPS FIXA, DENTRO DO QUE A NORMA PERMITE</w:t>
      </w:r>
    </w:p>
    <w:p>
      <w:pPr>
        <w:pStyle w:val="ListBullet"/>
      </w:pPr>
      <w:r>
        <w:rPr>
          <w:sz w:val="21"/>
        </w:rPr>
        <w:t>A tabela nutricional sai em QUADRO, com uma linha por nutriente e as colunas “Quantidade por porção” e “%VD”, e nunca em texto corrido — decidido pelo dono em 27/08/2026.</w:t>
      </w:r>
    </w:p>
    <w:p>
      <w:pPr>
        <w:pStyle w:val="ListBullet"/>
      </w:pPr>
      <w:r>
        <w:rPr>
          <w:sz w:val="21"/>
        </w:rPr>
        <w:t>O modelo é o VERTICAL, salvo impossibilidade de espaço comprovada na arte.</w:t>
      </w:r>
    </w:p>
    <w:p>
      <w:pPr>
        <w:pStyle w:val="ListBullet"/>
      </w:pPr>
      <w:r>
        <w:rPr>
          <w:sz w:val="21"/>
        </w:rPr>
        <w:t>Declaram-se todos os itens obrigatórios da IN nº 75/2020, inclusive os que ficam em zero, em vez de usar a frase de quantidades não significativas.</w:t>
      </w:r>
    </w:p>
    <w:p>
      <w:pPr>
        <w:pStyle w:val="ListBullet"/>
      </w:pPr>
      <w:r>
        <w:rPr>
          <w:sz w:val="21"/>
        </w:rPr>
        <w:t>Os percentuais de valor diário saem do Anexo II da IN nº 75/2020. A IDR da RDC nº 269/2005 está revogada e não se usa.</w:t>
      </w:r>
    </w:p>
    <w:p>
      <w:pPr>
        <w:pStyle w:val="ListBullet"/>
      </w:pPr>
      <w:r>
        <w:rPr>
          <w:sz w:val="21"/>
        </w:rPr>
        <w:t>A vitamina D é declarada em UI no rótulo.</w:t>
      </w:r>
    </w:p>
    <w:p>
      <w:pPr>
        <w:pStyle w:val="ListBullet"/>
      </w:pPr>
      <w:r>
        <w:rPr>
          <w:sz w:val="21"/>
        </w:rPr>
        <w:t>O nome do constituinte é o da lista da ANVISA, igual na tabela nutricional, na lista de ingredientes e na composição.</w:t>
      </w:r>
    </w:p>
    <w:p>
      <w:pPr>
        <w:pStyle w:val="ListBullet"/>
      </w:pPr>
      <w:r>
        <w:rPr>
          <w:sz w:val="21"/>
        </w:rPr>
        <w:t>A quantidade é declarada por dose E por unidade (cápsula, goma ou mL).</w:t>
      </w:r>
    </w:p>
    <w:p>
      <w:pPr>
        <w:pStyle w:val="ListBullet"/>
      </w:pPr>
      <w:r>
        <w:rPr>
          <w:sz w:val="21"/>
        </w:rPr>
        <w:t>Os ingredientes vêm em ordem decrescente de quantidade.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 ERROS TIPOGRÁFICOS QUE REPROVAM A ARTE</w:t>
      </w:r>
    </w:p>
    <w:p>
      <w:pPr>
        <w:pStyle w:val="ListBullet"/>
      </w:pPr>
      <w:r>
        <w:rPr>
          <w:sz w:val="21"/>
        </w:rPr>
        <w:t>Tabela em cinza, em cor ou sobre fundo colorido — a norma exige preto 100 % sobre branco.</w:t>
      </w:r>
    </w:p>
    <w:p>
      <w:pPr>
        <w:pStyle w:val="ListBullet"/>
      </w:pPr>
      <w:r>
        <w:rPr>
          <w:sz w:val="21"/>
        </w:rPr>
        <w:t>Fonte diferente de Arial ou Helvetica na tabela nutricional.</w:t>
      </w:r>
    </w:p>
    <w:p>
      <w:pPr>
        <w:pStyle w:val="ListBullet"/>
      </w:pPr>
      <w:r>
        <w:rPr>
          <w:sz w:val="21"/>
        </w:rPr>
        <w:t>Fonte condensada usada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 ou das advertências.</w:t>
      </w:r>
    </w:p>
    <w:p>
      <w:pPr>
        <w:pStyle w:val="ListBullet"/>
      </w:pPr>
      <w:r>
        <w:rPr>
          <w:sz w:val="21"/>
        </w:rPr>
        <w:t>Linhas de altura desigual na grade interna.</w:t>
      </w:r>
    </w:p>
    <w:p>
      <w:pPr>
        <w:pStyle w:val="ListBullet"/>
      </w:pPr>
      <w:r>
        <w:rPr>
          <w:sz w:val="21"/>
        </w:rPr>
        <w:t>Indentação a olho, em vez do recuo medido por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Modelo agregado em produto único — ele só vale para embalagem múltipla e para mais de um grupo populacional.</w:t>
      </w:r>
    </w:p>
    <w:p>
      <w:pPr>
        <w:pStyle w:val="ListBullet"/>
      </w:pPr>
      <w:r>
        <w:rPr>
          <w:sz w:val="21"/>
        </w:rPr>
        <w:t>Caractere encostando na borda, na barra ou na linha de separação.</w:t>
      </w:r>
    </w:p>
    <w:p>
      <w:pPr>
        <w:pStyle w:val="ListBullet"/>
      </w:pPr>
      <w:r>
        <w:rPr>
          <w:sz w:val="21"/>
        </w:rPr>
        <w:t>Nome, ordem ou unidade de nutriente diferentes do Anexo XI da IN nº 75/2020.</w:t>
      </w:r>
    </w:p>
    <w:p>
      <w:pPr>
        <w:pStyle w:val="ListBullet"/>
      </w:pPr>
      <w:r>
        <w:rPr>
          <w:sz w:val="21"/>
        </w:rPr>
        <w:t>Denominação de venda menor que 1/3 do tamanho do nome do produto.</w:t>
      </w:r>
    </w:p>
    <w:p>
      <w:pPr>
        <w:pStyle w:val="ListBullet"/>
      </w:pPr>
      <w:r>
        <w:rPr>
          <w:sz w:val="21"/>
        </w:rPr>
        <w:t>Texto legal dentro da margem de segurança de 4 mm ou cortado por dobra ou solda.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11.  CHECKLIST DE CONFERÊNCIA TIPOGRÁFICA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567"/>
        <w:gridCol w:w="7484"/>
        <w:gridCol w:w="1927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748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Conforme?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nutricional em Arial ou Helvetica, preto 100 % sobre branco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da tabela em negrito, caixa alta, 10 pt (ou 8 pt na reduzida)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 em 8 pt (ou 6 pt na reduzida),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 em 6 pt, alinhadas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elemento da peça abaixo de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de no mínimo 1,5 mm em todo texto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da grade interna todas com a mesma altura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medida por “n”, “nn” e “nnn”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 como separador, e não bullet do editor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 com no mínimo 1/3 do nome do produto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entre 10 e 14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em caixa destacada, no mínimo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codificação de 25 × 8 mm reservada e sem arte ao fundo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na margem de 4 mm nem cortado por dobra ou solda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convertidas em curvas no PDF final, com editável anexo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12.  CONTROLE DE REVISÕES E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1134"/>
        <w:gridCol w:w="1247"/>
        <w:gridCol w:w="4536"/>
        <w:gridCol w:w="1587"/>
        <w:gridCol w:w="1474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Revisão</w:t>
            </w:r>
          </w:p>
        </w:tc>
        <w:tc>
          <w:tcPr>
            <w:tcW w:type="dxa" w:w="124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45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Elaborado por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Aprovado por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rev.01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27/08/2026</w:t>
            </w:r>
          </w:p>
        </w:tc>
        <w:tc>
          <w:tcPr>
            <w:tcW w:type="dxa" w:w="45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Emissão inicial — consolida a tipografia que estava dispersa nas seções 3 e 8 do GUIA-ROT-001 e dos guias por forma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GUIA-TIP-001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