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1355" w:rsidRPr="0013332C" w:rsidRDefault="0013332C" w:rsidP="0013332C">
      <w:pPr>
        <w:rPr>
          <w:b/>
          <w:sz w:val="27"/>
          <w:szCs w:val="27"/>
        </w:rPr>
      </w:pPr>
      <w:r w:rsidRPr="0013332C">
        <w:rPr>
          <w:b/>
          <w:sz w:val="27"/>
          <w:szCs w:val="27"/>
        </w:rPr>
        <w:t>Identidade visual</w:t>
      </w:r>
    </w:p>
    <w:p w:rsidR="0013332C" w:rsidRPr="0013332C" w:rsidRDefault="0013332C" w:rsidP="0013332C">
      <w:pPr>
        <w:rPr>
          <w:sz w:val="27"/>
          <w:szCs w:val="27"/>
        </w:rPr>
      </w:pPr>
      <w:r w:rsidRPr="0013332C">
        <w:rPr>
          <w:sz w:val="27"/>
          <w:szCs w:val="27"/>
        </w:rPr>
        <w:t xml:space="preserve">Logomarca da </w:t>
      </w:r>
      <w:proofErr w:type="spellStart"/>
      <w:r w:rsidRPr="0013332C">
        <w:rPr>
          <w:sz w:val="27"/>
          <w:szCs w:val="27"/>
        </w:rPr>
        <w:t>Kotas</w:t>
      </w:r>
      <w:proofErr w:type="spellEnd"/>
      <w:r w:rsidRPr="0013332C">
        <w:rPr>
          <w:sz w:val="27"/>
          <w:szCs w:val="27"/>
        </w:rPr>
        <w:t xml:space="preserve"> </w:t>
      </w:r>
      <w:proofErr w:type="spellStart"/>
      <w:r w:rsidRPr="0013332C">
        <w:rPr>
          <w:sz w:val="27"/>
          <w:szCs w:val="27"/>
        </w:rPr>
        <w:t>Pay</w:t>
      </w:r>
      <w:proofErr w:type="spellEnd"/>
    </w:p>
    <w:p w:rsidR="0013332C" w:rsidRPr="0013332C" w:rsidRDefault="0013332C" w:rsidP="0013332C">
      <w:pPr>
        <w:jc w:val="center"/>
        <w:rPr>
          <w:b/>
          <w:sz w:val="27"/>
          <w:szCs w:val="27"/>
        </w:rPr>
      </w:pPr>
    </w:p>
    <w:p w:rsidR="0013332C" w:rsidRDefault="0013332C" w:rsidP="0013332C">
      <w:pPr>
        <w:jc w:val="both"/>
      </w:pPr>
    </w:p>
    <w:p w:rsidR="0013332C" w:rsidRDefault="00AB79D1" w:rsidP="0013332C">
      <w:pPr>
        <w:jc w:val="both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5.1pt;height:283.6pt">
            <v:imagedata r:id="rId5" o:title="KotasPay_Logo"/>
          </v:shape>
        </w:pict>
      </w:r>
    </w:p>
    <w:p w:rsidR="0013332C" w:rsidRDefault="0013332C" w:rsidP="0013332C">
      <w:pPr>
        <w:jc w:val="both"/>
      </w:pPr>
    </w:p>
    <w:p w:rsidR="0013332C" w:rsidRPr="0013332C" w:rsidRDefault="0013332C" w:rsidP="001333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logomarca da </w:t>
      </w:r>
      <w:proofErr w:type="spellStart"/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KotasPay</w:t>
      </w:r>
      <w:proofErr w:type="spellEnd"/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foi construída para posicionar a empresa como uma </w:t>
      </w:r>
      <w:proofErr w:type="spellStart"/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fintech</w:t>
      </w:r>
      <w:proofErr w:type="spellEnd"/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 gestão financeira para associações e cooperativas</w:t>
      </w: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>, combinando tecnologia, confiança, transparência e sustentabilidade.</w:t>
      </w:r>
    </w:p>
    <w:p w:rsidR="0013332C" w:rsidRPr="0013332C" w:rsidRDefault="0013332C" w:rsidP="0013332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3332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Símbolo — o “K” estilizado</w:t>
      </w:r>
    </w:p>
    <w:p w:rsidR="0013332C" w:rsidRPr="0013332C" w:rsidRDefault="0013332C" w:rsidP="001333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elemento central é um </w:t>
      </w:r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 geométrico</w:t>
      </w: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>, formado por vetores curvos e sobrepostos.</w:t>
      </w:r>
    </w:p>
    <w:p w:rsidR="0013332C" w:rsidRPr="0013332C" w:rsidRDefault="0013332C" w:rsidP="001333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>Ele pode ser interpretado em três níveis:</w:t>
      </w:r>
    </w:p>
    <w:p w:rsidR="0013332C" w:rsidRPr="0013332C" w:rsidRDefault="0013332C" w:rsidP="0013332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K de </w:t>
      </w:r>
      <w:proofErr w:type="spellStart"/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KotasPay</w:t>
      </w:r>
      <w:proofErr w:type="spellEnd"/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cria uma identificação visual direta com a marca. </w:t>
      </w:r>
    </w:p>
    <w:p w:rsidR="0013332C" w:rsidRPr="0013332C" w:rsidRDefault="0013332C" w:rsidP="0013332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Convergência</w:t>
      </w: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os elementos que se encontram representam diferentes associados, cooperados e gestores </w:t>
      </w:r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conectados em torno de um mesmo sistema financeiro</w:t>
      </w: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13332C" w:rsidRPr="0013332C" w:rsidRDefault="0013332C" w:rsidP="0013332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 contínuo</w:t>
      </w: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as formas sugerem movimento e circulação, remetendo ao </w:t>
      </w:r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 de pagamentos, recebíveis e informações financeiras</w:t>
      </w: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13332C" w:rsidRPr="0013332C" w:rsidRDefault="0013332C" w:rsidP="001333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construção não representa apenas uma letra: ela procura transmitir a ideia de </w:t>
      </w:r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conexão </w:t>
      </w:r>
      <w:proofErr w:type="gramStart"/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+</w:t>
      </w:r>
      <w:proofErr w:type="gramEnd"/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movimento + gestão</w:t>
      </w: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3332C" w:rsidRPr="0013332C" w:rsidRDefault="0013332C" w:rsidP="0013332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3332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2. Verde Esmeralda / Menta</w:t>
      </w:r>
    </w:p>
    <w:p w:rsidR="0013332C" w:rsidRPr="0013332C" w:rsidRDefault="0013332C" w:rsidP="001333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verde aparece principalmente na parte superior e nas extremidades do símbolo e também em </w:t>
      </w:r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“</w:t>
      </w:r>
      <w:proofErr w:type="spellStart"/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Pay</w:t>
      </w:r>
      <w:proofErr w:type="spellEnd"/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”</w:t>
      </w: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3332C" w:rsidRPr="0013332C" w:rsidRDefault="0013332C" w:rsidP="001333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>Ele comunica:</w:t>
      </w:r>
    </w:p>
    <w:p w:rsidR="0013332C" w:rsidRPr="0013332C" w:rsidRDefault="0013332C" w:rsidP="0013332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>crescimento</w:t>
      </w:r>
      <w:proofErr w:type="gramEnd"/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13332C" w:rsidRPr="0013332C" w:rsidRDefault="0013332C" w:rsidP="0013332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>saúde</w:t>
      </w:r>
      <w:proofErr w:type="gramEnd"/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financeira; </w:t>
      </w:r>
    </w:p>
    <w:p w:rsidR="0013332C" w:rsidRPr="0013332C" w:rsidRDefault="0013332C" w:rsidP="0013332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>inovação</w:t>
      </w:r>
      <w:proofErr w:type="gramEnd"/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13332C" w:rsidRPr="0013332C" w:rsidRDefault="0013332C" w:rsidP="0013332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>sustentabilidade</w:t>
      </w:r>
      <w:proofErr w:type="gramEnd"/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13332C" w:rsidRPr="0013332C" w:rsidRDefault="0013332C" w:rsidP="0013332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>eficiência</w:t>
      </w:r>
      <w:proofErr w:type="gramEnd"/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13332C" w:rsidRPr="0013332C" w:rsidRDefault="0013332C" w:rsidP="0013332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>visão</w:t>
      </w:r>
      <w:proofErr w:type="gramEnd"/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ESG. </w:t>
      </w:r>
    </w:p>
    <w:p w:rsidR="0013332C" w:rsidRPr="0013332C" w:rsidRDefault="0013332C" w:rsidP="001333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>O verde mais tecnológico evita a associação com uma identidade excessivamente institucional ou tradicional.</w:t>
      </w:r>
    </w:p>
    <w:p w:rsidR="0013332C" w:rsidRPr="0013332C" w:rsidRDefault="0013332C" w:rsidP="0013332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3332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3. Azul Petróleo / </w:t>
      </w:r>
      <w:proofErr w:type="spellStart"/>
      <w:r w:rsidRPr="0013332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Deep</w:t>
      </w:r>
      <w:proofErr w:type="spellEnd"/>
      <w:r w:rsidRPr="0013332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13332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Navy</w:t>
      </w:r>
      <w:proofErr w:type="spellEnd"/>
    </w:p>
    <w:p w:rsidR="0013332C" w:rsidRPr="0013332C" w:rsidRDefault="0013332C" w:rsidP="001333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azul predominante no símbolo e em </w:t>
      </w:r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“</w:t>
      </w:r>
      <w:proofErr w:type="spellStart"/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Kotas</w:t>
      </w:r>
      <w:proofErr w:type="spellEnd"/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”</w:t>
      </w: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funciona como contraponto ao verde.</w:t>
      </w:r>
    </w:p>
    <w:p w:rsidR="0013332C" w:rsidRPr="0013332C" w:rsidRDefault="0013332C" w:rsidP="001333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Representa:</w:t>
      </w:r>
    </w:p>
    <w:p w:rsidR="0013332C" w:rsidRPr="0013332C" w:rsidRDefault="0013332C" w:rsidP="0013332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segurança</w:t>
      </w:r>
      <w:proofErr w:type="gramEnd"/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13332C" w:rsidRPr="0013332C" w:rsidRDefault="0013332C" w:rsidP="0013332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>confiança</w:t>
      </w:r>
      <w:proofErr w:type="gramEnd"/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13332C" w:rsidRPr="0013332C" w:rsidRDefault="0013332C" w:rsidP="0013332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>estabilidade</w:t>
      </w:r>
      <w:proofErr w:type="gramEnd"/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13332C" w:rsidRPr="0013332C" w:rsidRDefault="0013332C" w:rsidP="0013332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>proteção</w:t>
      </w:r>
      <w:proofErr w:type="gramEnd"/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dados; </w:t>
      </w:r>
    </w:p>
    <w:p w:rsidR="0013332C" w:rsidRPr="0013332C" w:rsidRDefault="0013332C" w:rsidP="0013332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>compliance</w:t>
      </w:r>
      <w:proofErr w:type="spellEnd"/>
      <w:proofErr w:type="gramEnd"/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13332C" w:rsidRPr="0013332C" w:rsidRDefault="0013332C" w:rsidP="0013332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>profissionalismo</w:t>
      </w:r>
      <w:proofErr w:type="gramEnd"/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13332C" w:rsidRPr="0013332C" w:rsidRDefault="0013332C" w:rsidP="0013332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>solidez</w:t>
      </w:r>
      <w:proofErr w:type="gramEnd"/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financeira. </w:t>
      </w:r>
    </w:p>
    <w:p w:rsidR="0013332C" w:rsidRPr="0013332C" w:rsidRDefault="0013332C" w:rsidP="001333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Essa combinação é particularmente adequada para uma plataforma que lida com </w:t>
      </w:r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dinheiro, informações financeiras e dados de associados</w:t>
      </w: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3332C" w:rsidRPr="0013332C" w:rsidRDefault="0013332C" w:rsidP="0013332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3332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“</w:t>
      </w:r>
      <w:proofErr w:type="spellStart"/>
      <w:r w:rsidRPr="0013332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Kotas</w:t>
      </w:r>
      <w:proofErr w:type="spellEnd"/>
      <w:r w:rsidRPr="0013332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” + “</w:t>
      </w:r>
      <w:proofErr w:type="spellStart"/>
      <w:r w:rsidRPr="0013332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Pay</w:t>
      </w:r>
      <w:proofErr w:type="spellEnd"/>
      <w:r w:rsidRPr="0013332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”</w:t>
      </w:r>
    </w:p>
    <w:p w:rsidR="0013332C" w:rsidRPr="0013332C" w:rsidRDefault="0013332C" w:rsidP="001333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>A diferenciação cromática entre as duas partes do nome é estratégica:</w:t>
      </w:r>
    </w:p>
    <w:p w:rsidR="0013332C" w:rsidRPr="0013332C" w:rsidRDefault="0013332C" w:rsidP="001333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Kotas</w:t>
      </w:r>
      <w:proofErr w:type="spellEnd"/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azul → confiança, gestão e institucionalidade.</w:t>
      </w: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Pay</w:t>
      </w:r>
      <w:proofErr w:type="spellEnd"/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verde → pagamentos, movimento financeiro e tecnologia.</w:t>
      </w:r>
    </w:p>
    <w:p w:rsidR="0013332C" w:rsidRPr="0013332C" w:rsidRDefault="0013332C" w:rsidP="001333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>Assim, o próprio nome transmite uma mensagem:</w:t>
      </w:r>
    </w:p>
    <w:p w:rsidR="0013332C" w:rsidRPr="0013332C" w:rsidRDefault="0013332C" w:rsidP="0013332C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KotasPay</w:t>
      </w:r>
      <w:proofErr w:type="spellEnd"/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= gestão confiável </w:t>
      </w:r>
      <w:proofErr w:type="gramStart"/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+</w:t>
      </w:r>
      <w:proofErr w:type="gramEnd"/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movimentação financeira eficiente.</w:t>
      </w:r>
    </w:p>
    <w:p w:rsidR="0013332C" w:rsidRPr="0013332C" w:rsidRDefault="0013332C" w:rsidP="001333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Além disso, o nome possui potencial para funcionar bem como </w:t>
      </w:r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marca de plataforma</w:t>
      </w: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>, aplicativo e solução SaaS.</w:t>
      </w:r>
    </w:p>
    <w:p w:rsidR="0013332C" w:rsidRPr="0013332C" w:rsidRDefault="0013332C" w:rsidP="0013332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3332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 Tipografia</w:t>
      </w:r>
    </w:p>
    <w:p w:rsidR="0013332C" w:rsidRPr="0013332C" w:rsidRDefault="0013332C" w:rsidP="001333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 tipografia utilizada é pesada, geométrica e sem </w:t>
      </w:r>
      <w:proofErr w:type="spellStart"/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>serifa</w:t>
      </w:r>
      <w:proofErr w:type="spellEnd"/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>, transmitindo:</w:t>
      </w:r>
    </w:p>
    <w:p w:rsidR="0013332C" w:rsidRPr="0013332C" w:rsidRDefault="0013332C" w:rsidP="0013332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>modernidade</w:t>
      </w:r>
      <w:proofErr w:type="gramEnd"/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13332C" w:rsidRPr="0013332C" w:rsidRDefault="0013332C" w:rsidP="0013332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>legibilidade</w:t>
      </w:r>
      <w:proofErr w:type="gramEnd"/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13332C" w:rsidRPr="0013332C" w:rsidRDefault="0013332C" w:rsidP="0013332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>tecnologia</w:t>
      </w:r>
      <w:proofErr w:type="gramEnd"/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13332C" w:rsidRPr="0013332C" w:rsidRDefault="0013332C" w:rsidP="0013332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>força</w:t>
      </w:r>
      <w:proofErr w:type="gramEnd"/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institucional; </w:t>
      </w:r>
    </w:p>
    <w:p w:rsidR="0013332C" w:rsidRPr="0013332C" w:rsidRDefault="0013332C" w:rsidP="0013332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>simplicidade</w:t>
      </w:r>
      <w:proofErr w:type="gramEnd"/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13332C" w:rsidRPr="0013332C" w:rsidRDefault="0013332C" w:rsidP="001333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formas arredondadas reduzem a rigidez de uma identidade bancária tradicional, aproximando a marca de uma </w:t>
      </w:r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empresa de tecnologia financeira contemporânea</w:t>
      </w: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3332C" w:rsidRPr="0013332C" w:rsidRDefault="0013332C" w:rsidP="0013332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3332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6. </w:t>
      </w:r>
      <w:proofErr w:type="spellStart"/>
      <w:r w:rsidRPr="0013332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Tagline</w:t>
      </w:r>
      <w:proofErr w:type="spellEnd"/>
    </w:p>
    <w:p w:rsidR="0013332C" w:rsidRPr="0013332C" w:rsidRDefault="0013332C" w:rsidP="001333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>A frase:</w:t>
      </w:r>
    </w:p>
    <w:p w:rsidR="0013332C" w:rsidRPr="0013332C" w:rsidRDefault="0013332C" w:rsidP="0013332C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“JUNTOS, MAIS CONQUISTAS”</w:t>
      </w:r>
    </w:p>
    <w:p w:rsidR="0013332C" w:rsidRPr="0013332C" w:rsidRDefault="0013332C" w:rsidP="001333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>introduz</w:t>
      </w:r>
      <w:proofErr w:type="gramEnd"/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dimensão importante à marca.</w:t>
      </w:r>
    </w:p>
    <w:p w:rsidR="0013332C" w:rsidRPr="0013332C" w:rsidRDefault="0013332C" w:rsidP="001333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Ela desloca a comunicação de uma simples plataforma de cobrança para uma ideia de </w:t>
      </w:r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cooperação e benefício coletivo</w:t>
      </w: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3332C" w:rsidRPr="0013332C" w:rsidRDefault="0013332C" w:rsidP="001333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é especialmente coerente com o público de </w:t>
      </w:r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associações e cooperativas</w:t>
      </w: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>, no qual o relacionamento entre organização e membros é fundamental.</w:t>
      </w:r>
    </w:p>
    <w:p w:rsidR="0013332C" w:rsidRPr="0013332C" w:rsidRDefault="0013332C" w:rsidP="0013332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3332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7. “Gestão | Transparência | Resultados”</w:t>
      </w:r>
    </w:p>
    <w:p w:rsidR="0013332C" w:rsidRPr="0013332C" w:rsidRDefault="0013332C" w:rsidP="001333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 elemento funciona como uma espécie de </w:t>
      </w:r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assinatura estratégica da marca</w:t>
      </w: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3332C" w:rsidRPr="0013332C" w:rsidRDefault="0013332C" w:rsidP="0013332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Gestão</w:t>
      </w: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controle dos recebíveis e das finanças. </w:t>
      </w:r>
    </w:p>
    <w:p w:rsidR="0013332C" w:rsidRPr="0013332C" w:rsidRDefault="0013332C" w:rsidP="0013332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Transparência</w:t>
      </w: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prestação de contas, confiança e governança. </w:t>
      </w:r>
    </w:p>
    <w:p w:rsidR="0013332C" w:rsidRPr="0013332C" w:rsidRDefault="0013332C" w:rsidP="0013332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Resultados</w:t>
      </w: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redução da inadimplência, previsibilidade financeira e melhoria da gestão. </w:t>
      </w:r>
    </w:p>
    <w:p w:rsidR="0013332C" w:rsidRPr="0013332C" w:rsidRDefault="0013332C" w:rsidP="001333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uma boa síntese dos três principais benefícios que a </w:t>
      </w:r>
      <w:proofErr w:type="spellStart"/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>KotasPay</w:t>
      </w:r>
      <w:proofErr w:type="spellEnd"/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pretende entregar.</w:t>
      </w:r>
    </w:p>
    <w:p w:rsidR="0013332C" w:rsidRPr="0013332C" w:rsidRDefault="0013332C" w:rsidP="0013332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3332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8. Leitura estratégica da identidade</w:t>
      </w:r>
    </w:p>
    <w:p w:rsidR="0013332C" w:rsidRPr="0013332C" w:rsidRDefault="0013332C" w:rsidP="001333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>A marca consegue reunir quatro conceitos que são importantes para o posicionamento do negócio:</w:t>
      </w:r>
    </w:p>
    <w:p w:rsidR="0013332C" w:rsidRPr="0013332C" w:rsidRDefault="0013332C" w:rsidP="00133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TECNOLOGIA</w:t>
      </w: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↓</w:t>
      </w: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GESTÃO FINANCEIRA</w:t>
      </w: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↓</w:t>
      </w: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TRANSPARÊNCIA E GOVERNANÇA</w:t>
      </w: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↓</w:t>
      </w: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CONFIANÇA E RESULTADOS</w:t>
      </w:r>
    </w:p>
    <w:p w:rsidR="0013332C" w:rsidRPr="0013332C" w:rsidRDefault="0013332C" w:rsidP="001333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Isso permite posicionar a </w:t>
      </w:r>
      <w:proofErr w:type="spellStart"/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>KotasPay</w:t>
      </w:r>
      <w:proofErr w:type="spellEnd"/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simplesmente como um </w:t>
      </w:r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“sistema de cobrança”</w:t>
      </w: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>, mas como uma:</w:t>
      </w:r>
    </w:p>
    <w:p w:rsidR="0013332C" w:rsidRPr="0013332C" w:rsidRDefault="0013332C" w:rsidP="0013332C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Plataforma tecnológica de gestão de recebíveis, previsibilidade financeira e transparência para associações e cooperativas.</w:t>
      </w:r>
    </w:p>
    <w:p w:rsidR="0013332C" w:rsidRPr="0013332C" w:rsidRDefault="0013332C" w:rsidP="0013332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3332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Minha avaliação</w:t>
      </w:r>
    </w:p>
    <w:p w:rsidR="0013332C" w:rsidRPr="0013332C" w:rsidRDefault="0013332C" w:rsidP="001333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identidade visual está </w:t>
      </w:r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bem alinhada ao modelo de negócio</w:t>
      </w: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O principal ponto que eu preservaria é justamente a combinação </w:t>
      </w:r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azul </w:t>
      </w:r>
      <w:proofErr w:type="gramStart"/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+</w:t>
      </w:r>
      <w:proofErr w:type="gramEnd"/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verde</w:t>
      </w: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porque ela equilibra dois atributos que precisam coexistir na </w:t>
      </w:r>
      <w:proofErr w:type="spellStart"/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>KotasPay</w:t>
      </w:r>
      <w:proofErr w:type="spellEnd"/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13332C" w:rsidRPr="0013332C" w:rsidRDefault="0013332C" w:rsidP="001333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confiança</w:t>
      </w:r>
      <w:proofErr w:type="gramEnd"/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institucional</w:t>
      </w: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↔ </w:t>
      </w:r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inovação tecnológica</w:t>
      </w: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3332C" w:rsidRDefault="0013332C" w:rsidP="001333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Eu faria apenas uma evolução na próxima versão: </w:t>
      </w:r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simplificar o símbolo K para que ele continue reconhecível em tamanhos muito pequenos</w:t>
      </w: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como ícone de aplicativo, </w:t>
      </w:r>
      <w:proofErr w:type="spellStart"/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>favicon</w:t>
      </w:r>
      <w:proofErr w:type="spellEnd"/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WhatsApp e </w:t>
      </w:r>
      <w:proofErr w:type="spellStart"/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>avatar</w:t>
      </w:r>
      <w:proofErr w:type="spellEnd"/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redes sociais. Isso é importante porque a versão apresentada funciona muito bem como </w:t>
      </w:r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logomarca institucional</w:t>
      </w: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mas a </w:t>
      </w:r>
      <w:proofErr w:type="spellStart"/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>KotasPay</w:t>
      </w:r>
      <w:proofErr w:type="spellEnd"/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também precisará de um </w:t>
      </w:r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símbolo reduzido (</w:t>
      </w:r>
      <w:proofErr w:type="spellStart"/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app</w:t>
      </w:r>
      <w:proofErr w:type="spellEnd"/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icon</w:t>
      </w:r>
      <w:proofErr w:type="spellEnd"/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versões </w:t>
      </w:r>
      <w:r w:rsidRPr="001333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monocromática, negativa e horizontal</w:t>
      </w:r>
      <w:r w:rsidRPr="001333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formar uma identidade visual completa.</w:t>
      </w:r>
    </w:p>
    <w:p w:rsidR="00AB79D1" w:rsidRDefault="00AB79D1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 w:type="page"/>
      </w:r>
    </w:p>
    <w:p w:rsidR="00AB79D1" w:rsidRPr="00AB79D1" w:rsidRDefault="00AB79D1" w:rsidP="00AB7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bookmarkStart w:id="0" w:name="_GoBack"/>
      <w:bookmarkEnd w:id="0"/>
      <w:r w:rsidRPr="00AB79D1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lastRenderedPageBreak/>
        <w:t>🎨</w:t>
      </w:r>
      <w:r w:rsidRPr="00AB79D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Paleta de cores </w:t>
      </w:r>
      <w:proofErr w:type="spellStart"/>
      <w:r w:rsidRPr="00AB79D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KotasPay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1559"/>
        <w:gridCol w:w="1060"/>
        <w:gridCol w:w="993"/>
        <w:gridCol w:w="2865"/>
      </w:tblGrid>
      <w:tr w:rsidR="00AB79D1" w:rsidRPr="00AB79D1" w:rsidTr="00AB79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79D1" w:rsidRPr="00AB79D1" w:rsidRDefault="00AB79D1" w:rsidP="00AB79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B7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:rsidR="00AB79D1" w:rsidRPr="00AB79D1" w:rsidRDefault="00AB79D1" w:rsidP="00AB79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B7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Cor</w:t>
            </w:r>
          </w:p>
        </w:tc>
        <w:tc>
          <w:tcPr>
            <w:tcW w:w="0" w:type="auto"/>
            <w:vAlign w:val="center"/>
            <w:hideMark/>
          </w:tcPr>
          <w:p w:rsidR="00AB79D1" w:rsidRPr="00AB79D1" w:rsidRDefault="00AB79D1" w:rsidP="00AB79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B7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:rsidR="00AB79D1" w:rsidRPr="00AB79D1" w:rsidRDefault="00AB79D1" w:rsidP="00AB79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B7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RGB</w:t>
            </w:r>
          </w:p>
        </w:tc>
        <w:tc>
          <w:tcPr>
            <w:tcW w:w="0" w:type="auto"/>
            <w:vAlign w:val="center"/>
            <w:hideMark/>
          </w:tcPr>
          <w:p w:rsidR="00AB79D1" w:rsidRPr="00AB79D1" w:rsidRDefault="00AB79D1" w:rsidP="00AB79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B7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Aplicação</w:t>
            </w:r>
          </w:p>
        </w:tc>
      </w:tr>
      <w:tr w:rsidR="00AB79D1" w:rsidRPr="00AB79D1" w:rsidTr="00AB79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9D1" w:rsidRPr="00AB79D1" w:rsidRDefault="00AB79D1" w:rsidP="00AB7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7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Azul Marinho / </w:t>
            </w:r>
            <w:proofErr w:type="spellStart"/>
            <w:r w:rsidRPr="00AB7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Deep</w:t>
            </w:r>
            <w:proofErr w:type="spellEnd"/>
            <w:r w:rsidRPr="00AB7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B7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Navy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79D1" w:rsidRPr="00AB79D1" w:rsidRDefault="00AB79D1" w:rsidP="00AB7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79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Azul institucional</w:t>
            </w:r>
          </w:p>
        </w:tc>
        <w:tc>
          <w:tcPr>
            <w:tcW w:w="0" w:type="auto"/>
            <w:vAlign w:val="center"/>
            <w:hideMark/>
          </w:tcPr>
          <w:p w:rsidR="00AB79D1" w:rsidRPr="00AB79D1" w:rsidRDefault="00AB79D1" w:rsidP="00AB7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7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#0B1F33</w:t>
            </w:r>
          </w:p>
        </w:tc>
        <w:tc>
          <w:tcPr>
            <w:tcW w:w="0" w:type="auto"/>
            <w:vAlign w:val="center"/>
            <w:hideMark/>
          </w:tcPr>
          <w:p w:rsidR="00AB79D1" w:rsidRPr="00AB79D1" w:rsidRDefault="00AB79D1" w:rsidP="00AB7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79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11, 31, 51</w:t>
            </w:r>
          </w:p>
        </w:tc>
        <w:tc>
          <w:tcPr>
            <w:tcW w:w="0" w:type="auto"/>
            <w:vAlign w:val="center"/>
            <w:hideMark/>
          </w:tcPr>
          <w:p w:rsidR="00AB79D1" w:rsidRPr="00AB79D1" w:rsidRDefault="00AB79D1" w:rsidP="00AB7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B79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Kotas</w:t>
            </w:r>
            <w:proofErr w:type="spellEnd"/>
            <w:r w:rsidRPr="00AB79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títulos, textos, segurança e confiança</w:t>
            </w:r>
          </w:p>
        </w:tc>
      </w:tr>
      <w:tr w:rsidR="00AB79D1" w:rsidRPr="00AB79D1" w:rsidTr="00AB79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9D1" w:rsidRPr="00AB79D1" w:rsidRDefault="00AB79D1" w:rsidP="00AB7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7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Azul Petróleo</w:t>
            </w:r>
          </w:p>
        </w:tc>
        <w:tc>
          <w:tcPr>
            <w:tcW w:w="0" w:type="auto"/>
            <w:vAlign w:val="center"/>
            <w:hideMark/>
          </w:tcPr>
          <w:p w:rsidR="00AB79D1" w:rsidRPr="00AB79D1" w:rsidRDefault="00AB79D1" w:rsidP="00AB7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79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Azul tecnológico</w:t>
            </w:r>
          </w:p>
        </w:tc>
        <w:tc>
          <w:tcPr>
            <w:tcW w:w="0" w:type="auto"/>
            <w:vAlign w:val="center"/>
            <w:hideMark/>
          </w:tcPr>
          <w:p w:rsidR="00AB79D1" w:rsidRPr="00AB79D1" w:rsidRDefault="00AB79D1" w:rsidP="00AB7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7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#123F52</w:t>
            </w:r>
          </w:p>
        </w:tc>
        <w:tc>
          <w:tcPr>
            <w:tcW w:w="0" w:type="auto"/>
            <w:vAlign w:val="center"/>
            <w:hideMark/>
          </w:tcPr>
          <w:p w:rsidR="00AB79D1" w:rsidRPr="00AB79D1" w:rsidRDefault="00AB79D1" w:rsidP="00AB7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79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18, 63, 82</w:t>
            </w:r>
          </w:p>
        </w:tc>
        <w:tc>
          <w:tcPr>
            <w:tcW w:w="0" w:type="auto"/>
            <w:vAlign w:val="center"/>
            <w:hideMark/>
          </w:tcPr>
          <w:p w:rsidR="00AB79D1" w:rsidRPr="00AB79D1" w:rsidRDefault="00AB79D1" w:rsidP="00AB7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79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Elementos institucionais e fundos</w:t>
            </w:r>
          </w:p>
        </w:tc>
      </w:tr>
      <w:tr w:rsidR="00AB79D1" w:rsidRPr="00AB79D1" w:rsidTr="00AB79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9D1" w:rsidRPr="00AB79D1" w:rsidRDefault="00AB79D1" w:rsidP="00AB7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7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Verde Esmeralda</w:t>
            </w:r>
          </w:p>
        </w:tc>
        <w:tc>
          <w:tcPr>
            <w:tcW w:w="0" w:type="auto"/>
            <w:vAlign w:val="center"/>
            <w:hideMark/>
          </w:tcPr>
          <w:p w:rsidR="00AB79D1" w:rsidRPr="00AB79D1" w:rsidRDefault="00AB79D1" w:rsidP="00AB7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79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Verde principal</w:t>
            </w:r>
          </w:p>
        </w:tc>
        <w:tc>
          <w:tcPr>
            <w:tcW w:w="0" w:type="auto"/>
            <w:vAlign w:val="center"/>
            <w:hideMark/>
          </w:tcPr>
          <w:p w:rsidR="00AB79D1" w:rsidRPr="00AB79D1" w:rsidRDefault="00AB79D1" w:rsidP="00AB7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7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#16A36A</w:t>
            </w:r>
          </w:p>
        </w:tc>
        <w:tc>
          <w:tcPr>
            <w:tcW w:w="0" w:type="auto"/>
            <w:vAlign w:val="center"/>
            <w:hideMark/>
          </w:tcPr>
          <w:p w:rsidR="00AB79D1" w:rsidRPr="00AB79D1" w:rsidRDefault="00AB79D1" w:rsidP="00AB7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79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22, 163, 106</w:t>
            </w:r>
          </w:p>
        </w:tc>
        <w:tc>
          <w:tcPr>
            <w:tcW w:w="0" w:type="auto"/>
            <w:vAlign w:val="center"/>
            <w:hideMark/>
          </w:tcPr>
          <w:p w:rsidR="00AB79D1" w:rsidRPr="00AB79D1" w:rsidRDefault="00AB79D1" w:rsidP="00AB7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B79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Pay</w:t>
            </w:r>
            <w:proofErr w:type="spellEnd"/>
            <w:r w:rsidRPr="00AB79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crescimento, resultados e inovação</w:t>
            </w:r>
          </w:p>
        </w:tc>
      </w:tr>
      <w:tr w:rsidR="00AB79D1" w:rsidRPr="00AB79D1" w:rsidTr="00AB79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9D1" w:rsidRPr="00AB79D1" w:rsidRDefault="00AB79D1" w:rsidP="00AB7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7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Verde Menta</w:t>
            </w:r>
          </w:p>
        </w:tc>
        <w:tc>
          <w:tcPr>
            <w:tcW w:w="0" w:type="auto"/>
            <w:vAlign w:val="center"/>
            <w:hideMark/>
          </w:tcPr>
          <w:p w:rsidR="00AB79D1" w:rsidRPr="00AB79D1" w:rsidRDefault="00AB79D1" w:rsidP="00AB7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79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Menta tecnológico</w:t>
            </w:r>
          </w:p>
        </w:tc>
        <w:tc>
          <w:tcPr>
            <w:tcW w:w="0" w:type="auto"/>
            <w:vAlign w:val="center"/>
            <w:hideMark/>
          </w:tcPr>
          <w:p w:rsidR="00AB79D1" w:rsidRPr="00AB79D1" w:rsidRDefault="00AB79D1" w:rsidP="00AB7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7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#55D6A6</w:t>
            </w:r>
          </w:p>
        </w:tc>
        <w:tc>
          <w:tcPr>
            <w:tcW w:w="0" w:type="auto"/>
            <w:vAlign w:val="center"/>
            <w:hideMark/>
          </w:tcPr>
          <w:p w:rsidR="00AB79D1" w:rsidRPr="00AB79D1" w:rsidRDefault="00AB79D1" w:rsidP="00AB7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79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85, 214, 166</w:t>
            </w:r>
          </w:p>
        </w:tc>
        <w:tc>
          <w:tcPr>
            <w:tcW w:w="0" w:type="auto"/>
            <w:vAlign w:val="center"/>
            <w:hideMark/>
          </w:tcPr>
          <w:p w:rsidR="00AB79D1" w:rsidRPr="00AB79D1" w:rsidRDefault="00AB79D1" w:rsidP="00AB7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79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Gradientes, destaques e elementos digitais</w:t>
            </w:r>
          </w:p>
        </w:tc>
      </w:tr>
      <w:tr w:rsidR="00AB79D1" w:rsidRPr="00AB79D1" w:rsidTr="00AB79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9D1" w:rsidRPr="00AB79D1" w:rsidRDefault="00AB79D1" w:rsidP="00AB7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7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Cinza Chumbo</w:t>
            </w:r>
          </w:p>
        </w:tc>
        <w:tc>
          <w:tcPr>
            <w:tcW w:w="0" w:type="auto"/>
            <w:vAlign w:val="center"/>
            <w:hideMark/>
          </w:tcPr>
          <w:p w:rsidR="00AB79D1" w:rsidRPr="00AB79D1" w:rsidRDefault="00AB79D1" w:rsidP="00AB7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79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Cinza escuro</w:t>
            </w:r>
          </w:p>
        </w:tc>
        <w:tc>
          <w:tcPr>
            <w:tcW w:w="0" w:type="auto"/>
            <w:vAlign w:val="center"/>
            <w:hideMark/>
          </w:tcPr>
          <w:p w:rsidR="00AB79D1" w:rsidRPr="00AB79D1" w:rsidRDefault="00AB79D1" w:rsidP="00AB7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7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#3E454B</w:t>
            </w:r>
          </w:p>
        </w:tc>
        <w:tc>
          <w:tcPr>
            <w:tcW w:w="0" w:type="auto"/>
            <w:vAlign w:val="center"/>
            <w:hideMark/>
          </w:tcPr>
          <w:p w:rsidR="00AB79D1" w:rsidRPr="00AB79D1" w:rsidRDefault="00AB79D1" w:rsidP="00AB7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79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62, 69, 75</w:t>
            </w:r>
          </w:p>
        </w:tc>
        <w:tc>
          <w:tcPr>
            <w:tcW w:w="0" w:type="auto"/>
            <w:vAlign w:val="center"/>
            <w:hideMark/>
          </w:tcPr>
          <w:p w:rsidR="00AB79D1" w:rsidRPr="00AB79D1" w:rsidRDefault="00AB79D1" w:rsidP="00AB7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79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Textos secundários e informações</w:t>
            </w:r>
          </w:p>
        </w:tc>
      </w:tr>
      <w:tr w:rsidR="00AB79D1" w:rsidRPr="00AB79D1" w:rsidTr="00AB79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9D1" w:rsidRPr="00AB79D1" w:rsidRDefault="00AB79D1" w:rsidP="00AB7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7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Branco Puro</w:t>
            </w:r>
          </w:p>
        </w:tc>
        <w:tc>
          <w:tcPr>
            <w:tcW w:w="0" w:type="auto"/>
            <w:vAlign w:val="center"/>
            <w:hideMark/>
          </w:tcPr>
          <w:p w:rsidR="00AB79D1" w:rsidRPr="00AB79D1" w:rsidRDefault="00AB79D1" w:rsidP="00AB7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79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Branco</w:t>
            </w:r>
          </w:p>
        </w:tc>
        <w:tc>
          <w:tcPr>
            <w:tcW w:w="0" w:type="auto"/>
            <w:vAlign w:val="center"/>
            <w:hideMark/>
          </w:tcPr>
          <w:p w:rsidR="00AB79D1" w:rsidRPr="00AB79D1" w:rsidRDefault="00AB79D1" w:rsidP="00AB7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7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#FFFFFF</w:t>
            </w:r>
          </w:p>
        </w:tc>
        <w:tc>
          <w:tcPr>
            <w:tcW w:w="0" w:type="auto"/>
            <w:vAlign w:val="center"/>
            <w:hideMark/>
          </w:tcPr>
          <w:p w:rsidR="00AB79D1" w:rsidRPr="00AB79D1" w:rsidRDefault="00AB79D1" w:rsidP="00AB7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79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255, 255, 255</w:t>
            </w:r>
          </w:p>
        </w:tc>
        <w:tc>
          <w:tcPr>
            <w:tcW w:w="0" w:type="auto"/>
            <w:vAlign w:val="center"/>
            <w:hideMark/>
          </w:tcPr>
          <w:p w:rsidR="00AB79D1" w:rsidRPr="00AB79D1" w:rsidRDefault="00AB79D1" w:rsidP="00AB7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79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Fundo e contraste</w:t>
            </w:r>
          </w:p>
        </w:tc>
      </w:tr>
    </w:tbl>
    <w:p w:rsidR="00AB79D1" w:rsidRPr="00AB79D1" w:rsidRDefault="00AB79D1" w:rsidP="00AB7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B79D1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🔤</w:t>
      </w:r>
      <w:r w:rsidRPr="00AB79D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Tipografia</w:t>
      </w:r>
    </w:p>
    <w:p w:rsidR="00AB79D1" w:rsidRPr="00AB79D1" w:rsidRDefault="00AB79D1" w:rsidP="00AB7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79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manter a estética </w:t>
      </w:r>
      <w:proofErr w:type="spellStart"/>
      <w:r w:rsidRPr="00AB79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fintech</w:t>
      </w:r>
      <w:proofErr w:type="spellEnd"/>
      <w:r w:rsidRPr="00AB79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, tecnológica e institucional</w:t>
      </w:r>
      <w:r w:rsidRPr="00AB79D1">
        <w:rPr>
          <w:rFonts w:ascii="Times New Roman" w:eastAsia="Times New Roman" w:hAnsi="Times New Roman" w:cs="Times New Roman"/>
          <w:sz w:val="24"/>
          <w:szCs w:val="24"/>
          <w:lang w:eastAsia="pt-BR"/>
        </w:rPr>
        <w:t>, recomendo:</w:t>
      </w:r>
    </w:p>
    <w:p w:rsidR="00AB79D1" w:rsidRPr="00AB79D1" w:rsidRDefault="00AB79D1" w:rsidP="00AB7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79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Fonte principal — Montserrat</w:t>
      </w:r>
    </w:p>
    <w:p w:rsidR="00AB79D1" w:rsidRPr="00AB79D1" w:rsidRDefault="00AB79D1" w:rsidP="00AB79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79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Logo: </w:t>
      </w:r>
      <w:r w:rsidRPr="00AB79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Montserrat </w:t>
      </w:r>
      <w:proofErr w:type="spellStart"/>
      <w:r w:rsidRPr="00AB79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ExtraBold</w:t>
      </w:r>
      <w:proofErr w:type="spellEnd"/>
      <w:r w:rsidRPr="00AB79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/ </w:t>
      </w:r>
      <w:proofErr w:type="spellStart"/>
      <w:r w:rsidRPr="00AB79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Bold</w:t>
      </w:r>
      <w:proofErr w:type="spellEnd"/>
      <w:r w:rsidRPr="00AB79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AB79D1" w:rsidRPr="00AB79D1" w:rsidRDefault="00AB79D1" w:rsidP="00AB79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79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Títulos: </w:t>
      </w:r>
      <w:r w:rsidRPr="00AB79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Montserrat </w:t>
      </w:r>
      <w:proofErr w:type="spellStart"/>
      <w:r w:rsidRPr="00AB79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Bold</w:t>
      </w:r>
      <w:proofErr w:type="spellEnd"/>
      <w:r w:rsidRPr="00AB79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AB79D1" w:rsidRPr="00AB79D1" w:rsidRDefault="00AB79D1" w:rsidP="00AB79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79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Subtítulos: </w:t>
      </w:r>
      <w:r w:rsidRPr="00AB79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Montserrat </w:t>
      </w:r>
      <w:proofErr w:type="spellStart"/>
      <w:r w:rsidRPr="00AB79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SemiBold</w:t>
      </w:r>
      <w:proofErr w:type="spellEnd"/>
      <w:r w:rsidRPr="00AB79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AB79D1" w:rsidRPr="00AB79D1" w:rsidRDefault="00AB79D1" w:rsidP="00AB79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79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Textos: </w:t>
      </w:r>
      <w:r w:rsidRPr="00AB79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Montserrat Regular</w:t>
      </w:r>
      <w:r w:rsidRPr="00AB79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AB79D1" w:rsidRPr="00AB79D1" w:rsidRDefault="00AB79D1" w:rsidP="00AB7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79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Fonte alternativa/complementar — Inter</w:t>
      </w:r>
    </w:p>
    <w:p w:rsidR="00AB79D1" w:rsidRPr="00AB79D1" w:rsidRDefault="00AB79D1" w:rsidP="00AB79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79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Textos longos </w:t>
      </w:r>
    </w:p>
    <w:p w:rsidR="00AB79D1" w:rsidRPr="00AB79D1" w:rsidRDefault="00AB79D1" w:rsidP="00AB79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B79D1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Dashboards</w:t>
      </w:r>
      <w:proofErr w:type="spellEnd"/>
      <w:r w:rsidRPr="00AB79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AB79D1" w:rsidRPr="00AB79D1" w:rsidRDefault="00AB79D1" w:rsidP="00AB79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79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Sistema da plataforma </w:t>
      </w:r>
    </w:p>
    <w:p w:rsidR="00AB79D1" w:rsidRPr="00AB79D1" w:rsidRDefault="00AB79D1" w:rsidP="00AB79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79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Botões e elementos de interface </w:t>
      </w:r>
    </w:p>
    <w:p w:rsidR="00AB79D1" w:rsidRPr="00AB79D1" w:rsidRDefault="00AB79D1" w:rsidP="00AB7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79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combinação </w:t>
      </w:r>
      <w:r w:rsidRPr="00AB79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Montserrat + Inter</w:t>
      </w:r>
      <w:r w:rsidRPr="00AB79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funciona particularmente bem para a </w:t>
      </w:r>
      <w:proofErr w:type="spellStart"/>
      <w:r w:rsidRPr="00AB79D1">
        <w:rPr>
          <w:rFonts w:ascii="Times New Roman" w:eastAsia="Times New Roman" w:hAnsi="Times New Roman" w:cs="Times New Roman"/>
          <w:sz w:val="24"/>
          <w:szCs w:val="24"/>
          <w:lang w:eastAsia="pt-BR"/>
        </w:rPr>
        <w:t>KotasPay</w:t>
      </w:r>
      <w:proofErr w:type="spellEnd"/>
      <w:r w:rsidRPr="00AB79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porque separa a comunicação de marca da experiência digital do produto.</w:t>
      </w:r>
    </w:p>
    <w:p w:rsidR="00AB79D1" w:rsidRPr="00AB79D1" w:rsidRDefault="00AB79D1" w:rsidP="00AB7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B79D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🟢 Aplicação na logomarca</w:t>
      </w:r>
    </w:p>
    <w:p w:rsidR="00AB79D1" w:rsidRPr="00AB79D1" w:rsidRDefault="00AB79D1" w:rsidP="00AB7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B79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Kotas</w:t>
      </w:r>
      <w:proofErr w:type="spellEnd"/>
      <w:r w:rsidRPr="00AB79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</w:t>
      </w:r>
      <w:r w:rsidRPr="00AB79D1">
        <w:rPr>
          <w:rFonts w:ascii="Courier New" w:eastAsia="Times New Roman" w:hAnsi="Courier New" w:cs="Courier New"/>
          <w:sz w:val="20"/>
          <w:szCs w:val="20"/>
          <w:lang w:eastAsia="pt-BR"/>
        </w:rPr>
        <w:t>#0B1F33</w:t>
      </w:r>
      <w:r w:rsidRPr="00AB79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Representa </w:t>
      </w:r>
      <w:r w:rsidRPr="00AB79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confiança, segurança, solidez e institucionalidade</w:t>
      </w:r>
      <w:r w:rsidRPr="00AB79D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B79D1" w:rsidRPr="00AB79D1" w:rsidRDefault="00AB79D1" w:rsidP="00AB7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B79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Pay</w:t>
      </w:r>
      <w:proofErr w:type="spellEnd"/>
      <w:r w:rsidRPr="00AB79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</w:t>
      </w:r>
      <w:r w:rsidRPr="00AB79D1">
        <w:rPr>
          <w:rFonts w:ascii="Courier New" w:eastAsia="Times New Roman" w:hAnsi="Courier New" w:cs="Courier New"/>
          <w:sz w:val="20"/>
          <w:szCs w:val="20"/>
          <w:lang w:eastAsia="pt-BR"/>
        </w:rPr>
        <w:t>#16A36A</w:t>
      </w:r>
      <w:r w:rsidRPr="00AB79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Representa </w:t>
      </w:r>
      <w:r w:rsidRPr="00AB79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movimentação financeira, crescimento, resultados e inovação</w:t>
      </w:r>
      <w:r w:rsidRPr="00AB79D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B79D1" w:rsidRPr="00AB79D1" w:rsidRDefault="00AB79D1" w:rsidP="00AB7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79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Símbolo K</w:t>
      </w:r>
      <w:r w:rsidRPr="00AB79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gradiente entre:</w:t>
      </w:r>
    </w:p>
    <w:p w:rsidR="00AB79D1" w:rsidRPr="00AB79D1" w:rsidRDefault="00AB79D1" w:rsidP="00AB7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79D1">
        <w:rPr>
          <w:rFonts w:ascii="Courier New" w:eastAsia="Times New Roman" w:hAnsi="Courier New" w:cs="Courier New"/>
          <w:sz w:val="20"/>
          <w:szCs w:val="20"/>
          <w:lang w:eastAsia="pt-BR"/>
        </w:rPr>
        <w:t>#0B1F33 → #123F52 → #16A36A → #55D6A6</w:t>
      </w:r>
    </w:p>
    <w:p w:rsidR="00AB79D1" w:rsidRPr="00AB79D1" w:rsidRDefault="00AB79D1" w:rsidP="00AB7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79D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Esse gradiente reforça a ideia de </w:t>
      </w:r>
      <w:r w:rsidRPr="00AB79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convergência, conexão e fluxo financeiro</w:t>
      </w:r>
      <w:r w:rsidRPr="00AB79D1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é coerente com o conceito do símbolo.</w:t>
      </w:r>
    </w:p>
    <w:p w:rsidR="00AB79D1" w:rsidRPr="00AB79D1" w:rsidRDefault="00AB79D1" w:rsidP="00AB7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B79D1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📐</w:t>
      </w:r>
      <w:r w:rsidRPr="00AB79D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Sistema visual recomendado</w:t>
      </w:r>
    </w:p>
    <w:p w:rsidR="00AB79D1" w:rsidRPr="00AB79D1" w:rsidRDefault="00AB79D1" w:rsidP="00AB7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B79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KotasPay</w:t>
      </w:r>
      <w:proofErr w:type="spellEnd"/>
    </w:p>
    <w:p w:rsidR="00AB79D1" w:rsidRPr="00AB79D1" w:rsidRDefault="00AB79D1" w:rsidP="00AB79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79D1">
        <w:rPr>
          <w:rFonts w:ascii="Times New Roman" w:eastAsia="Times New Roman" w:hAnsi="Times New Roman" w:cs="Times New Roman"/>
          <w:sz w:val="24"/>
          <w:szCs w:val="24"/>
          <w:lang w:eastAsia="pt-BR"/>
        </w:rPr>
        <w:t>Gestão | Transparência | Resultados</w:t>
      </w:r>
    </w:p>
    <w:p w:rsidR="00AB79D1" w:rsidRPr="00AB79D1" w:rsidRDefault="00AB79D1" w:rsidP="00AB7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79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Cor primária:</w:t>
      </w:r>
      <w:r w:rsidRPr="00AB79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B79D1">
        <w:rPr>
          <w:rFonts w:ascii="Courier New" w:eastAsia="Times New Roman" w:hAnsi="Courier New" w:cs="Courier New"/>
          <w:sz w:val="20"/>
          <w:szCs w:val="20"/>
          <w:lang w:eastAsia="pt-BR"/>
        </w:rPr>
        <w:t>#0B1F33</w:t>
      </w:r>
      <w:r w:rsidRPr="00AB79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B79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Cor de ação/CTA:</w:t>
      </w:r>
      <w:r w:rsidRPr="00AB79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B79D1">
        <w:rPr>
          <w:rFonts w:ascii="Courier New" w:eastAsia="Times New Roman" w:hAnsi="Courier New" w:cs="Courier New"/>
          <w:sz w:val="20"/>
          <w:szCs w:val="20"/>
          <w:lang w:eastAsia="pt-BR"/>
        </w:rPr>
        <w:t>#16A36A</w:t>
      </w:r>
      <w:r w:rsidRPr="00AB79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B79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Cor tecnológica:</w:t>
      </w:r>
      <w:r w:rsidRPr="00AB79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B79D1">
        <w:rPr>
          <w:rFonts w:ascii="Courier New" w:eastAsia="Times New Roman" w:hAnsi="Courier New" w:cs="Courier New"/>
          <w:sz w:val="20"/>
          <w:szCs w:val="20"/>
          <w:lang w:eastAsia="pt-BR"/>
        </w:rPr>
        <w:t>#123F52</w:t>
      </w:r>
      <w:r w:rsidRPr="00AB79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B79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Cor de destaque:</w:t>
      </w:r>
      <w:r w:rsidRPr="00AB79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B79D1">
        <w:rPr>
          <w:rFonts w:ascii="Courier New" w:eastAsia="Times New Roman" w:hAnsi="Courier New" w:cs="Courier New"/>
          <w:sz w:val="20"/>
          <w:szCs w:val="20"/>
          <w:lang w:eastAsia="pt-BR"/>
        </w:rPr>
        <w:t>#55D6A6</w:t>
      </w:r>
      <w:r w:rsidRPr="00AB79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B79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Neutro:</w:t>
      </w:r>
      <w:r w:rsidRPr="00AB79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B79D1">
        <w:rPr>
          <w:rFonts w:ascii="Courier New" w:eastAsia="Times New Roman" w:hAnsi="Courier New" w:cs="Courier New"/>
          <w:sz w:val="20"/>
          <w:szCs w:val="20"/>
          <w:lang w:eastAsia="pt-BR"/>
        </w:rPr>
        <w:t>#3E454B</w:t>
      </w:r>
      <w:r w:rsidRPr="00AB79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B79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Fundo:</w:t>
      </w:r>
      <w:r w:rsidRPr="00AB79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B79D1">
        <w:rPr>
          <w:rFonts w:ascii="Courier New" w:eastAsia="Times New Roman" w:hAnsi="Courier New" w:cs="Courier New"/>
          <w:sz w:val="20"/>
          <w:szCs w:val="20"/>
          <w:lang w:eastAsia="pt-BR"/>
        </w:rPr>
        <w:t>#FFFFFF</w:t>
      </w:r>
    </w:p>
    <w:p w:rsidR="00AB79D1" w:rsidRPr="00AB79D1" w:rsidRDefault="00AB79D1" w:rsidP="00AB7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79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Observação importante:</w:t>
      </w:r>
      <w:r w:rsidRPr="00AB79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a logomarca foi gerada visualmente e não a partir de um arquivo vetorial com especificação de identidade, esses códigos devem ser tratados como a </w:t>
      </w:r>
      <w:r w:rsidRPr="00AB79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paleta técnica recomendada da identidade </w:t>
      </w:r>
      <w:proofErr w:type="spellStart"/>
      <w:r w:rsidRPr="00AB79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KotasPay</w:t>
      </w:r>
      <w:proofErr w:type="spellEnd"/>
      <w:r w:rsidRPr="00AB79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 não como uma leitura espectrofotométrica exata da imagem original. Para produção profissional, o ideal é consolidarmos isso em um </w:t>
      </w:r>
      <w:r w:rsidRPr="00AB79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Manual de Identidade Visual</w:t>
      </w:r>
      <w:r w:rsidRPr="00AB79D1">
        <w:rPr>
          <w:rFonts w:ascii="Times New Roman" w:eastAsia="Times New Roman" w:hAnsi="Times New Roman" w:cs="Times New Roman"/>
          <w:sz w:val="24"/>
          <w:szCs w:val="24"/>
          <w:lang w:eastAsia="pt-BR"/>
        </w:rPr>
        <w:t>, incluindo códigos HEX, RGB, CMYK, versões para fundo claro/escuro, tipografia, área de proteção e reduções mínimas.</w:t>
      </w:r>
    </w:p>
    <w:p w:rsidR="00AB79D1" w:rsidRPr="0013332C" w:rsidRDefault="00AB79D1" w:rsidP="001333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3332C" w:rsidRDefault="0013332C" w:rsidP="0013332C">
      <w:pPr>
        <w:jc w:val="both"/>
      </w:pPr>
    </w:p>
    <w:sectPr w:rsidR="001333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86D5E"/>
    <w:multiLevelType w:val="multilevel"/>
    <w:tmpl w:val="0B9A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42FED"/>
    <w:multiLevelType w:val="multilevel"/>
    <w:tmpl w:val="9A46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04FB5"/>
    <w:multiLevelType w:val="multilevel"/>
    <w:tmpl w:val="1222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573FD"/>
    <w:multiLevelType w:val="multilevel"/>
    <w:tmpl w:val="068E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67950"/>
    <w:multiLevelType w:val="multilevel"/>
    <w:tmpl w:val="8C16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20695"/>
    <w:multiLevelType w:val="multilevel"/>
    <w:tmpl w:val="713E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9F447A"/>
    <w:multiLevelType w:val="multilevel"/>
    <w:tmpl w:val="9526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32C"/>
    <w:rsid w:val="0004497A"/>
    <w:rsid w:val="0013332C"/>
    <w:rsid w:val="00161355"/>
    <w:rsid w:val="00465F09"/>
    <w:rsid w:val="00571839"/>
    <w:rsid w:val="008B17CB"/>
    <w:rsid w:val="00AB79D1"/>
    <w:rsid w:val="00AF15A0"/>
    <w:rsid w:val="00B20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CB363"/>
  <w15:chartTrackingRefBased/>
  <w15:docId w15:val="{DD549DFB-5AD1-4D38-996D-E16F73D02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1333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13332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pdq2pgselectionanchorcontainer">
    <w:name w:val="pdq2pg_selectionanchorcontainer"/>
    <w:basedOn w:val="Normal"/>
    <w:rsid w:val="001333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3332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333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AB79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89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778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94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39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6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4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831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1000</Words>
  <Characters>5404</Characters>
  <Application>Microsoft Office Word</Application>
  <DocSecurity>0</DocSecurity>
  <Lines>45</Lines>
  <Paragraphs>12</Paragraphs>
  <ScaleCrop>false</ScaleCrop>
  <Company>HP Inc.</Company>
  <LinksUpToDate>false</LinksUpToDate>
  <CharactersWithSpaces>6392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Oliveira Miranda Filho</dc:creator>
  <cp:keywords/>
  <dc:description/>
  <cp:lastModifiedBy>Vicente Oliveira Miranda Filho</cp:lastModifiedBy>
  <cp:revision>2</cp:revision>
  <dcterms:created xsi:type="dcterms:W3CDTF">2026-09-28T11:19:00Z</dcterms:created>
  <dcterms:modified xsi:type="dcterms:W3CDTF">2026-09-28T11:45:00Z</dcterms:modified>
</cp:coreProperties>
</file>