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231F20"/>
          <w:sz w:val="52"/>
          <w:szCs w:val="52"/>
        </w:rPr>
      </w:pPr>
      <w:r>
        <w:rPr>
          <w:rFonts w:ascii="Frutiger-Bold" w:hAnsi="Frutiger-Bold" w:cs="Frutiger-Bold"/>
          <w:b/>
          <w:bCs/>
          <w:color w:val="231F20"/>
          <w:sz w:val="52"/>
          <w:szCs w:val="52"/>
        </w:rPr>
        <w:t>M</w:t>
      </w:r>
      <w:r>
        <w:rPr>
          <w:rFonts w:ascii="Frutiger-Bold" w:hAnsi="Frutiger-Bold" w:cs="Frutiger-Bold"/>
          <w:b/>
          <w:bCs/>
          <w:color w:val="231F20"/>
          <w:sz w:val="36"/>
          <w:szCs w:val="36"/>
        </w:rPr>
        <w:t xml:space="preserve">ELHORES </w:t>
      </w:r>
      <w:r>
        <w:rPr>
          <w:rFonts w:ascii="Frutiger-Bold" w:hAnsi="Frutiger-Bold" w:cs="Frutiger-Bold"/>
          <w:b/>
          <w:bCs/>
          <w:color w:val="231F20"/>
          <w:sz w:val="52"/>
          <w:szCs w:val="52"/>
        </w:rPr>
        <w:t>P</w:t>
      </w:r>
      <w:r>
        <w:rPr>
          <w:rFonts w:ascii="Frutiger-Bold" w:hAnsi="Frutiger-Bold" w:cs="Frutiger-Bold"/>
          <w:b/>
          <w:bCs/>
          <w:color w:val="231F20"/>
          <w:sz w:val="36"/>
          <w:szCs w:val="36"/>
        </w:rPr>
        <w:t xml:space="preserve">RÁTICAS DA </w:t>
      </w:r>
      <w:r>
        <w:rPr>
          <w:rFonts w:ascii="Frutiger-Bold" w:hAnsi="Frutiger-Bold" w:cs="Frutiger-Bold"/>
          <w:b/>
          <w:bCs/>
          <w:color w:val="231F20"/>
          <w:sz w:val="52"/>
          <w:szCs w:val="52"/>
        </w:rPr>
        <w:t>OCDE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231F20"/>
          <w:sz w:val="36"/>
          <w:szCs w:val="36"/>
        </w:rPr>
      </w:pPr>
      <w:r>
        <w:rPr>
          <w:rFonts w:ascii="Frutiger-Bold" w:hAnsi="Frutiger-Bold" w:cs="Frutiger-Bold"/>
          <w:b/>
          <w:bCs/>
          <w:color w:val="231F20"/>
          <w:sz w:val="36"/>
          <w:szCs w:val="36"/>
        </w:rPr>
        <w:t xml:space="preserve">PARA A </w:t>
      </w:r>
      <w:r>
        <w:rPr>
          <w:rFonts w:ascii="Frutiger-Bold" w:hAnsi="Frutiger-Bold" w:cs="Frutiger-Bold"/>
          <w:b/>
          <w:bCs/>
          <w:color w:val="231F20"/>
          <w:sz w:val="52"/>
          <w:szCs w:val="52"/>
        </w:rPr>
        <w:t>T</w:t>
      </w:r>
      <w:r>
        <w:rPr>
          <w:rFonts w:ascii="Frutiger-Bold" w:hAnsi="Frutiger-Bold" w:cs="Frutiger-Bold"/>
          <w:b/>
          <w:bCs/>
          <w:color w:val="231F20"/>
          <w:sz w:val="36"/>
          <w:szCs w:val="36"/>
        </w:rPr>
        <w:t>RANSPARÊNCIA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231F20"/>
          <w:sz w:val="36"/>
          <w:szCs w:val="36"/>
        </w:rPr>
      </w:pPr>
      <w:r>
        <w:rPr>
          <w:rFonts w:ascii="Frutiger-Bold" w:hAnsi="Frutiger-Bold" w:cs="Frutiger-Bold"/>
          <w:b/>
          <w:bCs/>
          <w:color w:val="231F20"/>
          <w:sz w:val="52"/>
          <w:szCs w:val="52"/>
        </w:rPr>
        <w:t>O</w:t>
      </w:r>
      <w:r>
        <w:rPr>
          <w:rFonts w:ascii="Frutiger-Bold" w:hAnsi="Frutiger-Bold" w:cs="Frutiger-Bold"/>
          <w:b/>
          <w:bCs/>
          <w:color w:val="231F20"/>
          <w:sz w:val="36"/>
          <w:szCs w:val="36"/>
        </w:rPr>
        <w:t>RÇAMENTÁRIA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25"/>
          <w:szCs w:val="25"/>
        </w:rPr>
        <w:t>I</w:t>
      </w:r>
      <w:r>
        <w:rPr>
          <w:rFonts w:ascii="Frutiger-Roman" w:hAnsi="Frutiger-Roman" w:cs="Frutiger-Roman"/>
          <w:color w:val="231F20"/>
          <w:sz w:val="18"/>
          <w:szCs w:val="18"/>
        </w:rPr>
        <w:t>NTRODUÇÃO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 relação entre a boa governança e melhores resultados econômicos 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sociais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é cada vez mais reconhecida. A transparência – abertura com respeito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intenções, à formulação e à implementação de políticas – é um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elemento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fundamental para a boa governança. O orçamento é documento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política particular mais importante dos governos, no qual os objetivos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política são harmonizados e implementados em termos concretos. 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transparência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orçamentária é definida como a divulgação integral de todas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informações fiscais relevantes, de modo tempestivo e sistemático.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 xml:space="preserve">Os países membros da OCDE </w:t>
      </w: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encontram-se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em patamar avançado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com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respeito às práticas de transparência orçamentária. Em sua reunião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anual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 1999, o Grupo de Trabalho de Especialistas em Orçamento da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OCDE solicitou ao secretariado a preparação, em conjunto, de uma coleção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Melhores Práticas </w:t>
      </w:r>
      <w:r>
        <w:rPr>
          <w:rFonts w:ascii="Garamond-Light" w:hAnsi="Garamond-Light" w:cs="Garamond-Light"/>
          <w:color w:val="231F20"/>
          <w:sz w:val="23"/>
          <w:szCs w:val="23"/>
        </w:rPr>
        <w:t>na área, com base nas experiências do países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membros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 xml:space="preserve">As 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Melhores Práticas </w:t>
      </w:r>
      <w:r>
        <w:rPr>
          <w:rFonts w:ascii="Garamond-Light" w:hAnsi="Garamond-Light" w:cs="Garamond-Light"/>
          <w:color w:val="231F20"/>
          <w:sz w:val="23"/>
          <w:szCs w:val="23"/>
        </w:rPr>
        <w:t>foram agrupadas em três partes. A Parte I enumera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principais relatórios orçamentários que os governos devem produzir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seu conteúdo geral. A Parte II descreve as informações específicas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serem divulgadas, contidas no relatório, o que inclui tanto informações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desempenho financeiro como não financeiro. A Parte III ressalta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práticas adequadas para se assegurar a qualidade e a integridade dos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relatórios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 xml:space="preserve">As 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Melhores Práticas </w:t>
      </w:r>
      <w:r>
        <w:rPr>
          <w:rFonts w:ascii="Garamond-Light" w:hAnsi="Garamond-Light" w:cs="Garamond-Light"/>
          <w:color w:val="231F20"/>
          <w:sz w:val="23"/>
          <w:szCs w:val="23"/>
        </w:rPr>
        <w:t>foram concebidas como ferramenta de referência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para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que países membros e não membros utilizem com o intuito de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incrementar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 grau de transparência orçamentária. As 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>Melhores Práticas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organizam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-se em torno de relatórios específicos, exclusivamente para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LIVRO ETICA </w:t>
      </w:r>
      <w:proofErr w:type="spellStart"/>
      <w:proofErr w:type="gramStart"/>
      <w:r>
        <w:rPr>
          <w:rFonts w:ascii="Arial" w:hAnsi="Arial" w:cs="Arial"/>
          <w:color w:val="000000"/>
          <w:sz w:val="12"/>
          <w:szCs w:val="12"/>
        </w:rPr>
        <w:t>correcao</w:t>
      </w:r>
      <w:proofErr w:type="spellEnd"/>
      <w:r>
        <w:rPr>
          <w:rFonts w:ascii="Arial" w:hAnsi="Arial" w:cs="Arial"/>
          <w:color w:val="000000"/>
          <w:sz w:val="12"/>
          <w:szCs w:val="12"/>
        </w:rPr>
        <w:t>.</w:t>
      </w:r>
      <w:proofErr w:type="spellStart"/>
      <w:proofErr w:type="gramEnd"/>
      <w:r>
        <w:rPr>
          <w:rFonts w:ascii="Arial" w:hAnsi="Arial" w:cs="Arial"/>
          <w:color w:val="000000"/>
          <w:sz w:val="12"/>
          <w:szCs w:val="12"/>
        </w:rPr>
        <w:t>pmd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271 01/01/03, 17:00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18"/>
          <w:szCs w:val="18"/>
        </w:rPr>
        <w:t>272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fins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 apresentação. Reconhece-se que diferentes países serão dotados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diferentes regimes de exposição de informações, e poderão enfatizar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diferentes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áreas com respeito à transparência. As 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Melhores Práticas </w:t>
      </w:r>
      <w:r>
        <w:rPr>
          <w:rFonts w:ascii="Garamond-Light" w:hAnsi="Garamond-Light" w:cs="Garamond-Light"/>
          <w:color w:val="231F20"/>
          <w:sz w:val="23"/>
          <w:szCs w:val="23"/>
        </w:rPr>
        <w:t>baseiam-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nas experiências de diferentes países membros em cada área.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 xml:space="preserve">Deve-se salientar que as 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Melhores Práticas </w:t>
      </w:r>
      <w:r>
        <w:rPr>
          <w:rFonts w:ascii="Garamond-Light" w:hAnsi="Garamond-Light" w:cs="Garamond-Light"/>
          <w:color w:val="231F20"/>
          <w:sz w:val="23"/>
          <w:szCs w:val="23"/>
        </w:rPr>
        <w:t>não pretendem constituir “padrão”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formal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para a transparência orçamentária.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 xml:space="preserve">As 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Melhores Práticas </w:t>
      </w:r>
      <w:r>
        <w:rPr>
          <w:rFonts w:ascii="Garamond-Light" w:hAnsi="Garamond-Light" w:cs="Garamond-Light"/>
          <w:color w:val="231F20"/>
          <w:sz w:val="23"/>
          <w:szCs w:val="23"/>
        </w:rPr>
        <w:t>definem “governo” em consonância com o Sistema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Contas Nacionais (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System </w:t>
      </w:r>
      <w:proofErr w:type="spellStart"/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>of</w:t>
      </w:r>
      <w:proofErr w:type="spellEnd"/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 </w:t>
      </w:r>
      <w:proofErr w:type="spellStart"/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>National</w:t>
      </w:r>
      <w:proofErr w:type="spellEnd"/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 </w:t>
      </w:r>
      <w:proofErr w:type="spellStart"/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>Accounts</w:t>
      </w:r>
      <w:proofErr w:type="spellEnd"/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>, SNA</w:t>
      </w:r>
      <w:r>
        <w:rPr>
          <w:rFonts w:ascii="Garamond-Light" w:hAnsi="Garamond-Light" w:cs="Garamond-Light"/>
          <w:color w:val="231F20"/>
          <w:sz w:val="23"/>
          <w:szCs w:val="23"/>
        </w:rPr>
        <w:t>). A definição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SNA abrange as atividades não comerciais do governo. Especificamente,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atividades de empresas estatais são excluídas da definição.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Apesar da definição da SNA enfocar o governo como um todo, ou seja, 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consolidação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 todos os níveis de governo, as Melhores Práticas devem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aplicadas ao governo nacional somente.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proofErr w:type="gramStart"/>
      <w:r>
        <w:rPr>
          <w:rFonts w:ascii="Frutiger-Roman" w:hAnsi="Frutiger-Roman" w:cs="Frutiger-Roman"/>
          <w:color w:val="231F20"/>
          <w:sz w:val="25"/>
          <w:szCs w:val="25"/>
        </w:rPr>
        <w:t>1</w:t>
      </w:r>
      <w:proofErr w:type="gramEnd"/>
      <w:r>
        <w:rPr>
          <w:rFonts w:ascii="Frutiger-Roman" w:hAnsi="Frutiger-Roman" w:cs="Frutiger-Roman"/>
          <w:color w:val="231F20"/>
          <w:sz w:val="25"/>
          <w:szCs w:val="25"/>
        </w:rPr>
        <w:t xml:space="preserve"> R</w:t>
      </w:r>
      <w:r>
        <w:rPr>
          <w:rFonts w:ascii="Frutiger-Roman" w:hAnsi="Frutiger-Roman" w:cs="Frutiger-Roman"/>
          <w:color w:val="231F20"/>
          <w:sz w:val="18"/>
          <w:szCs w:val="18"/>
        </w:rPr>
        <w:t xml:space="preserve">ELATÓRIOS </w:t>
      </w:r>
      <w:r>
        <w:rPr>
          <w:rFonts w:ascii="Frutiger-Roman" w:hAnsi="Frutiger-Roman" w:cs="Frutiger-Roman"/>
          <w:color w:val="231F20"/>
          <w:sz w:val="25"/>
          <w:szCs w:val="25"/>
        </w:rPr>
        <w:t>O</w:t>
      </w:r>
      <w:r>
        <w:rPr>
          <w:rFonts w:ascii="Frutiger-Roman" w:hAnsi="Frutiger-Roman" w:cs="Frutiger-Roman"/>
          <w:color w:val="231F20"/>
          <w:sz w:val="18"/>
          <w:szCs w:val="18"/>
        </w:rPr>
        <w:t>RÇAMENTÁRIOS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r>
        <w:rPr>
          <w:rFonts w:ascii="Frutiger-Roman" w:hAnsi="Frutiger-Roman" w:cs="Frutiger-Roman"/>
          <w:color w:val="231F20"/>
          <w:sz w:val="23"/>
          <w:szCs w:val="23"/>
        </w:rPr>
        <w:t>1.1 O Orçamento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orçamento é o principal documento de políticas do governo. Deve ter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caráter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abrangente, abarcar todas as receitas e despesas do governo, de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modo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que necessários </w:t>
      </w:r>
      <w:proofErr w:type="spellStart"/>
      <w:r>
        <w:rPr>
          <w:rFonts w:ascii="Garamond-Light" w:hAnsi="Garamond-Light" w:cs="Garamond-Light"/>
          <w:color w:val="231F20"/>
          <w:sz w:val="23"/>
          <w:szCs w:val="23"/>
        </w:rPr>
        <w:t>trade-offs</w:t>
      </w:r>
      <w:proofErr w:type="spellEnd"/>
      <w:r>
        <w:rPr>
          <w:rFonts w:ascii="Garamond-Light" w:hAnsi="Garamond-Light" w:cs="Garamond-Light"/>
          <w:color w:val="231F20"/>
          <w:sz w:val="23"/>
          <w:szCs w:val="23"/>
        </w:rPr>
        <w:t xml:space="preserve"> entre diferentes opções de políticas podem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lastRenderedPageBreak/>
        <w:t>ser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avaliados.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 minuta de orçamento do governo deve ser submetida ao Parlamento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com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bastante antecedência, de forma a permitir que seja adequadamente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revisada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 Em hipótese alguma a submissão deve ocorrer em um período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inferior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 três meses anteriores ao início do ano fiscal, já que o orçamento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deve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 aprovado pelo Parlamento antes do início do ano fiscal.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orçamento, ou os documentos relacionados, deve incluir um comentário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detalhado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acerca de cada programa de receita e despesa.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Dados de desempenho não financeiros, incluindo metas de desempenho,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devem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 apresentados para os fins dos programas de despesas,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quando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exeqüível.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orçamento deve incluir uma perspectiva de médio prazo, que ilustre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como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 dará o desenvolvimento de receitas e despesas durante, ao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menos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dois anos após o ano fiscal seguinte. Do mesmo modo, a proposta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orçamentária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corrente deve ser harmonizada com as previsões contidas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relatórios fiscais anteriores para o mesmo período; todos os desvios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LIVRO ETICA </w:t>
      </w:r>
      <w:proofErr w:type="spellStart"/>
      <w:proofErr w:type="gramStart"/>
      <w:r>
        <w:rPr>
          <w:rFonts w:ascii="Arial" w:hAnsi="Arial" w:cs="Arial"/>
          <w:color w:val="000000"/>
          <w:sz w:val="12"/>
          <w:szCs w:val="12"/>
        </w:rPr>
        <w:t>correcao</w:t>
      </w:r>
      <w:proofErr w:type="spellEnd"/>
      <w:r>
        <w:rPr>
          <w:rFonts w:ascii="Arial" w:hAnsi="Arial" w:cs="Arial"/>
          <w:color w:val="000000"/>
          <w:sz w:val="12"/>
          <w:szCs w:val="12"/>
        </w:rPr>
        <w:t>.</w:t>
      </w:r>
      <w:proofErr w:type="spellStart"/>
      <w:proofErr w:type="gramEnd"/>
      <w:r>
        <w:rPr>
          <w:rFonts w:ascii="Arial" w:hAnsi="Arial" w:cs="Arial"/>
          <w:color w:val="000000"/>
          <w:sz w:val="12"/>
          <w:szCs w:val="12"/>
        </w:rPr>
        <w:t>pmd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272 01/01/03, 17:00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18"/>
          <w:szCs w:val="18"/>
        </w:rPr>
        <w:t>273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significativos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devem ser explicados.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Informações comparativas sobre as receitas e despesas reais durante 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último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ano e uma previsão atualizada para o ano corrente devem ser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fornecidas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para cada programa. Informações comparativas similares devem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providas para quaisquer dados de desempenho não financeiros.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Caso sejam autorizadas na legislação permanente receitas e despesas,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montantes de semelhantes receitas e despesas devem ser, não obstante,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indicados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no orçamento para fins informativos, juntamente com outras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receitas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 despesas.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As despesas devem ser apresentadas em valores brutos. Receitas com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destinação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específica e taxas devem ser claramente consideradas 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separado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 Tal ação deve ser empreendida independente de incentivos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particulares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ou sistemas de controle estipularem a retenção de parte ou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todas as receitas pelo órgão de arrecadação.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As despesas devem ser classificadas por unidade administrativa (por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exemplo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ministério, agência). Informações suplementares que classifiquem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despesas por categorias econômicas e funcionais também devem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apresentadas.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As hipóteses econômicas subjacentes ao relatório devem ser preparadas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conformidade com a Melhor Prática 2.1 (abaixo).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orçamento deve incluir uma discussão a respeito de despesas tributárias,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conformidade com a Melhor Prática 2.2 (abaixo).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orçamento deve conter uma discussão abrangente acerca dos ativos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passivos financeiros do governo, ativos não financeiros, obrigações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derivadas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do pagamento de inativos e responsabilidades contingentes,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conformidade com as 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Melhores Práticas </w:t>
      </w:r>
      <w:r>
        <w:rPr>
          <w:rFonts w:ascii="Garamond-Light" w:hAnsi="Garamond-Light" w:cs="Garamond-Light"/>
          <w:color w:val="231F20"/>
          <w:sz w:val="23"/>
          <w:szCs w:val="23"/>
        </w:rPr>
        <w:t>2.3-2.6 (abaixo).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proofErr w:type="gramStart"/>
      <w:r>
        <w:rPr>
          <w:rFonts w:ascii="Frutiger-Roman" w:hAnsi="Frutiger-Roman" w:cs="Frutiger-Roman"/>
          <w:color w:val="231F20"/>
          <w:sz w:val="23"/>
          <w:szCs w:val="23"/>
        </w:rPr>
        <w:t>I.</w:t>
      </w:r>
      <w:proofErr w:type="gramEnd"/>
      <w:r>
        <w:rPr>
          <w:rFonts w:ascii="Frutiger-Roman" w:hAnsi="Frutiger-Roman" w:cs="Frutiger-Roman"/>
          <w:color w:val="231F20"/>
          <w:sz w:val="23"/>
          <w:szCs w:val="23"/>
        </w:rPr>
        <w:t>2 Relatório Orçamentário Prévio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Um relatório orçamentário prévio tem por propósito encorajar o debate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acerca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dos agregados orçamentários e como interagem com a economia.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Como tal, também cria expectativas apropriadas com respeito ao próprio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orçamento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 Deve ser liberado, no mais tardar, um mês antes da introdução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proposta orçamentária.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relatório deve relatar explicitamente os objetivos de políticas econômicas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fiscais de longo prazo do governo e as intenções de políticas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econômicas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 fiscais do governo para o orçamento em discussão e, ao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LIVRO ETICA </w:t>
      </w:r>
      <w:proofErr w:type="spellStart"/>
      <w:proofErr w:type="gramStart"/>
      <w:r>
        <w:rPr>
          <w:rFonts w:ascii="Arial" w:hAnsi="Arial" w:cs="Arial"/>
          <w:color w:val="000000"/>
          <w:sz w:val="12"/>
          <w:szCs w:val="12"/>
        </w:rPr>
        <w:t>correcao</w:t>
      </w:r>
      <w:proofErr w:type="spellEnd"/>
      <w:r>
        <w:rPr>
          <w:rFonts w:ascii="Arial" w:hAnsi="Arial" w:cs="Arial"/>
          <w:color w:val="000000"/>
          <w:sz w:val="12"/>
          <w:szCs w:val="12"/>
        </w:rPr>
        <w:t>.</w:t>
      </w:r>
      <w:proofErr w:type="spellStart"/>
      <w:proofErr w:type="gramEnd"/>
      <w:r>
        <w:rPr>
          <w:rFonts w:ascii="Arial" w:hAnsi="Arial" w:cs="Arial"/>
          <w:color w:val="000000"/>
          <w:sz w:val="12"/>
          <w:szCs w:val="12"/>
        </w:rPr>
        <w:t>pmd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273 01/01/03, 17:00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18"/>
          <w:szCs w:val="18"/>
        </w:rPr>
        <w:lastRenderedPageBreak/>
        <w:t>274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menos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os dois anos fiscais posteriores. Deve salientar o nível total de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receita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despesa, déficit ou superávit e dívida.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As hipóteses econômicas subjacentes ao relatório devem ser preparadas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conformidade com a Melhor Prática 2.1 (abaixo).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proofErr w:type="gramStart"/>
      <w:r>
        <w:rPr>
          <w:rFonts w:ascii="Frutiger-Roman" w:hAnsi="Frutiger-Roman" w:cs="Frutiger-Roman"/>
          <w:color w:val="231F20"/>
          <w:sz w:val="23"/>
          <w:szCs w:val="23"/>
        </w:rPr>
        <w:t>I.</w:t>
      </w:r>
      <w:proofErr w:type="gramEnd"/>
      <w:r>
        <w:rPr>
          <w:rFonts w:ascii="Frutiger-Roman" w:hAnsi="Frutiger-Roman" w:cs="Frutiger-Roman"/>
          <w:color w:val="231F20"/>
          <w:sz w:val="23"/>
          <w:szCs w:val="23"/>
        </w:rPr>
        <w:t>3 Relatórios Mensais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 xml:space="preserve">Os relatórios mensais mostram o progresso na </w:t>
      </w: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implementação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do orçamento.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Devem ser divulgados até quatro semanas após o final de cada mês.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Os relatórios mensais devem conter o montante de receitas e despesas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cada mês e o montante acumulado no ano. </w:t>
      </w: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Deve-se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comparar 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montantes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reais com a previsão mensal de receitas e despesas para 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mesmo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período. Quaisquer ajustes à previsão original, para o exercício,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devem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 apresentados separadamente.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Um breve comentário deve acompanhar os dados numéricos. Caso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ocorra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divergência significativa entre os montantes reais e os previstos,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uma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explicação deve ser apresentada.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As despesas devem ser classificadas por unidades administrativas principais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(por exemplo, ministério, agência). Informações suplementares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que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classifiquem as despesas por categorias econômicas e funcionais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também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devem ser apresentadas.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Os relatórios, ou os documentos relacionados, devem também conter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informações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acerca dos empréstimos contraídos pelo governo (veja Melhor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Prática 2.3 abaixo)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proofErr w:type="gramStart"/>
      <w:r>
        <w:rPr>
          <w:rFonts w:ascii="Frutiger-Roman" w:hAnsi="Frutiger-Roman" w:cs="Frutiger-Roman"/>
          <w:color w:val="231F20"/>
          <w:sz w:val="23"/>
          <w:szCs w:val="23"/>
        </w:rPr>
        <w:t>I.</w:t>
      </w:r>
      <w:proofErr w:type="gramEnd"/>
      <w:r>
        <w:rPr>
          <w:rFonts w:ascii="Frutiger-Roman" w:hAnsi="Frutiger-Roman" w:cs="Frutiger-Roman"/>
          <w:color w:val="231F20"/>
          <w:sz w:val="23"/>
          <w:szCs w:val="23"/>
        </w:rPr>
        <w:t>4 Relatório de Meio Termo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relatório de meio termo proporciona uma atualização abrangente da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implementação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do orçamento, incluindo previsão atualizada do orçamento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 realizado no ano fiscal corrente e, ao menos, nos dois anos fiscais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posteriores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 O relatório deve ser divulgado até seis semanas após o fim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primeiro semestre do ano.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As hipóteses econômicas subjacentes ao orçamento devem ser revisadas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 impacto de quaisquer alterações no orçamento divulgado (veja 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Melhor Prática 2.1)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relatório de meio termo deve conter uma discussão abrangente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LIVRO ETICA </w:t>
      </w:r>
      <w:proofErr w:type="spellStart"/>
      <w:proofErr w:type="gramStart"/>
      <w:r>
        <w:rPr>
          <w:rFonts w:ascii="Arial" w:hAnsi="Arial" w:cs="Arial"/>
          <w:color w:val="000000"/>
          <w:sz w:val="12"/>
          <w:szCs w:val="12"/>
        </w:rPr>
        <w:t>correcao</w:t>
      </w:r>
      <w:proofErr w:type="spellEnd"/>
      <w:r>
        <w:rPr>
          <w:rFonts w:ascii="Arial" w:hAnsi="Arial" w:cs="Arial"/>
          <w:color w:val="000000"/>
          <w:sz w:val="12"/>
          <w:szCs w:val="12"/>
        </w:rPr>
        <w:t>.</w:t>
      </w:r>
      <w:proofErr w:type="spellStart"/>
      <w:proofErr w:type="gramEnd"/>
      <w:r>
        <w:rPr>
          <w:rFonts w:ascii="Arial" w:hAnsi="Arial" w:cs="Arial"/>
          <w:color w:val="000000"/>
          <w:sz w:val="12"/>
          <w:szCs w:val="12"/>
        </w:rPr>
        <w:t>pmd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274 01/01/03, 17:00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18"/>
          <w:szCs w:val="18"/>
        </w:rPr>
        <w:t>275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acerca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dos ativos e passivos financeiros do governo, ativos não financeiros,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obrigações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derivadas do pagamento de inativos e responsabilidades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contingentes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, em conformidade com as 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Melhores Práticas </w:t>
      </w:r>
      <w:r>
        <w:rPr>
          <w:rFonts w:ascii="Garamond-Light" w:hAnsi="Garamond-Light" w:cs="Garamond-Light"/>
          <w:color w:val="231F20"/>
          <w:sz w:val="23"/>
          <w:szCs w:val="23"/>
        </w:rPr>
        <w:t>2.3-2.6 (abaixo).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impacto de quaisquer outras decisões governamentais, ou de outras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circunstâncias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que possam exercer efeito material sobre o orçamento,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deve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 apresentado.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proofErr w:type="gramStart"/>
      <w:r>
        <w:rPr>
          <w:rFonts w:ascii="Frutiger-Roman" w:hAnsi="Frutiger-Roman" w:cs="Frutiger-Roman"/>
          <w:color w:val="231F20"/>
          <w:sz w:val="23"/>
          <w:szCs w:val="23"/>
        </w:rPr>
        <w:t>I.</w:t>
      </w:r>
      <w:proofErr w:type="gramEnd"/>
      <w:r>
        <w:rPr>
          <w:rFonts w:ascii="Frutiger-Roman" w:hAnsi="Frutiger-Roman" w:cs="Frutiger-Roman"/>
          <w:color w:val="231F20"/>
          <w:sz w:val="23"/>
          <w:szCs w:val="23"/>
        </w:rPr>
        <w:t>5 Relatório de Encerramento do Ano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relatório de encerramento do ano é o principal documento de prestação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contas do governo. Deve ser auditado pelo Órgão Superior de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Auditoria, em conformidade com a Melhor Prática 3.3 (abaixo), e divulgado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até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seis meses após o término do ano fiscal.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relatório de encerramento do ano indica anuência ao nível de receitas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despesas autorizado pelo Parlamento no orçamento. Quaisquer ajustes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orçamento original, para o exercício, devem ser apresentados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separadamente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 O formato de apresentação adotado pelo relatório de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encerramento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do ano deve espelhar o formato de apresentação do orçamento.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relatório de encerramento do ano, ou os documentos relacionados,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devem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incluir informações de desempenho não financeiras, incluindo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lastRenderedPageBreak/>
        <w:t>uma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comparação das metas de desempenho e os resultados reais alcançados,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quando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exeqüível.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Informações comparativas a respeito do nível de receitas e despesas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durante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 ano precedente devem também ser fornecidas. Informações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comparativas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similares devem ser apresentadas para quaisquer dados de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desempenho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não financeiros.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As despesas devem ser apresentadas em valores brutos. Receitas com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destinação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específica e taxas devem ser claramente consideradas 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separado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As despesas devem ser classificadas por unidade administrativa (por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exemplo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ministério, agência). Informações suplementares que classifiquem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despesas por categorias econômicas e funcionais também devem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apresentadas.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relatório de encerramento do ano deve conter uma discussão abrangente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LIVRO ETICA </w:t>
      </w:r>
      <w:proofErr w:type="spellStart"/>
      <w:proofErr w:type="gramStart"/>
      <w:r>
        <w:rPr>
          <w:rFonts w:ascii="Arial" w:hAnsi="Arial" w:cs="Arial"/>
          <w:color w:val="000000"/>
          <w:sz w:val="12"/>
          <w:szCs w:val="12"/>
        </w:rPr>
        <w:t>correcao</w:t>
      </w:r>
      <w:proofErr w:type="spellEnd"/>
      <w:r>
        <w:rPr>
          <w:rFonts w:ascii="Arial" w:hAnsi="Arial" w:cs="Arial"/>
          <w:color w:val="000000"/>
          <w:sz w:val="12"/>
          <w:szCs w:val="12"/>
        </w:rPr>
        <w:t>.</w:t>
      </w:r>
      <w:proofErr w:type="spellStart"/>
      <w:proofErr w:type="gramEnd"/>
      <w:r>
        <w:rPr>
          <w:rFonts w:ascii="Arial" w:hAnsi="Arial" w:cs="Arial"/>
          <w:color w:val="000000"/>
          <w:sz w:val="12"/>
          <w:szCs w:val="12"/>
        </w:rPr>
        <w:t>pmd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275 01/01/03, 17:00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18"/>
          <w:szCs w:val="18"/>
        </w:rPr>
        <w:t>276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acerca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dos ativos e passivos financeiros do governo, ativos não financeiros,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obrigações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derivadas do pagamento de inativos e responsabilidades contingentes,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conformidade com as 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 xml:space="preserve">Melhores Práticas </w:t>
      </w:r>
      <w:r>
        <w:rPr>
          <w:rFonts w:ascii="Garamond-Light" w:hAnsi="Garamond-Light" w:cs="Garamond-Light"/>
          <w:color w:val="231F20"/>
          <w:sz w:val="23"/>
          <w:szCs w:val="23"/>
        </w:rPr>
        <w:t>2.3-2.6 (abaixo).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proofErr w:type="gramStart"/>
      <w:r>
        <w:rPr>
          <w:rFonts w:ascii="Frutiger-Roman" w:hAnsi="Frutiger-Roman" w:cs="Frutiger-Roman"/>
          <w:color w:val="231F20"/>
          <w:sz w:val="23"/>
          <w:szCs w:val="23"/>
        </w:rPr>
        <w:t>I.</w:t>
      </w:r>
      <w:proofErr w:type="gramEnd"/>
      <w:r>
        <w:rPr>
          <w:rFonts w:ascii="Frutiger-Roman" w:hAnsi="Frutiger-Roman" w:cs="Frutiger-Roman"/>
          <w:color w:val="231F20"/>
          <w:sz w:val="23"/>
          <w:szCs w:val="23"/>
        </w:rPr>
        <w:t xml:space="preserve">6 Relatório </w:t>
      </w:r>
      <w:proofErr w:type="spellStart"/>
      <w:r>
        <w:rPr>
          <w:rFonts w:ascii="Frutiger-Roman" w:hAnsi="Frutiger-Roman" w:cs="Frutiger-Roman"/>
          <w:color w:val="231F20"/>
          <w:sz w:val="23"/>
          <w:szCs w:val="23"/>
        </w:rPr>
        <w:t>Pré-eleitoral</w:t>
      </w:r>
      <w:proofErr w:type="spellEnd"/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Um relatório pré-eleitoral tem por propósito informar o estado geral das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finanças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governamentais no período imediatamente anterior a uma eleição,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que encoraja um eleitorado mais informado e estimula o debate público.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 viabilidade de se produzir semelhante relatório pode depender de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dispositivos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constitucionais e práticas eleitorais. Idealmente, deve ser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divulgado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até duas semanas antes das eleições.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relatório deve conter as mesmas informações que o relatório de meio termo.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Deve-se tomar cuidado especial para assegurar a integridade dos referidos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relatórios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em conformidade com a Melhor Prática 3.2 (abaixo).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proofErr w:type="gramStart"/>
      <w:r>
        <w:rPr>
          <w:rFonts w:ascii="Frutiger-Roman" w:hAnsi="Frutiger-Roman" w:cs="Frutiger-Roman"/>
          <w:color w:val="231F20"/>
          <w:sz w:val="23"/>
          <w:szCs w:val="23"/>
        </w:rPr>
        <w:t>I.</w:t>
      </w:r>
      <w:proofErr w:type="gramEnd"/>
      <w:r>
        <w:rPr>
          <w:rFonts w:ascii="Frutiger-Roman" w:hAnsi="Frutiger-Roman" w:cs="Frutiger-Roman"/>
          <w:color w:val="231F20"/>
          <w:sz w:val="23"/>
          <w:szCs w:val="23"/>
        </w:rPr>
        <w:t>7 Relatório de Longo Prazo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relatório de longo prazo avalia a sustentabilidade em longo prazo das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políticas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governamentais correntes. Deve ser divulgado ao menos a cada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cinco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anos, ou quando alterações significativas forem introduzidas 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programas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 receita ou despesa substantivos.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relatório deve avaliar as implicações orçamentárias da mudança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demográfica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tais como o envelhecimento da população e outras evoluções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potenciais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no longo prazo (10-40 anos).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Todas as hipóteses principais subjacentes às projeções contidas no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relatório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devem ser explicitadas, assim como uma gama de cenários plausíveis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apresentada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25"/>
          <w:szCs w:val="25"/>
        </w:rPr>
        <w:t>2. I</w:t>
      </w:r>
      <w:r>
        <w:rPr>
          <w:rFonts w:ascii="Frutiger-Roman" w:hAnsi="Frutiger-Roman" w:cs="Frutiger-Roman"/>
          <w:color w:val="231F20"/>
          <w:sz w:val="18"/>
          <w:szCs w:val="18"/>
        </w:rPr>
        <w:t xml:space="preserve">NFORMAÇÕES </w:t>
      </w:r>
      <w:r>
        <w:rPr>
          <w:rFonts w:ascii="Frutiger-Roman" w:hAnsi="Frutiger-Roman" w:cs="Frutiger-Roman"/>
          <w:color w:val="231F20"/>
          <w:sz w:val="25"/>
          <w:szCs w:val="25"/>
        </w:rPr>
        <w:t>E</w:t>
      </w:r>
      <w:r>
        <w:rPr>
          <w:rFonts w:ascii="Frutiger-Roman" w:hAnsi="Frutiger-Roman" w:cs="Frutiger-Roman"/>
          <w:color w:val="231F20"/>
          <w:sz w:val="18"/>
          <w:szCs w:val="18"/>
        </w:rPr>
        <w:t xml:space="preserve">SPECÍFICAS A </w:t>
      </w:r>
      <w:r>
        <w:rPr>
          <w:rFonts w:ascii="Frutiger-Roman" w:hAnsi="Frutiger-Roman" w:cs="Frutiger-Roman"/>
          <w:color w:val="231F20"/>
          <w:sz w:val="25"/>
          <w:szCs w:val="25"/>
        </w:rPr>
        <w:t>S</w:t>
      </w:r>
      <w:r>
        <w:rPr>
          <w:rFonts w:ascii="Frutiger-Roman" w:hAnsi="Frutiger-Roman" w:cs="Frutiger-Roman"/>
          <w:color w:val="231F20"/>
          <w:sz w:val="18"/>
          <w:szCs w:val="18"/>
        </w:rPr>
        <w:t xml:space="preserve">EREM </w:t>
      </w:r>
      <w:r>
        <w:rPr>
          <w:rFonts w:ascii="Frutiger-Roman" w:hAnsi="Frutiger-Roman" w:cs="Frutiger-Roman"/>
          <w:color w:val="231F20"/>
          <w:sz w:val="25"/>
          <w:szCs w:val="25"/>
        </w:rPr>
        <w:t>D</w:t>
      </w:r>
      <w:r>
        <w:rPr>
          <w:rFonts w:ascii="Frutiger-Roman" w:hAnsi="Frutiger-Roman" w:cs="Frutiger-Roman"/>
          <w:color w:val="231F20"/>
          <w:sz w:val="18"/>
          <w:szCs w:val="18"/>
        </w:rPr>
        <w:t>IVULGADAS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r>
        <w:rPr>
          <w:rFonts w:ascii="Frutiger-Roman" w:hAnsi="Frutiger-Roman" w:cs="Frutiger-Roman"/>
          <w:color w:val="231F20"/>
          <w:sz w:val="23"/>
          <w:szCs w:val="23"/>
        </w:rPr>
        <w:t>2.1 Hipóteses Econômicas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Desvios da previsão das principais hipóteses econômicas subjacentes ao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orçamento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compõem o principal risco fiscal do governo.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Todas as principais hipóteses econômicas devem ser explicitamente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LIVRO ETICA </w:t>
      </w:r>
      <w:proofErr w:type="spellStart"/>
      <w:proofErr w:type="gramStart"/>
      <w:r>
        <w:rPr>
          <w:rFonts w:ascii="Arial" w:hAnsi="Arial" w:cs="Arial"/>
          <w:color w:val="000000"/>
          <w:sz w:val="12"/>
          <w:szCs w:val="12"/>
        </w:rPr>
        <w:t>correcao</w:t>
      </w:r>
      <w:proofErr w:type="spellEnd"/>
      <w:r>
        <w:rPr>
          <w:rFonts w:ascii="Arial" w:hAnsi="Arial" w:cs="Arial"/>
          <w:color w:val="000000"/>
          <w:sz w:val="12"/>
          <w:szCs w:val="12"/>
        </w:rPr>
        <w:t>.</w:t>
      </w:r>
      <w:proofErr w:type="spellStart"/>
      <w:proofErr w:type="gramEnd"/>
      <w:r>
        <w:rPr>
          <w:rFonts w:ascii="Arial" w:hAnsi="Arial" w:cs="Arial"/>
          <w:color w:val="000000"/>
          <w:sz w:val="12"/>
          <w:szCs w:val="12"/>
        </w:rPr>
        <w:t>pmd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276 01/01/03, 17:00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18"/>
          <w:szCs w:val="18"/>
        </w:rPr>
        <w:t>277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apresentadas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o que inclui a previsão de crescimento do PIB, a composição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crescimento do PIB, as taxas de emprego e de desemprego, 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taxas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 lucros, inflação e juros (política monetária).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Deve ser empreendida uma análise da sensibilidade a respeito 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impacto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exercido sobre o orçamento, por mudanças das principais hipóteses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econômicas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r>
        <w:rPr>
          <w:rFonts w:ascii="Frutiger-Roman" w:hAnsi="Frutiger-Roman" w:cs="Frutiger-Roman"/>
          <w:color w:val="231F20"/>
          <w:sz w:val="23"/>
          <w:szCs w:val="23"/>
        </w:rPr>
        <w:t>2.2 Despesas Tributárias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lastRenderedPageBreak/>
        <w:t>As despesas tributárias são os custos estimados para a receita tributária 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tratamento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preferencial concedido a atividades específicas.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custo estimado das principais despesas tributárias deve ser apresentado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como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informação suplementar no orçamento. Na medida do possível,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uma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discussão acerca de despesas tributárias para áreas funcionais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específicas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deve ser incorporada à discussão das despesas gerais para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essas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áreas, de modo a informar as escolhas orçamentárias.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r>
        <w:rPr>
          <w:rFonts w:ascii="Frutiger-Roman" w:hAnsi="Frutiger-Roman" w:cs="Frutiger-Roman"/>
          <w:color w:val="231F20"/>
          <w:sz w:val="23"/>
          <w:szCs w:val="23"/>
        </w:rPr>
        <w:t>2.3 Passivos e Ativos Financeiros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Todos os passivos e ativos financeiros devem ser informados no orçamento,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no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relatório de meio termo e no relatório de encerramento 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ano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 Um levantamento mensal dos empréstimos contraídos deve ser incluído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nos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relatórios mensais, ou nos documentos relacionados.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Os empréstimos devem ser classificados de acordo com a denominação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moeda corrente da dívida, o perfil de vencimento da dívida, se 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dívida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está atrelada a uma taxa de juros fixa ou variável e se é resgatável.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Os ativos financeiros devem ser classificados por tipo principal, incluindo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dinheiro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em caixa, títulos negociáveis, investimentos em empresas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empréstimos concedidos a outras entidades. Investimentos em empresas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devem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 listados individualmente. Empréstimos concedidos a outras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entidades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devem ser classificados pela categoria principal, que reflita sua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natureza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; informações históricas sobre não cumprimento de contratos devem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apresentadas para cada categoria, caso disponíveis. Ativos financeiros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devem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 avaliados de acordo com o valor de mercado.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Instrumentos de gestão da dívida, tais como contratos a prazo e acordos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“swap”</w:t>
      </w: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, devem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 informados.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LIVRO ETICA </w:t>
      </w:r>
      <w:proofErr w:type="spellStart"/>
      <w:proofErr w:type="gramStart"/>
      <w:r>
        <w:rPr>
          <w:rFonts w:ascii="Arial" w:hAnsi="Arial" w:cs="Arial"/>
          <w:color w:val="000000"/>
          <w:sz w:val="12"/>
          <w:szCs w:val="12"/>
        </w:rPr>
        <w:t>correcao</w:t>
      </w:r>
      <w:proofErr w:type="spellEnd"/>
      <w:r>
        <w:rPr>
          <w:rFonts w:ascii="Arial" w:hAnsi="Arial" w:cs="Arial"/>
          <w:color w:val="000000"/>
          <w:sz w:val="12"/>
          <w:szCs w:val="12"/>
        </w:rPr>
        <w:t>.</w:t>
      </w:r>
      <w:proofErr w:type="spellStart"/>
      <w:proofErr w:type="gramEnd"/>
      <w:r>
        <w:rPr>
          <w:rFonts w:ascii="Arial" w:hAnsi="Arial" w:cs="Arial"/>
          <w:color w:val="000000"/>
          <w:sz w:val="12"/>
          <w:szCs w:val="12"/>
        </w:rPr>
        <w:t>pmd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277 01/01/03, 17:00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18"/>
          <w:szCs w:val="18"/>
        </w:rPr>
        <w:t>278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No orçamento, deve ser realizada uma análise de sensibilidade que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mostre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 impacto das mudanças nas taxas de juros e de câmbio sobre 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custos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 financiamento.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r>
        <w:rPr>
          <w:rFonts w:ascii="Frutiger-Italic" w:hAnsi="Frutiger-Italic" w:cs="Frutiger-Italic"/>
          <w:i/>
          <w:iCs/>
          <w:color w:val="231F20"/>
          <w:sz w:val="23"/>
          <w:szCs w:val="23"/>
        </w:rPr>
        <w:t>2</w:t>
      </w:r>
      <w:r>
        <w:rPr>
          <w:rFonts w:ascii="Frutiger-Roman" w:hAnsi="Frutiger-Roman" w:cs="Frutiger-Roman"/>
          <w:color w:val="231F20"/>
          <w:sz w:val="23"/>
          <w:szCs w:val="23"/>
        </w:rPr>
        <w:t>.4 Ativos Não Financeiros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Ativos não financeiros, incluindo bens imóveis e equipamentos, devem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informados.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Os ativos não financeiros serão reconhecidos a partir de cálculos orçamentários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contábeis que considerem o valor acumulado integral 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ativo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o que exigirá a avaliação dos referidos ativos e a seleção de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cronogramas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 depreciação apropriados. Os métodos de avaliação 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depreciação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utilizados devem ser detalhadamente informados.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Quando uma base de acumulação integral não for adotada, um registro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ativos deve ser mantido e informações resumidas desse registro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fornecidas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no orçamento, no relatório de meio termo e no relatório de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encerramento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do ano.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Italic" w:hAnsi="Frutiger-Italic" w:cs="Frutiger-Italic"/>
          <w:i/>
          <w:iCs/>
          <w:color w:val="231F20"/>
          <w:sz w:val="23"/>
          <w:szCs w:val="23"/>
        </w:rPr>
      </w:pPr>
      <w:r>
        <w:rPr>
          <w:rFonts w:ascii="Frutiger-Roman" w:hAnsi="Frutiger-Roman" w:cs="Frutiger-Roman"/>
          <w:color w:val="231F20"/>
          <w:sz w:val="23"/>
          <w:szCs w:val="23"/>
        </w:rPr>
        <w:t>2.5 Obrigações Derivadas do Pagamento de Inativo</w:t>
      </w:r>
      <w:r>
        <w:rPr>
          <w:rFonts w:ascii="Frutiger-Italic" w:hAnsi="Frutiger-Italic" w:cs="Frutiger-Italic"/>
          <w:i/>
          <w:iCs/>
          <w:color w:val="231F20"/>
          <w:sz w:val="23"/>
          <w:szCs w:val="23"/>
        </w:rPr>
        <w:t>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Obrigações derivadas do pagamento de inativos devem ser informadas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no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orçamento, no relatório de meio termo e no relatório de encerramento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ano. As obrigações derivadas do pagamento de inativos são a diferença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entre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os benefícios acumulados resultantes do tempo de serviço e 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contribuições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efetuadas do governo para os referidos benefícios.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As principais hipóteses atuariais subjacentes ao cálculo das obrigações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derivadas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do pagamento de inativos devem ser informadas. Quaisquer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ativos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pertencentes a planos de pensão devem ser avaliados de acordo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com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 valor de mercado.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r>
        <w:rPr>
          <w:rFonts w:ascii="Frutiger-Roman" w:hAnsi="Frutiger-Roman" w:cs="Frutiger-Roman"/>
          <w:color w:val="231F20"/>
          <w:sz w:val="23"/>
          <w:szCs w:val="23"/>
        </w:rPr>
        <w:t>2.6 Responsabilidades Contingentes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lastRenderedPageBreak/>
        <w:t xml:space="preserve">Responsabilidades </w:t>
      </w:r>
      <w:proofErr w:type="spellStart"/>
      <w:r>
        <w:rPr>
          <w:rFonts w:ascii="Garamond-Light" w:hAnsi="Garamond-Light" w:cs="Garamond-Light"/>
          <w:color w:val="231F20"/>
          <w:sz w:val="23"/>
          <w:szCs w:val="23"/>
        </w:rPr>
        <w:t>contigentes</w:t>
      </w:r>
      <w:proofErr w:type="spellEnd"/>
      <w:r>
        <w:rPr>
          <w:rFonts w:ascii="Garamond-Light" w:hAnsi="Garamond-Light" w:cs="Garamond-Light"/>
          <w:color w:val="231F20"/>
          <w:sz w:val="23"/>
          <w:szCs w:val="23"/>
        </w:rPr>
        <w:t xml:space="preserve"> são obrigações cujo impacto orçamentário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depende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 eventos futuros, que poderão ou não ocorrer. Entre os exemplos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comuns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podem ser citados as garantias de empréstimos governa-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LIVRO ETICA </w:t>
      </w:r>
      <w:proofErr w:type="spellStart"/>
      <w:proofErr w:type="gramStart"/>
      <w:r>
        <w:rPr>
          <w:rFonts w:ascii="Arial" w:hAnsi="Arial" w:cs="Arial"/>
          <w:color w:val="000000"/>
          <w:sz w:val="12"/>
          <w:szCs w:val="12"/>
        </w:rPr>
        <w:t>correcao</w:t>
      </w:r>
      <w:proofErr w:type="spellEnd"/>
      <w:r>
        <w:rPr>
          <w:rFonts w:ascii="Arial" w:hAnsi="Arial" w:cs="Arial"/>
          <w:color w:val="000000"/>
          <w:sz w:val="12"/>
          <w:szCs w:val="12"/>
        </w:rPr>
        <w:t>.</w:t>
      </w:r>
      <w:proofErr w:type="spellStart"/>
      <w:proofErr w:type="gramEnd"/>
      <w:r>
        <w:rPr>
          <w:rFonts w:ascii="Arial" w:hAnsi="Arial" w:cs="Arial"/>
          <w:color w:val="000000"/>
          <w:sz w:val="12"/>
          <w:szCs w:val="12"/>
        </w:rPr>
        <w:t>pmd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278 01/01/03, 17:00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18"/>
          <w:szCs w:val="18"/>
        </w:rPr>
        <w:t>279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mentais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programas governamentais de seguros e demandas legais contra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governo.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Todas as responsabilidades contingentes importantes devem ser informadas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no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orçamento, no relatório de meio termo e nas declarações financeiras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anuais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Caso possível, o montante total de responsabilidades contingentes deve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informado e classificado por categoria principal, que reflita sua natureza;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informações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históricas sobre não cumprimento de contratos devem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apresentadas para cada categoria, caso disponíveis. Nos casos em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que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as responsabilidades contingentes não puderem ser quantificadas,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deverão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 listadas e descritas.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25"/>
          <w:szCs w:val="25"/>
        </w:rPr>
        <w:t>3. I</w:t>
      </w:r>
      <w:r>
        <w:rPr>
          <w:rFonts w:ascii="Frutiger-Roman" w:hAnsi="Frutiger-Roman" w:cs="Frutiger-Roman"/>
          <w:color w:val="231F20"/>
          <w:sz w:val="18"/>
          <w:szCs w:val="18"/>
        </w:rPr>
        <w:t>NTEGRIDADE</w:t>
      </w:r>
      <w:r>
        <w:rPr>
          <w:rFonts w:ascii="Frutiger-Roman" w:hAnsi="Frutiger-Roman" w:cs="Frutiger-Roman"/>
          <w:color w:val="231F20"/>
          <w:sz w:val="25"/>
          <w:szCs w:val="25"/>
        </w:rPr>
        <w:t>, C</w:t>
      </w:r>
      <w:r>
        <w:rPr>
          <w:rFonts w:ascii="Frutiger-Roman" w:hAnsi="Frutiger-Roman" w:cs="Frutiger-Roman"/>
          <w:color w:val="231F20"/>
          <w:sz w:val="18"/>
          <w:szCs w:val="18"/>
        </w:rPr>
        <w:t xml:space="preserve">ONTROLE E </w:t>
      </w:r>
      <w:r>
        <w:rPr>
          <w:rFonts w:ascii="Frutiger-Roman" w:hAnsi="Frutiger-Roman" w:cs="Frutiger-Roman"/>
          <w:color w:val="231F20"/>
          <w:sz w:val="25"/>
          <w:szCs w:val="25"/>
        </w:rPr>
        <w:t>P</w:t>
      </w:r>
      <w:r>
        <w:rPr>
          <w:rFonts w:ascii="Frutiger-Roman" w:hAnsi="Frutiger-Roman" w:cs="Frutiger-Roman"/>
          <w:color w:val="231F20"/>
          <w:sz w:val="18"/>
          <w:szCs w:val="18"/>
        </w:rPr>
        <w:t xml:space="preserve">RESTAÇÃO DE </w:t>
      </w:r>
      <w:r>
        <w:rPr>
          <w:rFonts w:ascii="Frutiger-Roman" w:hAnsi="Frutiger-Roman" w:cs="Frutiger-Roman"/>
          <w:color w:val="231F20"/>
          <w:sz w:val="25"/>
          <w:szCs w:val="25"/>
        </w:rPr>
        <w:t>C</w:t>
      </w:r>
      <w:r>
        <w:rPr>
          <w:rFonts w:ascii="Frutiger-Roman" w:hAnsi="Frutiger-Roman" w:cs="Frutiger-Roman"/>
          <w:color w:val="231F20"/>
          <w:sz w:val="18"/>
          <w:szCs w:val="18"/>
        </w:rPr>
        <w:t>ONTAS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r>
        <w:rPr>
          <w:rFonts w:ascii="Frutiger-Roman" w:hAnsi="Frutiger-Roman" w:cs="Frutiger-Roman"/>
          <w:color w:val="231F20"/>
          <w:sz w:val="23"/>
          <w:szCs w:val="23"/>
        </w:rPr>
        <w:t>3.1 Políticas de Prestação de Contas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Um resumo das políticas de prestação de contas relevantes deve acompanhar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todos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os relatórios. Deverão ser descritos o método contábil utilizado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(por exemplo, dinheiro em caixa, base acumulada) na preparação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dos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relatórios e informar quaisquer desvios a partir de práticas contábeis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geralmente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aceitas.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As mesmas políticas de prestação de contas deverão ser utilizadas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para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todos os relatórios fiscais.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Caso seja necessária uma alteração nas políticas de prestação de contas,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então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 natureza da alteração e suas razões devem ser detalhadamente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informadas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 Informações referentes a períodos anteriormente relatados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devem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 ajustadas, conforme seja viável, de forma a permitir comparações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entre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os períodos relatados.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r>
        <w:rPr>
          <w:rFonts w:ascii="Frutiger-Roman" w:hAnsi="Frutiger-Roman" w:cs="Frutiger-Roman"/>
          <w:color w:val="231F20"/>
          <w:sz w:val="23"/>
          <w:szCs w:val="23"/>
        </w:rPr>
        <w:t>3.2 Sistemas e Responsabilidade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Um sistema dinâmico de controles financeiros internos, incluindo auditoria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interna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, deve ser utilizado para assegurar a integridade das informações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fornecidas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nos relatórios.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Cada relatório deve conter uma declaração de responsabilidade 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ministro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das Finanças e do funcionário graduado responsável por sua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LIVRO ETICA </w:t>
      </w:r>
      <w:proofErr w:type="spellStart"/>
      <w:proofErr w:type="gramStart"/>
      <w:r>
        <w:rPr>
          <w:rFonts w:ascii="Arial" w:hAnsi="Arial" w:cs="Arial"/>
          <w:color w:val="000000"/>
          <w:sz w:val="12"/>
          <w:szCs w:val="12"/>
        </w:rPr>
        <w:t>correcao</w:t>
      </w:r>
      <w:proofErr w:type="spellEnd"/>
      <w:r>
        <w:rPr>
          <w:rFonts w:ascii="Arial" w:hAnsi="Arial" w:cs="Arial"/>
          <w:color w:val="000000"/>
          <w:sz w:val="12"/>
          <w:szCs w:val="12"/>
        </w:rPr>
        <w:t>.</w:t>
      </w:r>
      <w:proofErr w:type="spellStart"/>
      <w:proofErr w:type="gramEnd"/>
      <w:r>
        <w:rPr>
          <w:rFonts w:ascii="Arial" w:hAnsi="Arial" w:cs="Arial"/>
          <w:color w:val="000000"/>
          <w:sz w:val="12"/>
          <w:szCs w:val="12"/>
        </w:rPr>
        <w:t>pmd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279 01/01/03, 17:00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18"/>
          <w:szCs w:val="18"/>
        </w:rPr>
      </w:pPr>
      <w:r>
        <w:rPr>
          <w:rFonts w:ascii="Frutiger-Roman" w:hAnsi="Frutiger-Roman" w:cs="Frutiger-Roman"/>
          <w:color w:val="231F20"/>
          <w:sz w:val="18"/>
          <w:szCs w:val="18"/>
        </w:rPr>
        <w:t>280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preparação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 O ministro certificará que todas as decisões governamentais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passíveis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 exercer impacto fiscal tenham sido incluídas no relatório. 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funcionário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graduado certificará que o ministro das Finanças tenha lançado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mão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de seu melhor juízo profissional para produzir o relatório.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r>
        <w:rPr>
          <w:rFonts w:ascii="Frutiger-Roman" w:hAnsi="Frutiger-Roman" w:cs="Frutiger-Roman"/>
          <w:color w:val="231F20"/>
          <w:sz w:val="23"/>
          <w:szCs w:val="23"/>
        </w:rPr>
        <w:t>3.3 Auditoria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O relatório de encerramento do ano deve ser auditado pelo órgão superior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auditoria, em conformidade com as práticas de auditoria geralmente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aceitas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>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Relatórios de auditoria preparados pelo órgão superior de auditoria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devem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ser examinados minuciosamente pelo Parlamento.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color w:val="231F20"/>
          <w:sz w:val="23"/>
          <w:szCs w:val="23"/>
        </w:rPr>
      </w:pPr>
      <w:proofErr w:type="gramStart"/>
      <w:r>
        <w:rPr>
          <w:rFonts w:ascii="Frutiger-Roman" w:hAnsi="Frutiger-Roman" w:cs="Frutiger-Roman"/>
          <w:color w:val="231F20"/>
          <w:sz w:val="23"/>
          <w:szCs w:val="23"/>
        </w:rPr>
        <w:t>3.4 Fiscalização</w:t>
      </w:r>
      <w:proofErr w:type="gramEnd"/>
      <w:r>
        <w:rPr>
          <w:rFonts w:ascii="Frutiger-Roman" w:hAnsi="Frutiger-Roman" w:cs="Frutiger-Roman"/>
          <w:color w:val="231F20"/>
          <w:sz w:val="23"/>
          <w:szCs w:val="23"/>
        </w:rPr>
        <w:t xml:space="preserve"> Pública e Parlamentar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>Devem ser concedidos ao Parlamento a oportunidade e os recursos para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examinar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efetivamente qualquer relatório fiscal, conforme julgue necessário.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t xml:space="preserve">Todos os relatórios fiscais, aos quais se referem </w:t>
      </w: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as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</w:t>
      </w:r>
      <w:r>
        <w:rPr>
          <w:rFonts w:ascii="Garamond-LightItalic" w:hAnsi="Garamond-LightItalic" w:cs="Garamond-LightItalic"/>
          <w:i/>
          <w:iCs/>
          <w:color w:val="231F20"/>
          <w:sz w:val="23"/>
          <w:szCs w:val="23"/>
        </w:rPr>
        <w:t>Melhores Práticas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aqui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indicadas, devem ser disponibilizados ao público, incluindo a internet,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sem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custos.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r>
        <w:rPr>
          <w:rFonts w:ascii="Garamond-Light" w:hAnsi="Garamond-Light" w:cs="Garamond-Light"/>
          <w:color w:val="231F20"/>
          <w:sz w:val="23"/>
          <w:szCs w:val="23"/>
        </w:rPr>
        <w:lastRenderedPageBreak/>
        <w:t>O ministério das Finanças deve promover ativamente a compreensão</w:t>
      </w:r>
    </w:p>
    <w:p w:rsidR="007A6E4E" w:rsidRDefault="007A6E4E" w:rsidP="007A6E4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231F20"/>
          <w:sz w:val="23"/>
          <w:szCs w:val="23"/>
        </w:rPr>
      </w:pPr>
      <w:proofErr w:type="gramStart"/>
      <w:r>
        <w:rPr>
          <w:rFonts w:ascii="Garamond-Light" w:hAnsi="Garamond-Light" w:cs="Garamond-Light"/>
          <w:color w:val="231F20"/>
          <w:sz w:val="23"/>
          <w:szCs w:val="23"/>
        </w:rPr>
        <w:t>do</w:t>
      </w:r>
      <w:proofErr w:type="gramEnd"/>
      <w:r>
        <w:rPr>
          <w:rFonts w:ascii="Garamond-Light" w:hAnsi="Garamond-Light" w:cs="Garamond-Light"/>
          <w:color w:val="231F20"/>
          <w:sz w:val="23"/>
          <w:szCs w:val="23"/>
        </w:rPr>
        <w:t xml:space="preserve"> processo orçamentário pelos cidadãos e organizações não governamentais.</w:t>
      </w:r>
    </w:p>
    <w:p w:rsidR="00CE24C0" w:rsidRDefault="007A6E4E" w:rsidP="007A6E4E">
      <w:r>
        <w:rPr>
          <w:rFonts w:ascii="Arial" w:hAnsi="Arial" w:cs="Arial"/>
          <w:color w:val="000000"/>
          <w:sz w:val="12"/>
          <w:szCs w:val="12"/>
        </w:rPr>
        <w:t>LIVRO</w:t>
      </w:r>
    </w:p>
    <w:sectPr w:rsidR="00CE24C0" w:rsidSect="00CE2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7A6E4E"/>
    <w:rsid w:val="006C1B7C"/>
    <w:rsid w:val="007A6E4E"/>
    <w:rsid w:val="00CE2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2878</Words>
  <Characters>15545</Characters>
  <Application>Microsoft Office Word</Application>
  <DocSecurity>0</DocSecurity>
  <Lines>129</Lines>
  <Paragraphs>36</Paragraphs>
  <ScaleCrop>false</ScaleCrop>
  <Company/>
  <LinksUpToDate>false</LinksUpToDate>
  <CharactersWithSpaces>18387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V.Pires</dc:creator>
  <cp:lastModifiedBy>V.Pires</cp:lastModifiedBy>
  <cp:revision>2</cp:revision>
  <dcterms:created xsi:type="dcterms:W3CDTF">2010-06-03T16:14:00Z</dcterms:created>
  <dcterms:modified xsi:type="dcterms:W3CDTF">2010-06-03T16:14:00Z</dcterms:modified>
</cp:coreProperties>
</file>