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FC" w:rsidRDefault="006F2CED">
      <w:r w:rsidRPr="006F2CED">
        <w:t xml:space="preserve">A inviabilidade da permanência </w:t>
      </w:r>
      <w:r>
        <w:t xml:space="preserve">do ditador Getúlio Vargas é confirmada com um movimento, de cunho civil e militar, para depô-lo após o fim da 2ª Guerra Mundial. Face aos novos acontecimentos que rearranjaram a ordem política mundial, colocando em xeque ideologias alinhadas ao nazi-fascismo, a queda de Vargas é </w:t>
      </w:r>
      <w:r w:rsidR="00CA5DB4">
        <w:t>então consagrada pela promulgação da constituição de 1946,</w:t>
      </w:r>
      <w:r w:rsidR="00CA5DB4" w:rsidRPr="00CA5DB4">
        <w:t xml:space="preserve"> </w:t>
      </w:r>
      <w:r w:rsidR="00CA5DB4">
        <w:t>uma nova constituição, liberal e democrática.</w:t>
      </w:r>
    </w:p>
    <w:p w:rsidR="006F2CED" w:rsidRDefault="00CA5DB4">
      <w:r>
        <w:t xml:space="preserve">Com a iminência de uma vitória dos aliados na Europa e Japão, Getúlio já era obrigado a agir com sua presteza política, mobilizando as massas </w:t>
      </w:r>
      <w:proofErr w:type="gramStart"/>
      <w:r>
        <w:t>a seu</w:t>
      </w:r>
      <w:proofErr w:type="gramEnd"/>
      <w:r>
        <w:t xml:space="preserve"> favor e jogando com as oligarquias par permanecer no poder. Estava em jogo muito além da redemocratização brasileira, mas sim interesses de grupos conservadores brasileiros e interesses econômicos exteriores, principalmente norte-americanos.</w:t>
      </w:r>
    </w:p>
    <w:p w:rsidR="00CA5DB4" w:rsidRPr="006F2CED" w:rsidRDefault="00CA5DB4"/>
    <w:sectPr w:rsidR="00CA5DB4" w:rsidRPr="006F2CED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2CED"/>
    <w:rsid w:val="003E32E4"/>
    <w:rsid w:val="00603A33"/>
    <w:rsid w:val="006B7025"/>
    <w:rsid w:val="006F2CED"/>
    <w:rsid w:val="00875E6D"/>
    <w:rsid w:val="00895EFC"/>
    <w:rsid w:val="009961D3"/>
    <w:rsid w:val="00C542EF"/>
    <w:rsid w:val="00C92394"/>
    <w:rsid w:val="00CA5DB4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2008-06-05T02:23:00Z</dcterms:created>
  <dcterms:modified xsi:type="dcterms:W3CDTF">2008-06-05T02:49:00Z</dcterms:modified>
</cp:coreProperties>
</file>