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Exercício de Qualidade- Francisco Matelli</w:t>
      </w:r>
    </w:p>
    <w:p>
      <w:pPr>
        <w:pStyle w:val="style3"/>
        <w:numPr>
          <w:ilvl w:val="2"/>
          <w:numId w:val="1"/>
        </w:numPr>
      </w:pPr>
      <w:r>
        <w:rPr/>
        <w:t>Exercício 1 - Atendimento</w:t>
      </w:r>
    </w:p>
    <w:p>
      <w:pPr>
        <w:pStyle w:val="style0"/>
      </w:pPr>
      <w:r>
        <w:rPr/>
        <w:t>O maior intervalo da séria é 10.7 e o menor é 9, portanto a amplitude dos dados é de 1.7 minuto. Foram cronometrados 60 atendimentos, portanto o número de intervalos pode variar de 6 a 10. Os intervalos terão 0,28 minutos de distância.</w:t>
      </w:r>
    </w:p>
    <w:p>
      <w:pPr>
        <w:pStyle w:val="style0"/>
      </w:pPr>
      <w:r>
        <w:rPr/>
      </w:r>
    </w:p>
    <w:p>
      <w:pPr>
        <w:pStyle w:val="style0"/>
      </w:pPr>
      <w:r>
        <w:rPr/>
        <w:t>A frequência dos intervalos:</w:t>
      </w:r>
    </w:p>
    <w:tbl>
      <w:tblPr>
        <w:tblW w:type="dxa" w:w="9638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4818"/>
        <w:gridCol w:w="9638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9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3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9,28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4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9,56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13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9,84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28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10,12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6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10,4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6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pageBreakBefore/>
      </w:pPr>
      <w:r>
        <w:rPr/>
        <w:t>Exercício 2 – Chapas metálicas</w:t>
      </w:r>
    </w:p>
    <w:p>
      <w:pPr>
        <w:pStyle w:val="style0"/>
      </w:pPr>
      <w:r>
        <w:rPr/>
        <w:t>O maior intervalo da séria é 80 e o menor é 58, portanto a amplitude dos dados é de 22 “medida de dureza”. São 50 chapas, portanto o número de intervalos pode variar de 6 a 10. Os intervalos terão aproximadamente 3,7 de distância.</w:t>
      </w:r>
    </w:p>
    <w:p>
      <w:pPr>
        <w:pStyle w:val="style0"/>
      </w:pPr>
      <w:r>
        <w:rPr/>
      </w:r>
    </w:p>
    <w:p>
      <w:pPr>
        <w:pStyle w:val="style0"/>
      </w:pPr>
      <w:r>
        <w:rPr/>
        <w:t>A frequência dos intervalos:</w:t>
      </w:r>
    </w:p>
    <w:tbl>
      <w:tblPr>
        <w:tblW w:type="dxa" w:w="9638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4818"/>
        <w:gridCol w:w="9638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58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3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62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6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66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16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69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14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73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7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76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  <w:jc w:val="center"/>
            </w:pPr>
            <w:r>
              <w:rPr/>
              <w:t>4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pt-BR"/>
    </w:rPr>
  </w:style>
  <w:style w:styleId="style1" w:type="paragraph">
    <w:name w:val="Título 1"/>
    <w:basedOn w:val="style15"/>
    <w:next w:val="style16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3" w:type="paragraph">
    <w:name w:val="Título 3"/>
    <w:basedOn w:val="style15"/>
    <w:next w:val="style16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paragraph">
    <w:name w:val="Título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Corpo de texto"/>
    <w:basedOn w:val="style0"/>
    <w:next w:val="style16"/>
    <w:pPr>
      <w:spacing w:after="120" w:before="0"/>
    </w:pPr>
    <w:rPr/>
  </w:style>
  <w:style w:styleId="style17" w:type="paragraph">
    <w:name w:val="Título"/>
    <w:basedOn w:val="style15"/>
    <w:next w:val="style18"/>
    <w:pPr/>
    <w:rPr/>
  </w:style>
  <w:style w:styleId="style18" w:type="paragraph">
    <w:name w:val="Subtítulo"/>
    <w:basedOn w:val="style15"/>
    <w:next w:val="style16"/>
    <w:pPr>
      <w:jc w:val="center"/>
    </w:pPr>
    <w:rPr>
      <w:sz w:val="28"/>
      <w:i/>
      <w:szCs w:val="28"/>
      <w:iCs/>
    </w:rPr>
  </w:style>
  <w:style w:styleId="style19" w:type="paragraph">
    <w:name w:val="Lista"/>
    <w:basedOn w:val="style16"/>
    <w:next w:val="style19"/>
    <w:pPr/>
    <w:rPr/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Índice"/>
    <w:basedOn w:val="style0"/>
    <w:next w:val="style21"/>
    <w:pPr>
      <w:suppressLineNumbers/>
    </w:pPr>
    <w:rPr/>
  </w:style>
  <w:style w:styleId="style22" w:type="paragraph">
    <w:name w:val="Conteúdo de tabela"/>
    <w:basedOn w:val="style0"/>
    <w:next w:val="style22"/>
    <w:pPr>
      <w:suppressLineNumbers/>
    </w:pPr>
    <w:rPr/>
  </w:style>
  <w:style w:styleId="style23" w:type="paragraph">
    <w:name w:val="Título de tabela"/>
    <w:basedOn w:val="style22"/>
    <w:next w:val="style23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3632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2010-06-22T12:17:21.00Z</dcterms:created>
  <dc:creator>Francisco Matelli</dc:creator>
  <cp:lastModifiedBy>Francisco Matelli</cp:lastModifiedBy>
  <dcterms:modified xsi:type="dcterms:W3CDTF">2010-06-22T13:17:52.00Z</dcterms:modified>
  <cp:revision>12</cp:revision>
</cp:coreProperties>
</file>