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r>
        <w:rPr>
          <w:rFonts w:ascii="Fh" w:hAnsi="Fh" w:cs="Fh"/>
          <w:sz w:val="29"/>
          <w:szCs w:val="29"/>
        </w:rPr>
        <w:t>Thanh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9A4578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the level </w:t>
      </w:r>
      <w:r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39369C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D73DA5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Fh"/>
              <w:sz w:val="24"/>
              <w:szCs w:val="24"/>
            </w:rPr>
            <m:t>0.726</m:t>
          </m:r>
          <m:r>
            <w:rPr>
              <w:rFonts w:ascii="Cambria Math" w:eastAsiaTheme="minorEastAsia" w:hAnsi="Cambria Math" w:cs="Fh"/>
              <w:sz w:val="24"/>
              <w:szCs w:val="24"/>
            </w:rPr>
            <m:t>4</m:t>
          </m:r>
        </m:oMath>
      </m:oMathPara>
    </w:p>
    <w:p w:rsidR="00D73DA5" w:rsidRDefault="00D73DA5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</m:t>
            </m:r>
            <m:r>
              <w:rPr>
                <w:rFonts w:ascii="Cambria Math" w:hAnsi="Cambria Math"/>
              </w:rPr>
              <m:t xml:space="preserve">,   </m:t>
            </m:r>
            <m:r>
              <w:rPr>
                <w:rFonts w:ascii="Cambria Math" w:hAnsi="Cambria Math"/>
              </w:rPr>
              <m:t>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</m:t>
            </m:r>
            <m:r>
              <w:rPr>
                <w:rFonts w:ascii="Cambria Math" w:hAnsi="Cambria Math"/>
              </w:rPr>
              <m:t xml:space="preserve">,   </m:t>
            </m:r>
            <m:r>
              <w:rPr>
                <w:rFonts w:ascii="Cambria Math" w:hAnsi="Cambria Math"/>
              </w:rPr>
              <m:t>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sectPr w:rsidR="00F4615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7A03"/>
    <w:rsid w:val="001047EA"/>
    <w:rsid w:val="00314B52"/>
    <w:rsid w:val="0039369C"/>
    <w:rsid w:val="003B79A6"/>
    <w:rsid w:val="003E2076"/>
    <w:rsid w:val="00452322"/>
    <w:rsid w:val="00537315"/>
    <w:rsid w:val="0054072F"/>
    <w:rsid w:val="005907A9"/>
    <w:rsid w:val="006C2EBB"/>
    <w:rsid w:val="009A4578"/>
    <w:rsid w:val="00B67A03"/>
    <w:rsid w:val="00B901A4"/>
    <w:rsid w:val="00D65872"/>
    <w:rsid w:val="00D73DA5"/>
    <w:rsid w:val="00DA46F7"/>
    <w:rsid w:val="00EC2546"/>
    <w:rsid w:val="00F26C49"/>
    <w:rsid w:val="00F3143F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16</cp:revision>
  <dcterms:created xsi:type="dcterms:W3CDTF">2010-12-03T08:04:00Z</dcterms:created>
  <dcterms:modified xsi:type="dcterms:W3CDTF">2010-12-03T10:47:00Z</dcterms:modified>
</cp:coreProperties>
</file>