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028090"/>
          <w:sz w:val="28"/>
          <w:szCs w:val="28"/>
        </w:rPr>
        <w:t xml:space="preserve">DemoDay Saturdays AI Quito 2026</w:t>
      </w:r>
    </w:p>
    <w:p>
      <w:pPr>
        <w:spacing w:after="200" w:before="200"/>
        <w:jc w:val="center"/>
      </w:pPr>
      <w:r>
        <w:rPr>
          <w:b/>
          <w:bCs/>
          <w:color w:val="1E2761"/>
          <w:sz w:val="48"/>
          <w:szCs w:val="48"/>
        </w:rPr>
        <w:t xml:space="preserve">Validación de Sílabos Universitarios con RAG</w:t>
      </w:r>
    </w:p>
    <w:p>
      <w:pPr>
        <w:spacing w:after="600"/>
        <w:jc w:val="center"/>
      </w:pPr>
      <w:r>
        <w:rPr>
          <w:i/>
          <w:iCs/>
          <w:color w:val="595959"/>
          <w:sz w:val="26"/>
          <w:szCs w:val="26"/>
        </w:rPr>
        <w:t xml:space="preserve">Retrieval-Augmented Generation aplicado al cumplimiento normativo académico</w:t>
      </w:r>
    </w:p>
    <w:p>
      <w:pPr>
        <w:spacing w:before="1200"/>
        <w:jc w:val="center"/>
      </w:pPr>
      <w:r>
        <w:rPr>
          <w:b/>
          <w:bCs/>
          <w:sz w:val="24"/>
          <w:szCs w:val="24"/>
        </w:rPr>
        <w:t xml:space="preserve">Francisco Javier Higuera González</w:t>
      </w:r>
    </w:p>
    <w:p>
      <w:pPr>
        <w:jc w:val="center"/>
      </w:pPr>
      <w:r>
        <w:rPr>
          <w:color w:val="595959"/>
          <w:sz w:val="22"/>
          <w:szCs w:val="22"/>
        </w:rPr>
        <w:t xml:space="preserve">Universidad UTE</w:t>
      </w:r>
    </w:p>
    <w:p>
      <w:pPr>
        <w:spacing w:before="400"/>
        <w:jc w:val="center"/>
      </w:pPr>
      <w:r>
        <w:rPr>
          <w:color w:val="595959"/>
          <w:sz w:val="20"/>
          <w:szCs w:val="20"/>
        </w:rPr>
        <w:t xml:space="preserve">francisco.higuera@ute.edu.ec</w:t>
      </w:r>
    </w:p>
    <w:p>
      <w:pPr>
        <w:spacing w:before="800"/>
        <w:jc w:val="center"/>
      </w:pPr>
      <w:r>
        <w:rPr>
          <w:color w:val="595959"/>
          <w:sz w:val="22"/>
          <w:szCs w:val="22"/>
        </w:rPr>
        <w:t xml:space="preserve">Demo Day · 17 de octubre de 2026</w:t>
      </w:r>
    </w:p>
    <w:p>
      <w:pPr>
        <w:spacing w:before="100"/>
        <w:jc w:val="center"/>
      </w:pPr>
      <w:r>
        <w:rPr>
          <w:i/>
          <w:iCs/>
          <w:color w:val="595959"/>
          <w:sz w:val="18"/>
          <w:szCs w:val="18"/>
        </w:rPr>
        <w:t xml:space="preserve">Proyecto construido sobre la Vibe Coding Platform (curso Vibe Coding CEDIA 2026)</w:t>
      </w:r>
    </w:p>
    <w:p>
      <w:r>
        <w:br w:type="page"/>
      </w:r>
    </w:p>
    <w:p>
      <w:pPr>
        <w:pStyle w:val="Heading1"/>
        <w:spacing w:after="200" w:before="420"/>
      </w:pPr>
      <w:r>
        <w:rPr>
          <w:b/>
          <w:bCs/>
          <w:color w:val="1E2761"/>
        </w:rPr>
        <w:t xml:space="preserve">Resumen ejecutivo</w:t>
      </w:r>
    </w:p>
    <w:p>
      <w:pPr>
        <w:spacing w:after="160"/>
      </w:pPr>
      <w:r>
        <w:rPr>
          <w:sz w:val="22"/>
          <w:szCs w:val="22"/>
        </w:rPr>
        <w:t xml:space="preserve">Las direcciones de carrera de la Universidad UTE deben verificar, antes de cada periodo académico, que cada sílabo cumpla con el Reglamento de Régimen Académico y el Reglamento del Estudiante. Hoy esa verificación es manual: un coordinador lee el sílabo y, de memoria o buscando en un PDF de decenas de páginas, decide si cumple. El criterio varía entre revisores y rara vez queda registrada la cita exacta del artículo que sustenta cada observación.</w:t>
      </w:r>
    </w:p>
    <w:p>
      <w:pPr>
        <w:spacing w:after="160"/>
      </w:pPr>
      <w:r>
        <w:rPr>
          <w:sz w:val="22"/>
          <w:szCs w:val="22"/>
        </w:rPr>
        <w:t xml:space="preserve">Este proyecto construye un sistema de RAG (Retrieval-Augmented Generation: generación de respuestas fundamentada en documentos recuperados, no solo en lo que el modelo "recuerda") que automatiza esa verificación: recibe el texto de un sílabo (pegado o subido como archivo Word), lo compara contra el corpus real de normativa de la UTE combinando búsqueda semántica y por palabra clave, y genera un veredicto para cada uno de 5 criterios — citando el artículo exacto que lo sustenta. El sistema ya está integrado y desplegado en producción dentro de la Vibe Coding Platform, usando cómputo real del clúster HPC (High-Performance Computing: cómputo de alto rendimiento) de CEDIA (consorcio ecuatoriano de cómputo académico de alto rendimiento) — con una GPU (unidad de procesamiento gráfico, acelera este tipo de cálculo de IA) NVIDIA A100 — para la generación y el cálculo de embeddings, con una base de datos vectorial embebida (LanceDB) como pieza dedicada de 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W w:type="dxa" w:w="3117"/>
            <w:shd w:fill="EEF1F8" w:val="clear"/>
            <w:tcMar>
              <w:top w:type="dxa" w:w="80"/>
              <w:left w:type="dxa" w:w="100"/>
              <w:bottom w:type="dxa" w:w="80"/>
              <w:right w:type="dxa" w:w="100"/>
            </w:tcMar>
          </w:tcPr>
          <w:p>
            <w:pPr>
              <w:jc w:val="center"/>
            </w:pPr>
            <w:r>
              <w:rPr>
                <w:b/>
                <w:bCs/>
                <w:color w:val="028090"/>
                <w:sz w:val="20"/>
                <w:szCs w:val="20"/>
              </w:rPr>
              <w:t xml:space="preserve">896</w:t>
            </w:r>
          </w:p>
        </w:tc>
        <w:tc>
          <w:tcPr>
            <w:tcW w:type="dxa" w:w="3117"/>
            <w:shd w:fill="EEF1F8" w:val="clear"/>
            <w:tcMar>
              <w:top w:type="dxa" w:w="80"/>
              <w:left w:type="dxa" w:w="100"/>
              <w:bottom w:type="dxa" w:w="80"/>
              <w:right w:type="dxa" w:w="100"/>
            </w:tcMar>
          </w:tcPr>
          <w:p>
            <w:pPr>
              <w:jc w:val="center"/>
            </w:pPr>
            <w:r>
              <w:rPr>
                <w:b/>
                <w:bCs/>
                <w:color w:val="028090"/>
                <w:sz w:val="20"/>
                <w:szCs w:val="20"/>
              </w:rPr>
              <w:t xml:space="preserve">10</w:t>
            </w:r>
          </w:p>
        </w:tc>
        <w:tc>
          <w:tcPr>
            <w:tcW w:type="dxa" w:w="3116"/>
            <w:shd w:fill="EEF1F8" w:val="clear"/>
            <w:tcMar>
              <w:top w:type="dxa" w:w="80"/>
              <w:left w:type="dxa" w:w="100"/>
              <w:bottom w:type="dxa" w:w="80"/>
              <w:right w:type="dxa" w:w="100"/>
            </w:tcMar>
          </w:tcPr>
          <w:p>
            <w:pPr>
              <w:jc w:val="center"/>
            </w:pPr>
            <w:r>
              <w:rPr>
                <w:b/>
                <w:bCs/>
                <w:color w:val="028090"/>
                <w:sz w:val="20"/>
                <w:szCs w:val="20"/>
              </w:rPr>
              <w:t xml:space="preserve">5</w:t>
            </w:r>
          </w:p>
        </w:tc>
      </w:tr>
      <w:tr>
        <w:tc>
          <w:tcPr>
            <w:tcW w:type="dxa" w:w="3117"/>
            <w:tcMar>
              <w:top w:type="dxa" w:w="80"/>
              <w:left w:type="dxa" w:w="100"/>
              <w:bottom w:type="dxa" w:w="80"/>
              <w:right w:type="dxa" w:w="100"/>
            </w:tcMar>
          </w:tcPr>
          <w:p>
            <w:pPr>
              <w:jc w:val="center"/>
            </w:pPr>
            <w:r>
              <w:rPr>
                <w:b w:val="false"/>
                <w:bCs w:val="false"/>
                <w:color w:val="000000"/>
                <w:sz w:val="20"/>
                <w:szCs w:val="20"/>
              </w:rPr>
              <w:t xml:space="preserve">fragmentos de normativa indexados</w:t>
            </w:r>
          </w:p>
        </w:tc>
        <w:tc>
          <w:tcPr>
            <w:tcW w:type="dxa" w:w="3117"/>
            <w:tcMar>
              <w:top w:type="dxa" w:w="80"/>
              <w:left w:type="dxa" w:w="100"/>
              <w:bottom w:type="dxa" w:w="80"/>
              <w:right w:type="dxa" w:w="100"/>
            </w:tcMar>
          </w:tcPr>
          <w:p>
            <w:pPr>
              <w:jc w:val="center"/>
            </w:pPr>
            <w:r>
              <w:rPr>
                <w:b w:val="false"/>
                <w:bCs w:val="false"/>
                <w:color w:val="000000"/>
                <w:sz w:val="20"/>
                <w:szCs w:val="20"/>
              </w:rPr>
              <w:t xml:space="preserve">reglamentos reales de la UTE (~311 páginas)</w:t>
            </w:r>
          </w:p>
        </w:tc>
        <w:tc>
          <w:tcPr>
            <w:tcW w:type="dxa" w:w="3116"/>
            <w:tcMar>
              <w:top w:type="dxa" w:w="80"/>
              <w:left w:type="dxa" w:w="100"/>
              <w:bottom w:type="dxa" w:w="80"/>
              <w:right w:type="dxa" w:w="100"/>
            </w:tcMar>
          </w:tcPr>
          <w:p>
            <w:pPr>
              <w:jc w:val="center"/>
            </w:pPr>
            <w:r>
              <w:rPr>
                <w:b w:val="false"/>
                <w:bCs w:val="false"/>
                <w:color w:val="000000"/>
                <w:sz w:val="20"/>
                <w:szCs w:val="20"/>
              </w:rPr>
              <w:t xml:space="preserve">criterios de cumplimiento evaluados por sílabo</w:t>
            </w:r>
          </w:p>
        </w:tc>
      </w:tr>
    </w:tbl>
    <w:p>
      <w:r>
        <w:br w:type="page"/>
      </w:r>
    </w:p>
    <w:p>
      <w:pPr>
        <w:pStyle w:val="Heading1"/>
        <w:spacing w:after="200" w:before="420"/>
      </w:pPr>
      <w:r>
        <w:rPr>
          <w:b/>
          <w:bCs/>
          <w:color w:val="1E2761"/>
        </w:rPr>
        <w:t xml:space="preserve">1. Problema  ·  15% de la rúbrica</w:t>
      </w:r>
    </w:p>
    <w:p>
      <w:pPr>
        <w:pStyle w:val="Heading2"/>
        <w:spacing w:after="120" w:before="280"/>
      </w:pPr>
      <w:r>
        <w:rPr>
          <w:b/>
          <w:bCs/>
          <w:color w:val="2F3C7E"/>
        </w:rPr>
        <w:t xml:space="preserve">¿Qué problema resuelve?</w:t>
      </w:r>
    </w:p>
    <w:p>
      <w:pPr>
        <w:spacing w:after="160"/>
      </w:pPr>
      <w:r>
        <w:rPr>
          <w:sz w:val="22"/>
          <w:szCs w:val="22"/>
        </w:rPr>
        <w:t xml:space="preserve">La revisión de cumplimiento normativo de un sílabo —¿declara objetivos?, ¿define resultados de aprendizaje?, ¿detalla contenidos, metodología y criterios de calificación conforme al Art. 67 del Reglamento de Régimen Académico?— se hace hoy leyendo el documento y buscando manualmente en reglamentos de decenas de páginas. Es lento, subjetivo y sin trazabilidad de qué artículo exige cada elemento.</w:t>
      </w:r>
    </w:p>
    <w:p>
      <w:pPr>
        <w:pStyle w:val="Heading2"/>
        <w:spacing w:after="120" w:before="280"/>
      </w:pPr>
      <w:r>
        <w:rPr>
          <w:b/>
          <w:bCs/>
          <w:color w:val="2F3C7E"/>
        </w:rPr>
        <w:t xml:space="preserve">¿Para quién?</w:t>
      </w:r>
    </w:p>
    <w:p>
      <w:pPr>
        <w:spacing w:after="160"/>
      </w:pPr>
      <w:r>
        <w:rPr>
          <w:sz w:val="22"/>
          <w:szCs w:val="22"/>
        </w:rPr>
        <w:t xml:space="preserve">Para coordinadores y directores de carrera de la UTE, que revisan sílabos antes del inicio de cada periodo, y —en una segunda fase— para los propios docentes, que podrían autoevaluar su sílabo antes de entregarlo.</w:t>
      </w:r>
    </w:p>
    <w:p>
      <w:pPr>
        <w:pStyle w:val="Heading2"/>
        <w:spacing w:after="120" w:before="280"/>
      </w:pPr>
      <w:r>
        <w:rPr>
          <w:b/>
          <w:bCs/>
          <w:color w:val="2F3C7E"/>
        </w:rPr>
        <w:t xml:space="preserve">¿Por qué es relevante?</w:t>
      </w:r>
    </w:p>
    <w:p>
      <w:pPr>
        <w:pStyle w:val="ListParagraph"/>
        <w:numPr>
          <w:ilvl w:val="0"/>
          <w:numId w:val="1"/>
        </w:numPr>
        <w:spacing w:after="80"/>
      </w:pPr>
      <w:r>
        <w:rPr>
          <w:sz w:val="22"/>
          <w:szCs w:val="22"/>
        </w:rPr>
        <w:t xml:space="preserve">El cumplimiento normativo del sílabo es un requisito de aseguramiento de calidad y de los procesos de acreditación institucional.</w:t>
      </w:r>
    </w:p>
    <w:p>
      <w:pPr>
        <w:pStyle w:val="ListParagraph"/>
        <w:numPr>
          <w:ilvl w:val="0"/>
          <w:numId w:val="1"/>
        </w:numPr>
        <w:spacing w:after="80"/>
      </w:pPr>
      <w:r>
        <w:rPr>
          <w:sz w:val="22"/>
          <w:szCs w:val="22"/>
        </w:rPr>
        <w:t xml:space="preserve">Un sílabo incompleto detectado tarde (ya iniciado el periodo) genera retrabajo para el docente y la coordinación.</w:t>
      </w:r>
    </w:p>
    <w:p>
      <w:pPr>
        <w:pStyle w:val="ListParagraph"/>
        <w:numPr>
          <w:ilvl w:val="0"/>
          <w:numId w:val="1"/>
        </w:numPr>
        <w:spacing w:after="80"/>
      </w:pPr>
      <w:r>
        <w:rPr>
          <w:sz w:val="22"/>
          <w:szCs w:val="22"/>
        </w:rPr>
        <w:t xml:space="preserve">La falta de trazabilidad ("¿qué artículo exige esto?") hace que la retroalimentación a los docentes sea poco específica y genere fricción.</w:t>
      </w:r>
    </w:p>
    <w:p>
      <w:pPr>
        <w:pStyle w:val="Heading2"/>
        <w:spacing w:after="120" w:before="280"/>
      </w:pPr>
      <w:r>
        <w:rPr>
          <w:b/>
          <w:bCs/>
          <w:color w:val="2F3C7E"/>
        </w:rPr>
        <w:t xml:space="preserve">¿Qué se hacía antes y cuál es la mejora?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rPr>
          <w:tblHeader/>
        </w:trPr>
        <w:tc>
          <w:tcPr>
            <w:tcW w:type="dxa" w:w="2200"/>
            <w:shd w:fill="1E2761" w:val="clear"/>
            <w:tcMar>
              <w:top w:type="dxa" w:w="80"/>
              <w:left w:type="dxa" w:w="100"/>
              <w:bottom w:type="dxa" w:w="80"/>
              <w:right w:type="dxa" w:w="100"/>
            </w:tcMar>
          </w:tcPr>
          <w:p>
            <w:r>
              <w:rPr>
                <w:b/>
                <w:bCs/>
                <w:color w:val="FFFFFF"/>
                <w:sz w:val="20"/>
                <w:szCs w:val="20"/>
              </w:rPr>
              <w:t xml:space="preserve"/>
            </w:r>
          </w:p>
        </w:tc>
        <w:tc>
          <w:tcPr>
            <w:tcW w:type="dxa" w:w="3600"/>
            <w:shd w:fill="1E2761" w:val="clear"/>
            <w:tcMar>
              <w:top w:type="dxa" w:w="80"/>
              <w:left w:type="dxa" w:w="100"/>
              <w:bottom w:type="dxa" w:w="80"/>
              <w:right w:type="dxa" w:w="100"/>
            </w:tcMar>
          </w:tcPr>
          <w:p>
            <w:r>
              <w:rPr>
                <w:b/>
                <w:bCs/>
                <w:color w:val="FFFFFF"/>
                <w:sz w:val="20"/>
                <w:szCs w:val="20"/>
              </w:rPr>
              <w:t xml:space="preserve">Antes (proceso manual)</w:t>
            </w:r>
          </w:p>
        </w:tc>
        <w:tc>
          <w:tcPr>
            <w:tcW w:type="dxa" w:w="3550"/>
            <w:shd w:fill="1E2761" w:val="clear"/>
            <w:tcMar>
              <w:top w:type="dxa" w:w="80"/>
              <w:left w:type="dxa" w:w="100"/>
              <w:bottom w:type="dxa" w:w="80"/>
              <w:right w:type="dxa" w:w="100"/>
            </w:tcMar>
          </w:tcPr>
          <w:p>
            <w:r>
              <w:rPr>
                <w:b/>
                <w:bCs/>
                <w:color w:val="FFFFFF"/>
                <w:sz w:val="20"/>
                <w:szCs w:val="20"/>
              </w:rPr>
              <w:t xml:space="preserve">Con el sistema (RAG)</w:t>
            </w:r>
          </w:p>
        </w:tc>
      </w:tr>
      <w:tr>
        <w:tc>
          <w:tcPr>
            <w:tcW w:type="dxa" w:w="2200"/>
            <w:tcMar>
              <w:top w:type="dxa" w:w="80"/>
              <w:left w:type="dxa" w:w="100"/>
              <w:bottom w:type="dxa" w:w="80"/>
              <w:right w:type="dxa" w:w="100"/>
            </w:tcMar>
          </w:tcPr>
          <w:p>
            <w:r>
              <w:rPr>
                <w:b w:val="false"/>
                <w:bCs w:val="false"/>
                <w:color w:val="000000"/>
                <w:sz w:val="20"/>
                <w:szCs w:val="20"/>
              </w:rPr>
              <w:t xml:space="preserve">Tiempo</w:t>
            </w:r>
          </w:p>
        </w:tc>
        <w:tc>
          <w:tcPr>
            <w:tcW w:type="dxa" w:w="3600"/>
            <w:tcMar>
              <w:top w:type="dxa" w:w="80"/>
              <w:left w:type="dxa" w:w="100"/>
              <w:bottom w:type="dxa" w:w="80"/>
              <w:right w:type="dxa" w:w="100"/>
            </w:tcMar>
          </w:tcPr>
          <w:p>
            <w:r>
              <w:rPr>
                <w:b w:val="false"/>
                <w:bCs w:val="false"/>
                <w:color w:val="000000"/>
                <w:sz w:val="20"/>
                <w:szCs w:val="20"/>
              </w:rPr>
              <w:t xml:space="preserve">Minutos a horas por sílabo, según experiencia del revisor</w:t>
            </w:r>
          </w:p>
        </w:tc>
        <w:tc>
          <w:tcPr>
            <w:tcW w:type="dxa" w:w="3550"/>
            <w:tcMar>
              <w:top w:type="dxa" w:w="80"/>
              <w:left w:type="dxa" w:w="100"/>
              <w:bottom w:type="dxa" w:w="80"/>
              <w:right w:type="dxa" w:w="100"/>
            </w:tcMar>
          </w:tcPr>
          <w:p>
            <w:r>
              <w:rPr>
                <w:b w:val="false"/>
                <w:bCs w:val="false"/>
                <w:color w:val="000000"/>
                <w:sz w:val="20"/>
                <w:szCs w:val="20"/>
              </w:rPr>
              <w:t xml:space="preserve">Segundos por sílabo</w:t>
            </w:r>
          </w:p>
        </w:tc>
      </w:tr>
      <w:tr>
        <w:tc>
          <w:tcPr>
            <w:tcW w:type="dxa" w:w="2200"/>
            <w:shd w:fill="EEF1F8" w:val="clear"/>
            <w:tcMar>
              <w:top w:type="dxa" w:w="80"/>
              <w:left w:type="dxa" w:w="100"/>
              <w:bottom w:type="dxa" w:w="80"/>
              <w:right w:type="dxa" w:w="100"/>
            </w:tcMar>
          </w:tcPr>
          <w:p>
            <w:r>
              <w:rPr>
                <w:b w:val="false"/>
                <w:bCs w:val="false"/>
                <w:color w:val="000000"/>
                <w:sz w:val="20"/>
                <w:szCs w:val="20"/>
              </w:rPr>
              <w:t xml:space="preserve">Criterio</w:t>
            </w:r>
          </w:p>
        </w:tc>
        <w:tc>
          <w:tcPr>
            <w:tcW w:type="dxa" w:w="3600"/>
            <w:shd w:fill="EEF1F8" w:val="clear"/>
            <w:tcMar>
              <w:top w:type="dxa" w:w="80"/>
              <w:left w:type="dxa" w:w="100"/>
              <w:bottom w:type="dxa" w:w="80"/>
              <w:right w:type="dxa" w:w="100"/>
            </w:tcMar>
          </w:tcPr>
          <w:p>
            <w:r>
              <w:rPr>
                <w:b w:val="false"/>
                <w:bCs w:val="false"/>
                <w:color w:val="000000"/>
                <w:sz w:val="20"/>
                <w:szCs w:val="20"/>
              </w:rPr>
              <w:t xml:space="preserve">Varía según quién revisa</w:t>
            </w:r>
          </w:p>
        </w:tc>
        <w:tc>
          <w:tcPr>
            <w:tcW w:type="dxa" w:w="3550"/>
            <w:shd w:fill="EEF1F8" w:val="clear"/>
            <w:tcMar>
              <w:top w:type="dxa" w:w="80"/>
              <w:left w:type="dxa" w:w="100"/>
              <w:bottom w:type="dxa" w:w="80"/>
              <w:right w:type="dxa" w:w="100"/>
            </w:tcMar>
          </w:tcPr>
          <w:p>
            <w:r>
              <w:rPr>
                <w:b w:val="false"/>
                <w:bCs w:val="false"/>
                <w:color w:val="000000"/>
                <w:sz w:val="20"/>
                <w:szCs w:val="20"/>
              </w:rPr>
              <w:t xml:space="preserve">Mismo checklist de 5 criterios, siempre</w:t>
            </w:r>
          </w:p>
        </w:tc>
      </w:tr>
      <w:tr>
        <w:tc>
          <w:tcPr>
            <w:tcW w:type="dxa" w:w="2200"/>
            <w:tcMar>
              <w:top w:type="dxa" w:w="80"/>
              <w:left w:type="dxa" w:w="100"/>
              <w:bottom w:type="dxa" w:w="80"/>
              <w:right w:type="dxa" w:w="100"/>
            </w:tcMar>
          </w:tcPr>
          <w:p>
            <w:r>
              <w:rPr>
                <w:b w:val="false"/>
                <w:bCs w:val="false"/>
                <w:color w:val="000000"/>
                <w:sz w:val="20"/>
                <w:szCs w:val="20"/>
              </w:rPr>
              <w:t xml:space="preserve">Trazabilidad</w:t>
            </w:r>
          </w:p>
        </w:tc>
        <w:tc>
          <w:tcPr>
            <w:tcW w:type="dxa" w:w="3600"/>
            <w:tcMar>
              <w:top w:type="dxa" w:w="80"/>
              <w:left w:type="dxa" w:w="100"/>
              <w:bottom w:type="dxa" w:w="80"/>
              <w:right w:type="dxa" w:w="100"/>
            </w:tcMar>
          </w:tcPr>
          <w:p>
            <w:r>
              <w:rPr>
                <w:b w:val="false"/>
                <w:bCs w:val="false"/>
                <w:color w:val="000000"/>
                <w:sz w:val="20"/>
                <w:szCs w:val="20"/>
              </w:rPr>
              <w:t xml:space="preserve">Rara vez se cita el artículo exacto</w:t>
            </w:r>
          </w:p>
        </w:tc>
        <w:tc>
          <w:tcPr>
            <w:tcW w:type="dxa" w:w="3550"/>
            <w:tcMar>
              <w:top w:type="dxa" w:w="80"/>
              <w:left w:type="dxa" w:w="100"/>
              <w:bottom w:type="dxa" w:w="80"/>
              <w:right w:type="dxa" w:w="100"/>
            </w:tcMar>
          </w:tcPr>
          <w:p>
            <w:r>
              <w:rPr>
                <w:b w:val="false"/>
                <w:bCs w:val="false"/>
                <w:color w:val="000000"/>
                <w:sz w:val="20"/>
                <w:szCs w:val="20"/>
              </w:rPr>
              <w:t xml:space="preserve">Cada veredicto cita artículo y documento fuente</w:t>
            </w:r>
          </w:p>
        </w:tc>
      </w:tr>
      <w:tr>
        <w:tc>
          <w:tcPr>
            <w:tcW w:type="dxa" w:w="2200"/>
            <w:shd w:fill="EEF1F8" w:val="clear"/>
            <w:tcMar>
              <w:top w:type="dxa" w:w="80"/>
              <w:left w:type="dxa" w:w="100"/>
              <w:bottom w:type="dxa" w:w="80"/>
              <w:right w:type="dxa" w:w="100"/>
            </w:tcMar>
          </w:tcPr>
          <w:p>
            <w:r>
              <w:rPr>
                <w:b w:val="false"/>
                <w:bCs w:val="false"/>
                <w:color w:val="000000"/>
                <w:sz w:val="20"/>
                <w:szCs w:val="20"/>
              </w:rPr>
              <w:t xml:space="preserve">Entrada</w:t>
            </w:r>
          </w:p>
        </w:tc>
        <w:tc>
          <w:tcPr>
            <w:tcW w:type="dxa" w:w="3600"/>
            <w:shd w:fill="EEF1F8" w:val="clear"/>
            <w:tcMar>
              <w:top w:type="dxa" w:w="80"/>
              <w:left w:type="dxa" w:w="100"/>
              <w:bottom w:type="dxa" w:w="80"/>
              <w:right w:type="dxa" w:w="100"/>
            </w:tcMar>
          </w:tcPr>
          <w:p>
            <w:r>
              <w:rPr>
                <w:b w:val="false"/>
                <w:bCs w:val="false"/>
                <w:color w:val="000000"/>
                <w:sz w:val="20"/>
                <w:szCs w:val="20"/>
              </w:rPr>
              <w:t xml:space="preserve">Solo lectura manual del documento</w:t>
            </w:r>
          </w:p>
        </w:tc>
        <w:tc>
          <w:tcPr>
            <w:tcW w:type="dxa" w:w="3550"/>
            <w:shd w:fill="EEF1F8" w:val="clear"/>
            <w:tcMar>
              <w:top w:type="dxa" w:w="80"/>
              <w:left w:type="dxa" w:w="100"/>
              <w:bottom w:type="dxa" w:w="80"/>
              <w:right w:type="dxa" w:w="100"/>
            </w:tcMar>
          </w:tcPr>
          <w:p>
            <w:r>
              <w:rPr>
                <w:b w:val="false"/>
                <w:bCs w:val="false"/>
                <w:color w:val="000000"/>
                <w:sz w:val="20"/>
                <w:szCs w:val="20"/>
              </w:rPr>
              <w:t xml:space="preserve">Texto pegado o archivo Word (.docx) subido directamente</w:t>
            </w:r>
          </w:p>
        </w:tc>
      </w:tr>
    </w:tbl>
    <w:p>
      <w:pPr>
        <w:pStyle w:val="Heading1"/>
        <w:spacing w:after="200" w:before="420"/>
      </w:pPr>
      <w:r>
        <w:rPr>
          <w:b/>
          <w:bCs/>
          <w:color w:val="1E2761"/>
        </w:rPr>
        <w:t xml:space="preserve">2. Solución con IA  ·  20% calidad de la solución + 15% uso apropiado de GenAI/RAG</w:t>
      </w:r>
    </w:p>
    <w:p>
      <w:pPr>
        <w:pStyle w:val="Heading2"/>
        <w:spacing w:after="120" w:before="280"/>
      </w:pPr>
      <w:r>
        <w:rPr>
          <w:b/>
          <w:bCs/>
          <w:color w:val="2F3C7E"/>
        </w:rPr>
        <w:t xml:space="preserve">¿Qué propone el equipo?</w:t>
      </w:r>
    </w:p>
    <w:p>
      <w:pPr>
        <w:spacing w:after="160"/>
      </w:pPr>
      <w:r>
        <w:rPr>
          <w:sz w:val="22"/>
          <w:szCs w:val="22"/>
        </w:rPr>
        <w:t xml:space="preserve">Un sistema de RAG fundamentado (grounded) en el corpus real de normativa de la UTE: por cada uno de los 5 criterios del checklist (objetivos, resultados de aprendizaje, contenidos, metodología, criterios de calificación), el sistema recupera los 3 fragmentos de normativa más relevantes —combinando búsqueda semántica y por palabra clave, ver recuperación híbrida más abajo— y le pide a un modelo de lenguaje que emita un veredicto —CUMPLE, NO_CUMPLE o NO_DETERMINADO— citando el artículo exacto. El mismo motor de recuperación se reutilizó como mejora secundaria del AI Tutor ya existente en la plataforma, para fundamentar sus pistas en la normativa cuando aplica, sin afectar su comportamiento si la recuperación falla (degradación silenciosa, a prueba de fallos).</w:t>
      </w:r>
    </w:p>
    <w:p>
      <w:pPr>
        <w:pStyle w:val="Heading2"/>
        <w:spacing w:after="120" w:before="280"/>
      </w:pPr>
      <w:r>
        <w:rPr>
          <w:b/>
          <w:bCs/>
          <w:color w:val="2F3C7E"/>
        </w:rPr>
        <w:t xml:space="preserve">¿Por qué utilizar IA?</w:t>
      </w:r>
    </w:p>
    <w:p>
      <w:pPr>
        <w:pStyle w:val="ListParagraph"/>
        <w:numPr>
          <w:ilvl w:val="0"/>
          <w:numId w:val="1"/>
        </w:numPr>
        <w:spacing w:after="80"/>
      </w:pPr>
      <w:r>
        <w:rPr>
          <w:sz w:val="22"/>
          <w:szCs w:val="22"/>
        </w:rPr>
        <w:t xml:space="preserve">El lenguaje de los sílabos es libre: dos docentes describen el mismo contenido con palabras distintas. Una regla de palabras clave (regex) no captura esa variabilidad semántica; un LLM (Large Language Model: modelo de lenguaje de gran tamaño) con contexto recuperado sí.</w:t>
      </w:r>
    </w:p>
    <w:p>
      <w:pPr>
        <w:pStyle w:val="ListParagraph"/>
        <w:numPr>
          <w:ilvl w:val="0"/>
          <w:numId w:val="1"/>
        </w:numPr>
        <w:spacing w:after="80"/>
      </w:pPr>
      <w:r>
        <w:rPr>
          <w:sz w:val="22"/>
          <w:szCs w:val="22"/>
        </w:rPr>
        <w:t xml:space="preserve">Se necesita una explicación en lenguaje natural para el docente, no solo un sí/no — eso es generación, no solo clasificación.</w:t>
      </w:r>
    </w:p>
    <w:p>
      <w:pPr>
        <w:pStyle w:val="ListParagraph"/>
        <w:numPr>
          <w:ilvl w:val="0"/>
          <w:numId w:val="1"/>
        </w:numPr>
        <w:spacing w:after="80"/>
      </w:pPr>
      <w:r>
        <w:rPr>
          <w:sz w:val="22"/>
          <w:szCs w:val="22"/>
        </w:rPr>
        <w:t xml:space="preserve">El checklist y los artículos normativos cambian con el tiempo; re-indexar el corpus (en vez de reescribir reglas) es más sostenible.</w:t>
      </w:r>
    </w:p>
    <w:p>
      <w:pPr>
        <w:pStyle w:val="Heading2"/>
        <w:spacing w:after="120" w:before="280"/>
      </w:pPr>
      <w:r>
        <w:rPr>
          <w:b/>
          <w:bCs/>
          <w:color w:val="2F3C7E"/>
        </w:rPr>
        <w:t xml:space="preserve">¿Qué técnica utilizaron?</w:t>
      </w:r>
    </w:p>
    <w:p>
      <w:pPr>
        <w:spacing w:after="160"/>
      </w:pPr>
      <w:r>
        <w:rPr>
          <w:sz w:val="22"/>
          <w:szCs w:val="22"/>
        </w:rPr>
        <w:t xml:space="preserve">RAG (Retrieval-Augmented Generation) — no fine-tuning ni un modelo de ML (Machine Learning: aprendizaje automático supervisado) entrenado desde cero. Dos puertos independientes y desacoplados entre sí, siguiendo Clean/Hexagonal Architecture:</w:t>
      </w:r>
    </w:p>
    <w:p>
      <w:pPr>
        <w:pStyle w:val="ListParagraph"/>
        <w:numPr>
          <w:ilvl w:val="0"/>
          <w:numId w:val="1"/>
        </w:numPr>
        <w:spacing w:after="80"/>
      </w:pPr>
      <w:r>
        <w:rPr>
          <w:b/>
          <w:bCs/>
          <w:sz w:val="22"/>
          <w:szCs w:val="22"/>
        </w:rPr>
        <w:t xml:space="preserve">EmbeddingPort</w:t>
      </w:r>
      <w:r>
        <w:rPr>
          <w:sz w:val="22"/>
          <w:szCs w:val="22"/>
        </w:rPr>
        <w:t xml:space="preserve"> — convierte texto en vectores para la búsqueda semántica. Implementación real: </w:t>
      </w:r>
      <w:r>
        <w:rPr>
          <w:b/>
          <w:bCs/>
          <w:sz w:val="22"/>
          <w:szCs w:val="22"/>
        </w:rPr>
        <w:t xml:space="preserve">Text Embeddings Inference (TEI, el servidor que calcula los embeddings)</w:t>
      </w:r>
      <w:r>
        <w:rPr>
          <w:sz w:val="22"/>
          <w:szCs w:val="22"/>
        </w:rPr>
        <w:t xml:space="preserve"> sirviendo </w:t>
      </w:r>
      <w:r>
        <w:rPr>
          <w:b/>
          <w:bCs/>
          <w:sz w:val="22"/>
          <w:szCs w:val="22"/>
        </w:rPr>
        <w:t xml:space="preserve">intfloat/multilingual-e5-large</w:t>
      </w:r>
      <w:r>
        <w:rPr>
          <w:sz w:val="22"/>
          <w:szCs w:val="22"/>
        </w:rPr>
        <w:t xml:space="preserve"> (560M parámetros, multilingüe, soporta español de forma nativa).</w:t>
      </w:r>
    </w:p>
    <w:p>
      <w:pPr>
        <w:pStyle w:val="ListParagraph"/>
        <w:numPr>
          <w:ilvl w:val="0"/>
          <w:numId w:val="1"/>
        </w:numPr>
        <w:spacing w:after="80"/>
      </w:pPr>
      <w:r>
        <w:rPr>
          <w:b/>
          <w:bCs/>
          <w:sz w:val="22"/>
          <w:szCs w:val="22"/>
        </w:rPr>
        <w:t xml:space="preserve">RagPort</w:t>
      </w:r>
      <w:r>
        <w:rPr>
          <w:sz w:val="22"/>
          <w:szCs w:val="22"/>
        </w:rPr>
        <w:t xml:space="preserve"> — genera texto a partir de un prompt con contexto recuperado. Implementación real: </w:t>
      </w:r>
      <w:r>
        <w:rPr>
          <w:b/>
          <w:bCs/>
          <w:sz w:val="22"/>
          <w:szCs w:val="22"/>
        </w:rPr>
        <w:t xml:space="preserve">vLLM</w:t>
      </w:r>
      <w:r>
        <w:rPr>
          <w:sz w:val="22"/>
          <w:szCs w:val="22"/>
        </w:rPr>
        <w:t xml:space="preserve"> (motor de inferencia de código abierto, optimizado para servir LLMs a alta velocidad) sirviendo </w:t>
      </w:r>
      <w:r>
        <w:rPr>
          <w:b/>
          <w:bCs/>
          <w:sz w:val="22"/>
          <w:szCs w:val="22"/>
        </w:rPr>
        <w:t xml:space="preserve">Qwen/Qwen2.5-7B-Instruct</w:t>
      </w:r>
      <w:r>
        <w:rPr>
          <w:sz w:val="22"/>
          <w:szCs w:val="22"/>
        </w:rPr>
        <w:t xml:space="preserve">, con API (interfaz de programación de aplicaciones) compatible OpenAI (intercambiable por GitHub Models cambiando una sola variable de entorno, sin tocar código).</w:t>
      </w:r>
    </w:p>
    <w:p>
      <w:pPr>
        <w:pStyle w:val="ListParagraph"/>
        <w:numPr>
          <w:ilvl w:val="0"/>
          <w:numId w:val="1"/>
        </w:numPr>
        <w:spacing w:after="80"/>
      </w:pPr>
      <w:r>
        <w:rPr>
          <w:sz w:val="22"/>
          <w:szCs w:val="22"/>
        </w:rPr>
        <w:t xml:space="preserve">Ambos puertos son </w:t>
      </w:r>
      <w:r>
        <w:rPr>
          <w:b/>
          <w:bCs/>
          <w:sz w:val="22"/>
          <w:szCs w:val="22"/>
        </w:rPr>
        <w:t xml:space="preserve">independientes entre sí y del AIProvider</w:t>
      </w:r>
      <w:r>
        <w:rPr>
          <w:sz w:val="22"/>
          <w:szCs w:val="22"/>
        </w:rPr>
        <w:t xml:space="preserve"> que ya usaba el AI Tutor — permiten swap mock↔real por variable de entorno, y los tests (ver sección 7) corren 100% contra adaptadores mock, sin red real.</w:t>
      </w:r>
    </w:p>
    <w:p>
      <w:pPr>
        <w:pStyle w:val="Heading2"/>
        <w:spacing w:after="120" w:before="280"/>
      </w:pPr>
      <w:r>
        <w:rPr>
          <w:b/>
          <w:bCs/>
          <w:color w:val="2F3C7E"/>
        </w:rPr>
        <w:t xml:space="preserve">Recuperación híbrida: palabra clave + semántica</w:t>
      </w:r>
    </w:p>
    <w:p>
      <w:pPr>
        <w:spacing w:after="160"/>
      </w:pPr>
      <w:r>
        <w:rPr>
          <w:sz w:val="22"/>
          <w:szCs w:val="22"/>
        </w:rPr>
        <w:t xml:space="preserve">La búsqueda sobre el corpus no es solo vectorial: combina dos rankings independientes, fusionados con RRF (Reciprocal Rank Fusion: método que combina varios rankings usando solo la posición de cada resultado en cada uno, no su puntaje crudo, para que ninguno domine al otro por escala).</w:t>
      </w:r>
    </w:p>
    <w:p>
      <w:pPr>
        <w:pStyle w:val="ListParagraph"/>
        <w:numPr>
          <w:ilvl w:val="0"/>
          <w:numId w:val="1"/>
        </w:numPr>
        <w:spacing w:after="80"/>
      </w:pPr>
      <w:r>
        <w:rPr>
          <w:b/>
          <w:bCs/>
          <w:sz w:val="22"/>
          <w:szCs w:val="22"/>
        </w:rPr>
        <w:t xml:space="preserve">Ranking semántico: </w:t>
      </w:r>
      <w:r>
        <w:rPr>
          <w:sz w:val="22"/>
          <w:szCs w:val="22"/>
        </w:rPr>
        <w:t xml:space="preserve">similitud de coseno sobre los embeddings — encuentra fragmentos relacionados por significado, aunque no compartan las mismas palabras.</w:t>
      </w:r>
    </w:p>
    <w:p>
      <w:pPr>
        <w:pStyle w:val="ListParagraph"/>
        <w:numPr>
          <w:ilvl w:val="0"/>
          <w:numId w:val="1"/>
        </w:numPr>
        <w:spacing w:after="80"/>
      </w:pPr>
      <w:r>
        <w:rPr>
          <w:b/>
          <w:bCs/>
          <w:sz w:val="22"/>
          <w:szCs w:val="22"/>
        </w:rPr>
        <w:t xml:space="preserve">Ranking por palabra clave: </w:t>
      </w:r>
      <w:r>
        <w:rPr>
          <w:sz w:val="22"/>
          <w:szCs w:val="22"/>
        </w:rPr>
        <w:t xml:space="preserve">BM25 (algoritmo clásico de ranking por coincidencia léxica exacta, el mismo principio que usan los motores de búsqueda de texto) sobre el texto de los fragmentos — encuentra el artículo que usa literalmente la misma palabra que la consulta, incluso si el embedding no lo ubica entre los más similares.</w:t>
      </w:r>
    </w:p>
    <w:p>
      <w:pPr>
        <w:pStyle w:val="ListParagraph"/>
        <w:numPr>
          <w:ilvl w:val="0"/>
          <w:numId w:val="1"/>
        </w:numPr>
        <w:spacing w:after="80"/>
      </w:pPr>
      <w:r>
        <w:rPr>
          <w:sz w:val="22"/>
          <w:szCs w:val="22"/>
        </w:rPr>
        <w:t xml:space="preserve">El índice BM25 se construye una sola vez por petición (no una vez por cada uno de los 5 criterios o las 15 preguntas de evaluación) para no repetir ese cálculo innecesariamente en el servidor de producción.</w:t>
      </w:r>
    </w:p>
    <w:p>
      <w:pPr>
        <w:spacing w:after="160"/>
      </w:pPr>
      <w:r>
        <w:rPr>
          <w:sz w:val="22"/>
          <w:szCs w:val="22"/>
        </w:rPr>
        <w:t xml:space="preserve">Comparado con las otras técnicas de la rúbrica: no es ML clásico (no hay entrenamiento de un modelo supervisado propio), no es un agente autónomo con herramientas externas (eso ya existe en la plataforma como el AI Tutor, y aquí solo se reutiliza su motor de recuperación), y no es GenAI (Generative AI: inteligencia artificial generativa) "a secas" sin recuperación — la sección de Resultados mide exactamente esa diferencia comparando respuesta con RAG contra respuesta baseline (solo el LLM, sin contexto recuperado).</w:t>
      </w:r>
    </w:p>
    <w:p>
      <w:pPr>
        <w:pStyle w:val="Heading1"/>
        <w:spacing w:after="200" w:before="420"/>
      </w:pPr>
      <w:r>
        <w:rPr>
          <w:b/>
          <w:bCs/>
          <w:color w:val="1E2761"/>
        </w:rPr>
        <w:t xml:space="preserve">3. Datos  ·  componente de 15% calidad técnica y arquitectura</w:t>
      </w:r>
    </w:p>
    <w:p>
      <w:pPr>
        <w:pStyle w:val="Heading2"/>
        <w:spacing w:after="120" w:before="280"/>
      </w:pPr>
      <w:r>
        <w:rPr>
          <w:b/>
          <w:bCs/>
          <w:color w:val="2F3C7E"/>
        </w:rPr>
        <w:t xml:space="preserve">Fuente de los datos</w:t>
      </w:r>
    </w:p>
    <w:p>
      <w:pPr>
        <w:spacing w:after="160"/>
      </w:pPr>
      <w:r>
        <w:rPr>
          <w:sz w:val="22"/>
          <w:szCs w:val="22"/>
        </w:rPr>
        <w:t xml:space="preserve">10 documentos normativos reales de la Universidad UTE, recopilados por el autor del proyecto: LOES 2025, Reglamento de Régimen Académico (codificado), Reglamento del Estudiante y su reforma, Reglamento de Carrera y Escalafón del Personal Académico, Reglamento de Posgrados, dos instructivos de posgrados, el Instructivo de Segunda Lengua y un instructivo de perfeccionamiento académico.</w:t>
      </w:r>
    </w:p>
    <w:p>
      <w:pPr>
        <w:pStyle w:val="Heading2"/>
        <w:spacing w:after="120" w:before="280"/>
      </w:pPr>
      <w:r>
        <w:rPr>
          <w:b/>
          <w:bCs/>
          <w:color w:val="2F3C7E"/>
        </w:rPr>
        <w:t xml:space="preserve">Tamaño y características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800"/>
        <w:gridCol w:w="1350"/>
        <w:gridCol w:w="3200"/>
      </w:tblGrid>
      <w:tr>
        <w:trPr>
          <w:tblHeader/>
        </w:trPr>
        <w:tc>
          <w:tcPr>
            <w:tcW w:type="dxa" w:w="4800"/>
            <w:shd w:fill="1E2761" w:val="clear"/>
            <w:tcMar>
              <w:top w:type="dxa" w:w="80"/>
              <w:left w:type="dxa" w:w="100"/>
              <w:bottom w:type="dxa" w:w="80"/>
              <w:right w:type="dxa" w:w="100"/>
            </w:tcMar>
          </w:tcPr>
          <w:p>
            <w:r>
              <w:rPr>
                <w:b/>
                <w:bCs/>
                <w:color w:val="FFFFFF"/>
                <w:sz w:val="20"/>
                <w:szCs w:val="20"/>
              </w:rPr>
              <w:t xml:space="preserve">Documento</w:t>
            </w:r>
          </w:p>
        </w:tc>
        <w:tc>
          <w:tcPr>
            <w:tcW w:type="dxa" w:w="1350"/>
            <w:shd w:fill="1E2761" w:val="clear"/>
            <w:tcMar>
              <w:top w:type="dxa" w:w="80"/>
              <w:left w:type="dxa" w:w="100"/>
              <w:bottom w:type="dxa" w:w="80"/>
              <w:right w:type="dxa" w:w="100"/>
            </w:tcMar>
          </w:tcPr>
          <w:p>
            <w:r>
              <w:rPr>
                <w:b/>
                <w:bCs/>
                <w:color w:val="FFFFFF"/>
                <w:sz w:val="20"/>
                <w:szCs w:val="20"/>
              </w:rPr>
              <w:t xml:space="preserve">Páginas</w:t>
            </w:r>
          </w:p>
        </w:tc>
        <w:tc>
          <w:tcPr>
            <w:tcW w:type="dxa" w:w="3200"/>
            <w:shd w:fill="1E2761" w:val="clear"/>
            <w:tcMar>
              <w:top w:type="dxa" w:w="80"/>
              <w:left w:type="dxa" w:w="100"/>
              <w:bottom w:type="dxa" w:w="80"/>
              <w:right w:type="dxa" w:w="100"/>
            </w:tcMar>
          </w:tcPr>
          <w:p>
            <w:r>
              <w:rPr>
                <w:b/>
                <w:bCs/>
                <w:color w:val="FFFFFF"/>
                <w:sz w:val="20"/>
                <w:szCs w:val="20"/>
              </w:rPr>
              <w:t xml:space="preserve">Rol</w:t>
            </w:r>
          </w:p>
        </w:tc>
      </w:tr>
      <w:tr>
        <w:tc>
          <w:tcPr>
            <w:tcW w:type="dxa" w:w="4800"/>
            <w:tcMar>
              <w:top w:type="dxa" w:w="80"/>
              <w:left w:type="dxa" w:w="100"/>
              <w:bottom w:type="dxa" w:w="80"/>
              <w:right w:type="dxa" w:w="100"/>
            </w:tcMar>
          </w:tcPr>
          <w:p>
            <w:r>
              <w:rPr>
                <w:b w:val="false"/>
                <w:bCs w:val="false"/>
                <w:color w:val="000000"/>
                <w:sz w:val="20"/>
                <w:szCs w:val="20"/>
              </w:rPr>
              <w:t xml:space="preserve">Reglamento de Régimen Académico (codificado)</w:t>
            </w:r>
          </w:p>
        </w:tc>
        <w:tc>
          <w:tcPr>
            <w:tcW w:type="dxa" w:w="1350"/>
            <w:tcMar>
              <w:top w:type="dxa" w:w="80"/>
              <w:left w:type="dxa" w:w="100"/>
              <w:bottom w:type="dxa" w:w="80"/>
              <w:right w:type="dxa" w:w="100"/>
            </w:tcMar>
          </w:tcPr>
          <w:p>
            <w:r>
              <w:rPr>
                <w:b w:val="false"/>
                <w:bCs w:val="false"/>
                <w:color w:val="000000"/>
                <w:sz w:val="20"/>
                <w:szCs w:val="20"/>
              </w:rPr>
              <w:t xml:space="preserve">42</w:t>
            </w:r>
          </w:p>
        </w:tc>
        <w:tc>
          <w:tcPr>
            <w:tcW w:type="dxa" w:w="3200"/>
            <w:tcMar>
              <w:top w:type="dxa" w:w="80"/>
              <w:left w:type="dxa" w:w="100"/>
              <w:bottom w:type="dxa" w:w="80"/>
              <w:right w:type="dxa" w:w="100"/>
            </w:tcMar>
          </w:tcPr>
          <w:p>
            <w:r>
              <w:rPr>
                <w:b w:val="false"/>
                <w:bCs w:val="false"/>
                <w:color w:val="000000"/>
                <w:sz w:val="20"/>
                <w:szCs w:val="20"/>
              </w:rPr>
              <w:t xml:space="preserve">Núcleo del caso de uso: define qué debe contener un sílabo</w:t>
            </w:r>
          </w:p>
        </w:tc>
      </w:tr>
      <w:tr>
        <w:tc>
          <w:tcPr>
            <w:tcW w:type="dxa" w:w="4800"/>
            <w:shd w:fill="EEF1F8" w:val="clear"/>
            <w:tcMar>
              <w:top w:type="dxa" w:w="80"/>
              <w:left w:type="dxa" w:w="100"/>
              <w:bottom w:type="dxa" w:w="80"/>
              <w:right w:type="dxa" w:w="100"/>
            </w:tcMar>
          </w:tcPr>
          <w:p>
            <w:r>
              <w:rPr>
                <w:b w:val="false"/>
                <w:bCs w:val="false"/>
                <w:color w:val="000000"/>
                <w:sz w:val="20"/>
                <w:szCs w:val="20"/>
              </w:rPr>
              <w:t xml:space="preserve">Reglamento del Estudiante (codificación) + reforma</w:t>
            </w:r>
          </w:p>
        </w:tc>
        <w:tc>
          <w:tcPr>
            <w:tcW w:type="dxa" w:w="1350"/>
            <w:shd w:fill="EEF1F8" w:val="clear"/>
            <w:tcMar>
              <w:top w:type="dxa" w:w="80"/>
              <w:left w:type="dxa" w:w="100"/>
              <w:bottom w:type="dxa" w:w="80"/>
              <w:right w:type="dxa" w:w="100"/>
            </w:tcMar>
          </w:tcPr>
          <w:p>
            <w:r>
              <w:rPr>
                <w:b w:val="false"/>
                <w:bCs w:val="false"/>
                <w:color w:val="000000"/>
                <w:sz w:val="20"/>
                <w:szCs w:val="20"/>
              </w:rPr>
              <w:t xml:space="preserve">37</w:t>
            </w:r>
          </w:p>
        </w:tc>
        <w:tc>
          <w:tcPr>
            <w:tcW w:type="dxa" w:w="3200"/>
            <w:shd w:fill="EEF1F8" w:val="clear"/>
            <w:tcMar>
              <w:top w:type="dxa" w:w="80"/>
              <w:left w:type="dxa" w:w="100"/>
              <w:bottom w:type="dxa" w:w="80"/>
              <w:right w:type="dxa" w:w="100"/>
            </w:tcMar>
          </w:tcPr>
          <w:p>
            <w:r>
              <w:rPr>
                <w:b w:val="false"/>
                <w:bCs w:val="false"/>
                <w:color w:val="000000"/>
                <w:sz w:val="20"/>
                <w:szCs w:val="20"/>
              </w:rPr>
              <w:t xml:space="preserve">Criterios de evaluación aplicables al sílabo</w:t>
            </w:r>
          </w:p>
        </w:tc>
      </w:tr>
      <w:tr>
        <w:tc>
          <w:tcPr>
            <w:tcW w:type="dxa" w:w="4800"/>
            <w:tcMar>
              <w:top w:type="dxa" w:w="80"/>
              <w:left w:type="dxa" w:w="100"/>
              <w:bottom w:type="dxa" w:w="80"/>
              <w:right w:type="dxa" w:w="100"/>
            </w:tcMar>
          </w:tcPr>
          <w:p>
            <w:r>
              <w:rPr>
                <w:b w:val="false"/>
                <w:bCs w:val="false"/>
                <w:color w:val="000000"/>
                <w:sz w:val="20"/>
                <w:szCs w:val="20"/>
              </w:rPr>
              <w:t xml:space="preserve">LOES 2025</w:t>
            </w:r>
          </w:p>
        </w:tc>
        <w:tc>
          <w:tcPr>
            <w:tcW w:type="dxa" w:w="1350"/>
            <w:tcMar>
              <w:top w:type="dxa" w:w="80"/>
              <w:left w:type="dxa" w:w="100"/>
              <w:bottom w:type="dxa" w:w="80"/>
              <w:right w:type="dxa" w:w="100"/>
            </w:tcMar>
          </w:tcPr>
          <w:p>
            <w:r>
              <w:rPr>
                <w:b w:val="false"/>
                <w:bCs w:val="false"/>
                <w:color w:val="000000"/>
                <w:sz w:val="20"/>
                <w:szCs w:val="20"/>
              </w:rPr>
              <w:t xml:space="preserve">71</w:t>
            </w:r>
          </w:p>
        </w:tc>
        <w:tc>
          <w:tcPr>
            <w:tcW w:type="dxa" w:w="3200"/>
            <w:tcMar>
              <w:top w:type="dxa" w:w="80"/>
              <w:left w:type="dxa" w:w="100"/>
              <w:bottom w:type="dxa" w:w="80"/>
              <w:right w:type="dxa" w:w="100"/>
            </w:tcMar>
          </w:tcPr>
          <w:p>
            <w:r>
              <w:rPr>
                <w:b w:val="false"/>
                <w:bCs w:val="false"/>
                <w:color w:val="000000"/>
                <w:sz w:val="20"/>
                <w:szCs w:val="20"/>
              </w:rPr>
              <w:t xml:space="preserve">Marco legal general</w:t>
            </w:r>
          </w:p>
        </w:tc>
      </w:tr>
      <w:tr>
        <w:tc>
          <w:tcPr>
            <w:tcW w:type="dxa" w:w="4800"/>
            <w:shd w:fill="EEF1F8" w:val="clear"/>
            <w:tcMar>
              <w:top w:type="dxa" w:w="80"/>
              <w:left w:type="dxa" w:w="100"/>
              <w:bottom w:type="dxa" w:w="80"/>
              <w:right w:type="dxa" w:w="100"/>
            </w:tcMar>
          </w:tcPr>
          <w:p>
            <w:r>
              <w:rPr>
                <w:b w:val="false"/>
                <w:bCs w:val="false"/>
                <w:color w:val="000000"/>
                <w:sz w:val="20"/>
                <w:szCs w:val="20"/>
              </w:rPr>
              <w:t xml:space="preserve">Reglamento de Carrera y Escalafón del Personal Académico</w:t>
            </w:r>
          </w:p>
        </w:tc>
        <w:tc>
          <w:tcPr>
            <w:tcW w:type="dxa" w:w="1350"/>
            <w:shd w:fill="EEF1F8" w:val="clear"/>
            <w:tcMar>
              <w:top w:type="dxa" w:w="80"/>
              <w:left w:type="dxa" w:w="100"/>
              <w:bottom w:type="dxa" w:w="80"/>
              <w:right w:type="dxa" w:w="100"/>
            </w:tcMar>
          </w:tcPr>
          <w:p>
            <w:r>
              <w:rPr>
                <w:b w:val="false"/>
                <w:bCs w:val="false"/>
                <w:color w:val="000000"/>
                <w:sz w:val="20"/>
                <w:szCs w:val="20"/>
              </w:rPr>
              <w:t xml:space="preserve">106</w:t>
            </w:r>
          </w:p>
        </w:tc>
        <w:tc>
          <w:tcPr>
            <w:tcW w:type="dxa" w:w="3200"/>
            <w:shd w:fill="EEF1F8" w:val="clear"/>
            <w:tcMar>
              <w:top w:type="dxa" w:w="80"/>
              <w:left w:type="dxa" w:w="100"/>
              <w:bottom w:type="dxa" w:w="80"/>
              <w:right w:type="dxa" w:w="100"/>
            </w:tcMar>
          </w:tcPr>
          <w:p>
            <w:r>
              <w:rPr>
                <w:b w:val="false"/>
                <w:bCs w:val="false"/>
                <w:color w:val="000000"/>
                <w:sz w:val="20"/>
                <w:szCs w:val="20"/>
              </w:rPr>
              <w:t xml:space="preserve">Insumo para el próximo paso: distributivo docente</w:t>
            </w:r>
          </w:p>
        </w:tc>
      </w:tr>
      <w:tr>
        <w:tc>
          <w:tcPr>
            <w:tcW w:type="dxa" w:w="4800"/>
            <w:tcMar>
              <w:top w:type="dxa" w:w="80"/>
              <w:left w:type="dxa" w:w="100"/>
              <w:bottom w:type="dxa" w:w="80"/>
              <w:right w:type="dxa" w:w="100"/>
            </w:tcMar>
          </w:tcPr>
          <w:p>
            <w:r>
              <w:rPr>
                <w:b w:val="false"/>
                <w:bCs w:val="false"/>
                <w:color w:val="000000"/>
                <w:sz w:val="20"/>
                <w:szCs w:val="20"/>
              </w:rPr>
              <w:t xml:space="preserve">Reglamento de Posgrados + 2 instructivos de posgrado</w:t>
            </w:r>
          </w:p>
        </w:tc>
        <w:tc>
          <w:tcPr>
            <w:tcW w:type="dxa" w:w="1350"/>
            <w:tcMar>
              <w:top w:type="dxa" w:w="80"/>
              <w:left w:type="dxa" w:w="100"/>
              <w:bottom w:type="dxa" w:w="80"/>
              <w:right w:type="dxa" w:w="100"/>
            </w:tcMar>
          </w:tcPr>
          <w:p>
            <w:r>
              <w:rPr>
                <w:b w:val="false"/>
                <w:bCs w:val="false"/>
                <w:color w:val="000000"/>
                <w:sz w:val="20"/>
                <w:szCs w:val="20"/>
              </w:rPr>
              <w:t xml:space="preserve">32</w:t>
            </w:r>
          </w:p>
        </w:tc>
        <w:tc>
          <w:tcPr>
            <w:tcW w:type="dxa" w:w="3200"/>
            <w:tcMar>
              <w:top w:type="dxa" w:w="80"/>
              <w:left w:type="dxa" w:w="100"/>
              <w:bottom w:type="dxa" w:w="80"/>
              <w:right w:type="dxa" w:w="100"/>
            </w:tcMar>
          </w:tcPr>
          <w:p>
            <w:r>
              <w:rPr>
                <w:b w:val="false"/>
                <w:bCs w:val="false"/>
                <w:color w:val="000000"/>
                <w:sz w:val="20"/>
                <w:szCs w:val="20"/>
              </w:rPr>
              <w:t xml:space="preserve">Aplica si el sílabo es de posgrado (2 de estos 3 son PDF escaneado, ver gap abajo)</w:t>
            </w:r>
          </w:p>
        </w:tc>
      </w:tr>
      <w:tr>
        <w:tc>
          <w:tcPr>
            <w:tcW w:type="dxa" w:w="4800"/>
            <w:shd w:fill="EEF1F8" w:val="clear"/>
            <w:tcMar>
              <w:top w:type="dxa" w:w="80"/>
              <w:left w:type="dxa" w:w="100"/>
              <w:bottom w:type="dxa" w:w="80"/>
              <w:right w:type="dxa" w:w="100"/>
            </w:tcMar>
          </w:tcPr>
          <w:p>
            <w:r>
              <w:rPr>
                <w:b w:val="false"/>
                <w:bCs w:val="false"/>
                <w:color w:val="000000"/>
                <w:sz w:val="20"/>
                <w:szCs w:val="20"/>
              </w:rPr>
              <w:t xml:space="preserve">Instructivo Segunda Lengua</w:t>
            </w:r>
          </w:p>
        </w:tc>
        <w:tc>
          <w:tcPr>
            <w:tcW w:type="dxa" w:w="1350"/>
            <w:shd w:fill="EEF1F8" w:val="clear"/>
            <w:tcMar>
              <w:top w:type="dxa" w:w="80"/>
              <w:left w:type="dxa" w:w="100"/>
              <w:bottom w:type="dxa" w:w="80"/>
              <w:right w:type="dxa" w:w="100"/>
            </w:tcMar>
          </w:tcPr>
          <w:p>
            <w:r>
              <w:rPr>
                <w:b w:val="false"/>
                <w:bCs w:val="false"/>
                <w:color w:val="000000"/>
                <w:sz w:val="20"/>
                <w:szCs w:val="20"/>
              </w:rPr>
              <w:t xml:space="preserve">12</w:t>
            </w:r>
          </w:p>
        </w:tc>
        <w:tc>
          <w:tcPr>
            <w:tcW w:type="dxa" w:w="3200"/>
            <w:shd w:fill="EEF1F8" w:val="clear"/>
            <w:tcMar>
              <w:top w:type="dxa" w:w="80"/>
              <w:left w:type="dxa" w:w="100"/>
              <w:bottom w:type="dxa" w:w="80"/>
              <w:right w:type="dxa" w:w="100"/>
            </w:tcMar>
          </w:tcPr>
          <w:p>
            <w:r>
              <w:rPr>
                <w:b w:val="false"/>
                <w:bCs w:val="false"/>
                <w:color w:val="000000"/>
                <w:sz w:val="20"/>
                <w:szCs w:val="20"/>
              </w:rPr>
              <w:t xml:space="preserve">Requisito aplicable a ciertos sílabos</w:t>
            </w:r>
          </w:p>
        </w:tc>
      </w:tr>
      <w:tr>
        <w:tc>
          <w:tcPr>
            <w:tcW w:type="dxa" w:w="4800"/>
            <w:tcMar>
              <w:top w:type="dxa" w:w="80"/>
              <w:left w:type="dxa" w:w="100"/>
              <w:bottom w:type="dxa" w:w="80"/>
              <w:right w:type="dxa" w:w="100"/>
            </w:tcMar>
          </w:tcPr>
          <w:p>
            <w:r>
              <w:rPr>
                <w:b w:val="false"/>
                <w:bCs w:val="false"/>
                <w:color w:val="000000"/>
                <w:sz w:val="20"/>
                <w:szCs w:val="20"/>
              </w:rPr>
              <w:t xml:space="preserve">Instructivo Perfeccionamiento Académico</w:t>
            </w:r>
          </w:p>
        </w:tc>
        <w:tc>
          <w:tcPr>
            <w:tcW w:type="dxa" w:w="1350"/>
            <w:tcMar>
              <w:top w:type="dxa" w:w="80"/>
              <w:left w:type="dxa" w:w="100"/>
              <w:bottom w:type="dxa" w:w="80"/>
              <w:right w:type="dxa" w:w="100"/>
            </w:tcMar>
          </w:tcPr>
          <w:p>
            <w:r>
              <w:rPr>
                <w:b w:val="false"/>
                <w:bCs w:val="false"/>
                <w:color w:val="000000"/>
                <w:sz w:val="20"/>
                <w:szCs w:val="20"/>
              </w:rPr>
              <w:t xml:space="preserve">11</w:t>
            </w:r>
          </w:p>
        </w:tc>
        <w:tc>
          <w:tcPr>
            <w:tcW w:type="dxa" w:w="3200"/>
            <w:tcMar>
              <w:top w:type="dxa" w:w="80"/>
              <w:left w:type="dxa" w:w="100"/>
              <w:bottom w:type="dxa" w:w="80"/>
              <w:right w:type="dxa" w:w="100"/>
            </w:tcMar>
          </w:tcPr>
          <w:p>
            <w:r>
              <w:rPr>
                <w:b w:val="false"/>
                <w:bCs w:val="false"/>
                <w:color w:val="000000"/>
                <w:sz w:val="20"/>
                <w:szCs w:val="20"/>
              </w:rPr>
              <w:t xml:space="preserve">Tangencial</w:t>
            </w:r>
          </w:p>
        </w:tc>
      </w:tr>
    </w:tbl>
    <w:p>
      <w:pPr>
        <w:spacing w:after="160"/>
      </w:pPr>
      <w:r>
        <w:rPr>
          <w:b/>
          <w:bCs/>
          <w:sz w:val="22"/>
          <w:szCs w:val="22"/>
        </w:rPr>
        <w:t xml:space="preserve">Total: ~311 páginas, 10 documentos → 896 fragmentos (chunks) extraídos.</w:t>
      </w:r>
    </w:p>
    <w:p>
      <w:pPr>
        <w:pStyle w:val="Heading2"/>
        <w:spacing w:after="120" w:before="280"/>
      </w:pPr>
      <w:r>
        <w:rPr>
          <w:b/>
          <w:bCs/>
          <w:color w:val="2F3C7E"/>
        </w:rPr>
        <w:t xml:space="preserve">Preprocesamiento</w:t>
      </w:r>
    </w:p>
    <w:p>
      <w:pPr>
        <w:pStyle w:val="ListParagraph"/>
        <w:numPr>
          <w:ilvl w:val="0"/>
          <w:numId w:val="1"/>
        </w:numPr>
        <w:spacing w:after="80"/>
      </w:pPr>
      <w:r>
        <w:rPr>
          <w:sz w:val="22"/>
          <w:szCs w:val="22"/>
        </w:rPr>
        <w:t xml:space="preserve">Extracción de texto con pdftotext -layout (conserva la disposición de columnas/artículos).</w:t>
      </w:r>
    </w:p>
    <w:p>
      <w:pPr>
        <w:pStyle w:val="ListParagraph"/>
        <w:numPr>
          <w:ilvl w:val="0"/>
          <w:numId w:val="1"/>
        </w:numPr>
        <w:spacing w:after="80"/>
      </w:pPr>
      <w:r>
        <w:rPr>
          <w:sz w:val="22"/>
          <w:szCs w:val="22"/>
        </w:rPr>
        <w:t xml:space="preserve">Segmentación (chunking) por patrón de encabezado de artículo (p. ej. "Artículo 67.", "Art. 40-"), con un segundo modo por párrafo para documentos sin esa estructura.</w:t>
      </w:r>
    </w:p>
    <w:p>
      <w:pPr>
        <w:pStyle w:val="ListParagraph"/>
        <w:numPr>
          <w:ilvl w:val="0"/>
          <w:numId w:val="1"/>
        </w:numPr>
        <w:spacing w:after="80"/>
      </w:pPr>
      <w:r>
        <w:rPr>
          <w:sz w:val="22"/>
          <w:szCs w:val="22"/>
        </w:rPr>
        <w:t xml:space="preserve">Cada chunk conserva su documento de origen y, cuando aplica, el número de artículo — esa es la cita que el sistema devuelve en cada veredicto.</w:t>
      </w:r>
    </w:p>
    <w:p>
      <w:pPr>
        <w:pStyle w:val="Heading2"/>
        <w:spacing w:after="120" w:before="280"/>
      </w:pPr>
      <w:r>
        <w:rPr>
          <w:b/>
          <w:bCs/>
          <w:color w:val="2F3C7E"/>
        </w:rPr>
        <w:t xml:space="preserve">Consideraciones de calidad, privacidad o sesgos</w:t>
      </w:r>
    </w:p>
    <w:p>
      <w:pPr>
        <w:pStyle w:val="ListParagraph"/>
        <w:numPr>
          <w:ilvl w:val="0"/>
          <w:numId w:val="1"/>
        </w:numPr>
        <w:spacing w:after="80"/>
      </w:pPr>
      <w:r>
        <w:rPr>
          <w:sz w:val="22"/>
          <w:szCs w:val="22"/>
        </w:rPr>
        <w:t xml:space="preserve">Los documentos son normativa institucional pública (no contienen datos personales de estudiantes ni docentes); se tratan como dato institucional sensible y no se versionan en el repositorio público del proyecto.</w:t>
      </w:r>
    </w:p>
    <w:p>
      <w:pPr>
        <w:pStyle w:val="ListParagraph"/>
        <w:numPr>
          <w:ilvl w:val="0"/>
          <w:numId w:val="1"/>
        </w:numPr>
        <w:spacing w:after="80"/>
      </w:pPr>
      <w:r>
        <w:rPr>
          <w:b/>
          <w:bCs/>
          <w:sz w:val="22"/>
          <w:szCs w:val="22"/>
        </w:rPr>
        <w:t xml:space="preserve">Gap conocido: </w:t>
      </w:r>
      <w:r>
        <w:rPr>
          <w:sz w:val="22"/>
          <w:szCs w:val="22"/>
        </w:rPr>
        <w:t xml:space="preserve">2 de los 10 PDF son documentos escaneados sin capa de texto (el Reglamento de Posgrados 2017 y la Resolución-Instructivo de Posgrados CCSS) — produjeron 0 chunks. No afecta el caso de uso principal (sílabos de pregrado); incorporarlos requiere OCR (Optical Character Recognition: reconocimiento óptico de caracteres, convierte una imagen escaneada en texto), documentado como paso futuro (sección 8).</w:t>
      </w:r>
    </w:p>
    <w:p>
      <w:pPr>
        <w:pStyle w:val="ListParagraph"/>
        <w:numPr>
          <w:ilvl w:val="0"/>
          <w:numId w:val="1"/>
        </w:numPr>
        <w:spacing w:after="80"/>
      </w:pPr>
      <w:r>
        <w:rPr>
          <w:sz w:val="22"/>
          <w:szCs w:val="22"/>
        </w:rPr>
        <w:t xml:space="preserve">El corpus se indexa completo, sin filtrar a mano, para que el sistema cite la fuente correcta según el tipo de sílabo y para justificar el componente de embeddings a una escala real, no trivial.</w:t>
      </w:r>
    </w:p>
    <w:p>
      <w:pPr>
        <w:pStyle w:val="Heading2"/>
        <w:spacing w:after="120" w:before="280"/>
      </w:pPr>
      <w:r>
        <w:rPr>
          <w:b/>
          <w:bCs/>
          <w:color w:val="2F3C7E"/>
        </w:rPr>
        <w:t xml:space="preserve">Conjunto de evaluación</w:t>
      </w:r>
    </w:p>
    <w:p>
      <w:pPr>
        <w:spacing w:after="160"/>
      </w:pPr>
      <w:r>
        <w:rPr>
          <w:sz w:val="22"/>
          <w:szCs w:val="22"/>
        </w:rPr>
        <w:t xml:space="preserve">15 preguntas reales, cada una anclada a un artículo específico del corpus (12/15 sobre evaluación/sílabo del Reglamento de Régimen Académico y el Reglamento del Estudiante — el caso de uso principal; 3/15 de otros documentos, para variedad). Versionado en el repositorio (scripts/rag/data/eval_set.jsonl) porque no contiene información institucional sensible, a diferencia del resto del corpus.</w:t>
      </w:r>
    </w:p>
    <w:p>
      <w:pPr>
        <w:pStyle w:val="Heading1"/>
        <w:spacing w:after="200" w:before="420"/>
      </w:pPr>
      <w:r>
        <w:rPr>
          <w:b/>
          <w:bCs/>
          <w:color w:val="1E2761"/>
        </w:rPr>
        <w:t xml:space="preserve">4. Modelo  ·  10% modelo evaluado con métricas</w:t>
      </w:r>
    </w:p>
    <w:p>
      <w:pPr>
        <w:pStyle w:val="Heading2"/>
        <w:spacing w:after="120" w:before="280"/>
      </w:pPr>
      <w:r>
        <w:rPr>
          <w:b/>
          <w:bCs/>
          <w:color w:val="2F3C7E"/>
        </w:rPr>
        <w:t xml:space="preserve">Arquitectura del modelo</w:t>
      </w:r>
    </w:p>
    <w:p>
      <w:pPr>
        <w:spacing w:after="160"/>
      </w:pPr>
      <w:r>
        <w:rPr>
          <w:sz w:val="22"/>
          <w:szCs w:val="22"/>
        </w:rPr>
        <w:t xml:space="preserve">Dos modelos pre-entrenados abiertos, cada uno detrás de su propio puerto, más una base de datos vectorial embebida y un índice de palabra clave, corriendo en el VPS (Virtual Private Server: servidor privado virtual) de producción — la pieza que no necesita GPU usa su CPU (unidad central de procesamiento) normal: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50"/>
      </w:tblGrid>
      <w:tr>
        <w:trPr>
          <w:tblHeader/>
        </w:trPr>
        <w:tc>
          <w:tcPr>
            <w:tcW w:type="dxa" w:w="2400"/>
            <w:shd w:fill="1E2761" w:val="clear"/>
            <w:tcMar>
              <w:top w:type="dxa" w:w="80"/>
              <w:left w:type="dxa" w:w="100"/>
              <w:bottom w:type="dxa" w:w="80"/>
              <w:right w:type="dxa" w:w="100"/>
            </w:tcMar>
          </w:tcPr>
          <w:p>
            <w:r>
              <w:rPr>
                <w:b/>
                <w:bCs/>
                <w:color w:val="FFFFFF"/>
                <w:sz w:val="20"/>
                <w:szCs w:val="20"/>
              </w:rPr>
              <w:t xml:space="preserve">Componente</w:t>
            </w:r>
          </w:p>
        </w:tc>
        <w:tc>
          <w:tcPr>
            <w:tcW w:type="dxa" w:w="4400"/>
            <w:shd w:fill="1E2761" w:val="clear"/>
            <w:tcMar>
              <w:top w:type="dxa" w:w="80"/>
              <w:left w:type="dxa" w:w="100"/>
              <w:bottom w:type="dxa" w:w="80"/>
              <w:right w:type="dxa" w:w="100"/>
            </w:tcMar>
          </w:tcPr>
          <w:p>
            <w:r>
              <w:rPr>
                <w:b/>
                <w:bCs/>
                <w:color w:val="FFFFFF"/>
                <w:sz w:val="20"/>
                <w:szCs w:val="20"/>
              </w:rPr>
              <w:t xml:space="preserve">Modelo / tecnología</w:t>
            </w:r>
          </w:p>
        </w:tc>
        <w:tc>
          <w:tcPr>
            <w:tcW w:type="dxa" w:w="2550"/>
            <w:shd w:fill="1E2761" w:val="clear"/>
            <w:tcMar>
              <w:top w:type="dxa" w:w="80"/>
              <w:left w:type="dxa" w:w="100"/>
              <w:bottom w:type="dxa" w:w="80"/>
              <w:right w:type="dxa" w:w="100"/>
            </w:tcMar>
          </w:tcPr>
          <w:p>
            <w:r>
              <w:rPr>
                <w:b/>
                <w:bCs/>
                <w:color w:val="FFFFFF"/>
                <w:sz w:val="20"/>
                <w:szCs w:val="20"/>
              </w:rPr>
              <w:t xml:space="preserve">Dónde corre</w:t>
            </w:r>
          </w:p>
        </w:tc>
      </w:tr>
      <w:tr>
        <w:tc>
          <w:tcPr>
            <w:tcW w:type="dxa" w:w="2400"/>
            <w:tcMar>
              <w:top w:type="dxa" w:w="80"/>
              <w:left w:type="dxa" w:w="100"/>
              <w:bottom w:type="dxa" w:w="80"/>
              <w:right w:type="dxa" w:w="100"/>
            </w:tcMar>
          </w:tcPr>
          <w:p>
            <w:r>
              <w:rPr>
                <w:b w:val="false"/>
                <w:bCs w:val="false"/>
                <w:color w:val="000000"/>
                <w:sz w:val="20"/>
                <w:szCs w:val="20"/>
              </w:rPr>
              <w:t xml:space="preserve">Embeddings</w:t>
            </w:r>
          </w:p>
        </w:tc>
        <w:tc>
          <w:tcPr>
            <w:tcW w:type="dxa" w:w="4400"/>
            <w:tcMar>
              <w:top w:type="dxa" w:w="80"/>
              <w:left w:type="dxa" w:w="100"/>
              <w:bottom w:type="dxa" w:w="80"/>
              <w:right w:type="dxa" w:w="100"/>
            </w:tcMar>
          </w:tcPr>
          <w:p>
            <w:r>
              <w:rPr>
                <w:b w:val="false"/>
                <w:bCs w:val="false"/>
                <w:color w:val="000000"/>
                <w:sz w:val="20"/>
                <w:szCs w:val="20"/>
              </w:rPr>
              <w:t xml:space="preserve">intfloat/multilingual-e5-large (560M parámetros)</w:t>
            </w:r>
          </w:p>
        </w:tc>
        <w:tc>
          <w:tcPr>
            <w:tcW w:type="dxa" w:w="2550"/>
            <w:tcMar>
              <w:top w:type="dxa" w:w="80"/>
              <w:left w:type="dxa" w:w="100"/>
              <w:bottom w:type="dxa" w:w="80"/>
              <w:right w:type="dxa" w:w="100"/>
            </w:tcMar>
          </w:tcPr>
          <w:p>
            <w:r>
              <w:rPr>
                <w:b w:val="false"/>
                <w:bCs w:val="false"/>
                <w:color w:val="000000"/>
                <w:sz w:val="20"/>
                <w:szCs w:val="20"/>
              </w:rPr>
              <w:t xml:space="preserve">HPC CEDIA — Text Embeddings Inference (CPU)</w:t>
            </w:r>
          </w:p>
        </w:tc>
      </w:tr>
      <w:tr>
        <w:tc>
          <w:tcPr>
            <w:tcW w:type="dxa" w:w="2400"/>
            <w:shd w:fill="EEF1F8" w:val="clear"/>
            <w:tcMar>
              <w:top w:type="dxa" w:w="80"/>
              <w:left w:type="dxa" w:w="100"/>
              <w:bottom w:type="dxa" w:w="80"/>
              <w:right w:type="dxa" w:w="100"/>
            </w:tcMar>
          </w:tcPr>
          <w:p>
            <w:r>
              <w:rPr>
                <w:b w:val="false"/>
                <w:bCs w:val="false"/>
                <w:color w:val="000000"/>
                <w:sz w:val="20"/>
                <w:szCs w:val="20"/>
              </w:rPr>
              <w:t xml:space="preserve">Generación</w:t>
            </w:r>
          </w:p>
        </w:tc>
        <w:tc>
          <w:tcPr>
            <w:tcW w:type="dxa" w:w="4400"/>
            <w:shd w:fill="EEF1F8" w:val="clear"/>
            <w:tcMar>
              <w:top w:type="dxa" w:w="80"/>
              <w:left w:type="dxa" w:w="100"/>
              <w:bottom w:type="dxa" w:w="80"/>
              <w:right w:type="dxa" w:w="100"/>
            </w:tcMar>
          </w:tcPr>
          <w:p>
            <w:r>
              <w:rPr>
                <w:b w:val="false"/>
                <w:bCs w:val="false"/>
                <w:color w:val="000000"/>
                <w:sz w:val="20"/>
                <w:szCs w:val="20"/>
              </w:rPr>
              <w:t xml:space="preserve">Qwen/Qwen2.5-7B-Instruct</w:t>
            </w:r>
          </w:p>
        </w:tc>
        <w:tc>
          <w:tcPr>
            <w:tcW w:type="dxa" w:w="2550"/>
            <w:shd w:fill="EEF1F8" w:val="clear"/>
            <w:tcMar>
              <w:top w:type="dxa" w:w="80"/>
              <w:left w:type="dxa" w:w="100"/>
              <w:bottom w:type="dxa" w:w="80"/>
              <w:right w:type="dxa" w:w="100"/>
            </w:tcMar>
          </w:tcPr>
          <w:p>
            <w:r>
              <w:rPr>
                <w:b w:val="false"/>
                <w:bCs w:val="false"/>
                <w:color w:val="000000"/>
                <w:sz w:val="20"/>
                <w:szCs w:val="20"/>
              </w:rPr>
              <w:t xml:space="preserve">HPC CEDIA — vLLM (GPU NVIDIA A100 40GB)</w:t>
            </w:r>
          </w:p>
        </w:tc>
      </w:tr>
      <w:tr>
        <w:tc>
          <w:tcPr>
            <w:tcW w:type="dxa" w:w="2400"/>
            <w:tcMar>
              <w:top w:type="dxa" w:w="80"/>
              <w:left w:type="dxa" w:w="100"/>
              <w:bottom w:type="dxa" w:w="80"/>
              <w:right w:type="dxa" w:w="100"/>
            </w:tcMar>
          </w:tcPr>
          <w:p>
            <w:r>
              <w:rPr>
                <w:b w:val="false"/>
                <w:bCs w:val="false"/>
                <w:color w:val="000000"/>
                <w:sz w:val="20"/>
                <w:szCs w:val="20"/>
              </w:rPr>
              <w:t xml:space="preserve">Vector store</w:t>
            </w:r>
          </w:p>
        </w:tc>
        <w:tc>
          <w:tcPr>
            <w:tcW w:type="dxa" w:w="4400"/>
            <w:tcMar>
              <w:top w:type="dxa" w:w="80"/>
              <w:left w:type="dxa" w:w="100"/>
              <w:bottom w:type="dxa" w:w="80"/>
              <w:right w:type="dxa" w:w="100"/>
            </w:tcMar>
          </w:tcPr>
          <w:p>
            <w:r>
              <w:rPr>
                <w:b w:val="false"/>
                <w:bCs w:val="false"/>
                <w:color w:val="000000"/>
                <w:sz w:val="20"/>
                <w:szCs w:val="20"/>
              </w:rPr>
              <w:t xml:space="preserve">LanceDB (embebido, 896 vectores)</w:t>
            </w:r>
          </w:p>
        </w:tc>
        <w:tc>
          <w:tcPr>
            <w:tcW w:type="dxa" w:w="2550"/>
            <w:tcMar>
              <w:top w:type="dxa" w:w="80"/>
              <w:left w:type="dxa" w:w="100"/>
              <w:bottom w:type="dxa" w:w="80"/>
              <w:right w:type="dxa" w:w="100"/>
            </w:tcMar>
          </w:tcPr>
          <w:p>
            <w:r>
              <w:rPr>
                <w:b w:val="false"/>
                <w:bCs w:val="false"/>
                <w:color w:val="000000"/>
                <w:sz w:val="20"/>
                <w:szCs w:val="20"/>
              </w:rPr>
              <w:t xml:space="preserve">VPS de producción (co-localizado con la API)</w:t>
            </w:r>
          </w:p>
        </w:tc>
      </w:tr>
      <w:tr>
        <w:tc>
          <w:tcPr>
            <w:tcW w:type="dxa" w:w="2400"/>
            <w:shd w:fill="EEF1F8" w:val="clear"/>
            <w:tcMar>
              <w:top w:type="dxa" w:w="80"/>
              <w:left w:type="dxa" w:w="100"/>
              <w:bottom w:type="dxa" w:w="80"/>
              <w:right w:type="dxa" w:w="100"/>
            </w:tcMar>
          </w:tcPr>
          <w:p>
            <w:r>
              <w:rPr>
                <w:b w:val="false"/>
                <w:bCs w:val="false"/>
                <w:color w:val="000000"/>
                <w:sz w:val="20"/>
                <w:szCs w:val="20"/>
              </w:rPr>
              <w:t xml:space="preserve">Índice de palabra clave</w:t>
            </w:r>
          </w:p>
        </w:tc>
        <w:tc>
          <w:tcPr>
            <w:tcW w:type="dxa" w:w="4400"/>
            <w:shd w:fill="EEF1F8" w:val="clear"/>
            <w:tcMar>
              <w:top w:type="dxa" w:w="80"/>
              <w:left w:type="dxa" w:w="100"/>
              <w:bottom w:type="dxa" w:w="80"/>
              <w:right w:type="dxa" w:w="100"/>
            </w:tcMar>
          </w:tcPr>
          <w:p>
            <w:r>
              <w:rPr>
                <w:b w:val="false"/>
                <w:bCs w:val="false"/>
                <w:color w:val="000000"/>
                <w:sz w:val="20"/>
                <w:szCs w:val="20"/>
              </w:rPr>
              <w:t xml:space="preserve">BM25 (rank-bm25, puro Python)</w:t>
            </w:r>
          </w:p>
        </w:tc>
        <w:tc>
          <w:tcPr>
            <w:tcW w:type="dxa" w:w="2550"/>
            <w:shd w:fill="EEF1F8" w:val="clear"/>
            <w:tcMar>
              <w:top w:type="dxa" w:w="80"/>
              <w:left w:type="dxa" w:w="100"/>
              <w:bottom w:type="dxa" w:w="80"/>
              <w:right w:type="dxa" w:w="100"/>
            </w:tcMar>
          </w:tcPr>
          <w:p>
            <w:r>
              <w:rPr>
                <w:b w:val="false"/>
                <w:bCs w:val="false"/>
                <w:color w:val="000000"/>
                <w:sz w:val="20"/>
                <w:szCs w:val="20"/>
              </w:rPr>
              <w:t xml:space="preserve">VPS de producción (co-localizado con la API)</w:t>
            </w:r>
          </w:p>
        </w:tc>
      </w:tr>
    </w:tbl>
    <w:p>
      <w:pPr>
        <w:pStyle w:val="Heading2"/>
        <w:spacing w:after="120" w:before="280"/>
      </w:pPr>
      <w:r>
        <w:rPr>
          <w:b/>
          <w:bCs/>
          <w:color w:val="2F3C7E"/>
        </w:rPr>
        <w:t xml:space="preserve">Por qué se eligieron</w:t>
      </w:r>
    </w:p>
    <w:p>
      <w:pPr>
        <w:pStyle w:val="ListParagraph"/>
        <w:numPr>
          <w:ilvl w:val="0"/>
          <w:numId w:val="1"/>
        </w:numPr>
        <w:spacing w:after="80"/>
      </w:pPr>
      <w:r>
        <w:rPr>
          <w:sz w:val="22"/>
          <w:szCs w:val="22"/>
        </w:rPr>
        <w:t xml:space="preserve">E5 multilingual: soporta español de forma nativa (el corpus es 100% en español) y sigue una convención documentada de prefijos "query:"/"passage:" para distinguir texto de búsqueda de texto indexado — una práctica estándar de la familia E5 que el equipo implementó explícitamente (ver sección 7, hallazgo corregido).</w:t>
      </w:r>
    </w:p>
    <w:p>
      <w:pPr>
        <w:pStyle w:val="ListParagraph"/>
        <w:numPr>
          <w:ilvl w:val="0"/>
          <w:numId w:val="1"/>
        </w:numPr>
        <w:spacing w:after="80"/>
      </w:pPr>
      <w:r>
        <w:rPr>
          <w:sz w:val="22"/>
          <w:szCs w:val="22"/>
        </w:rPr>
        <w:t xml:space="preserve">Qwen2.5-7B-Instruct: modelo abierto, cabe en una sola GPU A100 de 40GB, no requiere token de Hugging Face, y tiene buen desempeño en instrucciones en español.</w:t>
      </w:r>
    </w:p>
    <w:p>
      <w:pPr>
        <w:pStyle w:val="ListParagraph"/>
        <w:numPr>
          <w:ilvl w:val="0"/>
          <w:numId w:val="1"/>
        </w:numPr>
        <w:spacing w:after="80"/>
      </w:pPr>
      <w:r>
        <w:rPr>
          <w:sz w:val="22"/>
          <w:szCs w:val="22"/>
        </w:rPr>
        <w:t xml:space="preserve">vLLM: servidor de inferencia de alto throughput con API compatible con OpenAI — permite, sin cambiar una línea de código, apuntar a GitHub Models (capa gratuita) como respaldo si el HPC no está disponible el día de la demo.</w:t>
      </w:r>
    </w:p>
    <w:p>
      <w:pPr>
        <w:pStyle w:val="ListParagraph"/>
        <w:numPr>
          <w:ilvl w:val="0"/>
          <w:numId w:val="1"/>
        </w:numPr>
        <w:spacing w:after="80"/>
      </w:pPr>
      <w:r>
        <w:rPr>
          <w:b/>
          <w:bCs/>
          <w:sz w:val="22"/>
          <w:szCs w:val="22"/>
        </w:rPr>
        <w:t xml:space="preserve">LanceDB: </w:t>
      </w:r>
      <w:r>
        <w:rPr>
          <w:sz w:val="22"/>
          <w:szCs w:val="22"/>
        </w:rPr>
        <w:t xml:space="preserve">decisión pedagógica deliberada. El volumen de datos (896 vectores) no exige una base de datos vectorial dedicada — cabría en una tabla de Postgres con búsqueda por fuerza bruta. Se eligió LanceDB, frente a alternativas como Chroma, precisamente para demostrar el uso de un componente de IA dedicado (objetivo del curso), eligiendo la opción embebida/más liviana. Por ser una librería embebida (no un servidor aparte), debe co-ubicarse con el proceso que la consulta — por eso vive en el VPS de producción, nunca en el HPC.</w:t>
      </w:r>
    </w:p>
    <w:p>
      <w:pPr>
        <w:pStyle w:val="ListParagraph"/>
        <w:numPr>
          <w:ilvl w:val="0"/>
          <w:numId w:val="1"/>
        </w:numPr>
        <w:spacing w:after="80"/>
      </w:pPr>
      <w:r>
        <w:rPr>
          <w:b/>
          <w:bCs/>
          <w:sz w:val="22"/>
          <w:szCs w:val="22"/>
        </w:rPr>
        <w:t xml:space="preserve">BM25 + RRF: </w:t>
      </w:r>
      <w:r>
        <w:rPr>
          <w:sz w:val="22"/>
          <w:szCs w:val="22"/>
        </w:rPr>
        <w:t xml:space="preserve">el ranking puramente semántico puede no recuperar un fragmento que comparte una palabra exacta con la consulta (p. ej. "calificación", "asistencia") si el embedding no lo ubica entre los más similares por razones no evidentes. BM25 cubre ese caso por coincidencia léxica; RRF fusiona ambos rankings sin que uno domine al otro por escala. Es la misma arquitectura de "búsqueda híbrida" que usan los motores de búsqueda empresariales (p. ej. Elasticsearch/OpenSearch), de donde se tomó también la constante de fusión (k=60).</w:t>
      </w:r>
    </w:p>
    <w:p>
      <w:pPr>
        <w:pStyle w:val="Heading2"/>
        <w:spacing w:after="120" w:before="280"/>
      </w:pPr>
      <w:r>
        <w:rPr>
          <w:b/>
          <w:bCs/>
          <w:color w:val="2F3C7E"/>
        </w:rPr>
        <w:t xml:space="preserve">Entrenamiento / fine-tuning</w:t>
      </w:r>
    </w:p>
    <w:p>
      <w:pPr>
        <w:spacing w:after="160"/>
      </w:pPr>
      <w:r>
        <w:rPr>
          <w:sz w:val="22"/>
          <w:szCs w:val="22"/>
        </w:rPr>
        <w:t xml:space="preserve">No aplica: ambos modelos se usan tal cual fueron publicados (zero-shot / few-shot grounded generation). El trabajo de "ajuste" del sistema está en el diseño del checklist de 5 criterios, el chunking por artículo, y el prompt que fuerza al LLM a citar la fuente — no en reentrenar pesos.</w:t>
      </w:r>
    </w:p>
    <w:p>
      <w:pPr>
        <w:pStyle w:val="Heading2"/>
        <w:spacing w:after="120" w:before="280"/>
      </w:pPr>
      <w:r>
        <w:rPr>
          <w:b/>
          <w:bCs/>
          <w:color w:val="2F3C7E"/>
        </w:rPr>
        <w:t xml:space="preserve">Métricas de evaluación</w:t>
      </w:r>
    </w:p>
    <w:p>
      <w:pPr>
        <w:spacing w:after="160"/>
      </w:pPr>
      <w:r>
        <w:rPr>
          <w:sz w:val="22"/>
          <w:szCs w:val="22"/>
        </w:rPr>
        <w:t xml:space="preserve">Caso de uso dedicado (RunEvaluationUseCase) que corre las 15 preguntas del eval set dos veces por pregunta:</w:t>
      </w:r>
    </w:p>
    <w:p>
      <w:pPr>
        <w:pStyle w:val="ListParagraph"/>
        <w:numPr>
          <w:ilvl w:val="0"/>
          <w:numId w:val="1"/>
        </w:numPr>
        <w:spacing w:after="80"/>
      </w:pPr>
      <w:r>
        <w:rPr>
          <w:b/>
          <w:bCs/>
          <w:sz w:val="22"/>
          <w:szCs w:val="22"/>
        </w:rPr>
        <w:t xml:space="preserve">Baseline: </w:t>
      </w:r>
      <w:r>
        <w:rPr>
          <w:sz w:val="22"/>
          <w:szCs w:val="22"/>
        </w:rPr>
        <w:t xml:space="preserve">el LLM responde solo con su conocimiento, sin ningún fragmento recuperado.</w:t>
      </w:r>
    </w:p>
    <w:p>
      <w:pPr>
        <w:pStyle w:val="ListParagraph"/>
        <w:numPr>
          <w:ilvl w:val="0"/>
          <w:numId w:val="1"/>
        </w:numPr>
        <w:spacing w:after="80"/>
      </w:pPr>
      <w:r>
        <w:rPr>
          <w:b/>
          <w:bCs/>
          <w:sz w:val="22"/>
          <w:szCs w:val="22"/>
        </w:rPr>
        <w:t xml:space="preserve">RAG: </w:t>
      </w:r>
      <w:r>
        <w:rPr>
          <w:sz w:val="22"/>
          <w:szCs w:val="22"/>
        </w:rPr>
        <w:t xml:space="preserve">se recuperan los 3 fragmentos más relevantes y el LLM genera la respuesta con ese contexto.</w:t>
      </w:r>
    </w:p>
    <w:p>
      <w:pPr>
        <w:spacing w:after="160"/>
      </w:pPr>
      <w:r>
        <w:rPr>
          <w:sz w:val="22"/>
          <w:szCs w:val="22"/>
        </w:rPr>
        <w:t xml:space="preserve">Cada respuesta se califica automáticamente comparando si cita el artículo esperado para esa pregunta. El resultado agregado (aciertos baseline vs. aciertos RAG sobre 15) es la métrica cuantitativa central del proyecto.</w:t>
      </w:r>
    </w:p>
    <w:p>
      <w:pPr>
        <w:pStyle w:val="Heading2"/>
        <w:spacing w:after="120" w:before="280"/>
      </w:pPr>
      <w:r>
        <w:rPr>
          <w:b/>
          <w:bCs/>
          <w:color w:val="2F3C7E"/>
        </w:rPr>
        <w:t xml:space="preserve">Comparación con un baseline</w:t>
      </w:r>
    </w:p>
    <w:p>
      <w:pPr>
        <w:spacing w:after="160"/>
      </w:pPr>
      <w:r>
        <w:rPr>
          <w:sz w:val="22"/>
          <w:szCs w:val="22"/>
        </w:rPr>
        <w:t xml:space="preserve">Resultado de la corrida más reciente contra producción: </w:t>
      </w:r>
      <w:r>
        <w:rPr>
          <w:b/>
          <w:bCs/>
          <w:color w:val="B42318"/>
          <w:sz w:val="22"/>
          <w:szCs w:val="22"/>
        </w:rPr>
        <w:t xml:space="preserve">pendiente de la corrida final sobre embeddings calculados con el prefijo correcto (ver nota en la sección 7 — bug real encontrado y corregido, commit 862a8ae). </w:t>
      </w:r>
    </w:p>
    <w:p>
      <w:pPr>
        <w:pStyle w:val="Heading1"/>
        <w:spacing w:after="200" w:before="420"/>
      </w:pPr>
      <w:r>
        <w:rPr>
          <w:b/>
          <w:bCs/>
          <w:color w:val="1E2761"/>
        </w:rPr>
        <w:t xml:space="preserve">5. Demo funcional</w:t>
      </w:r>
    </w:p>
    <w:p>
      <w:pPr>
        <w:pStyle w:val="Heading2"/>
        <w:spacing w:after="120" w:before="280"/>
      </w:pPr>
      <w:r>
        <w:rPr>
          <w:b/>
          <w:bCs/>
          <w:color w:val="2F3C7E"/>
        </w:rPr>
        <w:t xml:space="preserve">Flujo mostrado en vivo</w:t>
      </w:r>
    </w:p>
    <w:p>
      <w:pPr>
        <w:pStyle w:val="ListParagraph"/>
        <w:numPr>
          <w:ilvl w:val="0"/>
          <w:numId w:val="1"/>
        </w:numPr>
        <w:spacing w:after="80"/>
      </w:pPr>
      <w:r>
        <w:rPr>
          <w:sz w:val="22"/>
          <w:szCs w:val="22"/>
        </w:rPr>
        <w:t xml:space="preserve">Ingreso a la plataforma en producción (vibe-coding-platform.franciscohiguera.site) → menú "Validación RAG" → "Validación de sílabos".</w:t>
      </w:r>
    </w:p>
    <w:p>
      <w:pPr>
        <w:pStyle w:val="ListParagraph"/>
        <w:numPr>
          <w:ilvl w:val="0"/>
          <w:numId w:val="1"/>
        </w:numPr>
        <w:spacing w:after="80"/>
      </w:pPr>
      <w:r>
        <w:rPr>
          <w:sz w:val="22"/>
          <w:szCs w:val="22"/>
        </w:rPr>
        <w:t xml:space="preserve">Dos formas de entregar el sílabo: pegar el texto directamente, o subir el archivo .docx original del docente (extracción automática de texto vía python-docx).</w:t>
      </w:r>
    </w:p>
    <w:p>
      <w:pPr>
        <w:pStyle w:val="ListParagraph"/>
        <w:numPr>
          <w:ilvl w:val="0"/>
          <w:numId w:val="1"/>
        </w:numPr>
        <w:spacing w:after="80"/>
      </w:pPr>
      <w:r>
        <w:rPr>
          <w:sz w:val="22"/>
          <w:szCs w:val="22"/>
        </w:rPr>
        <w:t xml:space="preserve">El sistema devuelve 5 tarjetas, una por criterio (objetivos, resultados de aprendizaje, contenidos, metodología, criterios de calificación), cada una con su veredicto (Cumple / No cumple / No determinado), una explicación en lenguaje natural, y la cita del artículo y documento de origen.</w:t>
      </w:r>
    </w:p>
    <w:p>
      <w:pPr>
        <w:pStyle w:val="ListParagraph"/>
        <w:numPr>
          <w:ilvl w:val="0"/>
          <w:numId w:val="1"/>
        </w:numPr>
        <w:spacing w:after="80"/>
      </w:pPr>
      <w:r>
        <w:rPr>
          <w:sz w:val="22"/>
          <w:szCs w:val="22"/>
        </w:rPr>
        <w:t xml:space="preserve">Pantalla "Evaluación": tabla de 15 preguntas comparando la respuesta baseline contra la respuesta con RAG, con indicador ✓/✗ de acierto por fila, para visualizar en vivo la diferencia entre "LLM solo" y "LLM + recuperación real".</w:t>
      </w:r>
    </w:p>
    <w:p>
      <w:pPr>
        <w:pStyle w:val="Heading2"/>
        <w:spacing w:after="120" w:before="280"/>
      </w:pPr>
      <w:r>
        <w:rPr>
          <w:b/>
          <w:bCs/>
          <w:color w:val="2F3C7E"/>
        </w:rPr>
        <w:t xml:space="preserve">Caso de uso de principio a fin</w:t>
      </w:r>
    </w:p>
    <w:p>
      <w:pPr>
        <w:spacing w:after="160"/>
      </w:pPr>
      <w:r>
        <w:rPr>
          <w:sz w:val="22"/>
          <w:szCs w:val="22"/>
        </w:rPr>
        <w:t xml:space="preserve">Se presenta un sílabo real (uno de los que ya se imparten en la universidad) y se valida en segundos, mostrando al jurado tanto un criterio que cumple como uno que no cumple, con su cita respectiva — exactamente el caso de uso que un coordinador de carrera usaría hoy.</w:t>
      </w:r>
    </w:p>
    <w:p>
      <w:pPr>
        <w:pStyle w:val="Heading1"/>
        <w:spacing w:after="200" w:before="420"/>
      </w:pPr>
      <w:r>
        <w:rPr>
          <w:b/>
          <w:bCs/>
          <w:color w:val="1E2761"/>
        </w:rPr>
        <w:t xml:space="preserve">6. Deploy  ·  10% deploy / producto funcional</w:t>
      </w:r>
    </w:p>
    <w:p>
      <w:pPr>
        <w:pStyle w:val="Heading2"/>
        <w:spacing w:after="120" w:before="280"/>
      </w:pPr>
      <w:r>
        <w:rPr>
          <w:b/>
          <w:bCs/>
          <w:color w:val="2F3C7E"/>
        </w:rPr>
        <w:t xml:space="preserve">¿Dónde está desplegado?</w:t>
      </w:r>
    </w:p>
    <w:p>
      <w:pPr>
        <w:spacing w:after="160"/>
      </w:pPr>
      <w:r>
        <w:rPr>
          <w:sz w:val="22"/>
          <w:szCs w:val="22"/>
        </w:rPr>
        <w:t xml:space="preserve">En producción, en el mismo VPS donde corre el resto de la Vibe Coding Platform: backend FastAPI servido con gunicorn + systemd, frontend React servido como build estático por nginx, desplegados automáticamente en cada push a main vía GitHub Actions (rsync + SSH —Secure Shell, protocolo de conexión remota segura— con una llave de despliegue dedicada).</w:t>
      </w:r>
    </w:p>
    <w:p>
      <w:pPr>
        <w:pStyle w:val="Heading2"/>
        <w:spacing w:after="120" w:before="280"/>
      </w:pPr>
      <w:r>
        <w:rPr>
          <w:b/>
          <w:bCs/>
          <w:color w:val="2F3C7E"/>
        </w:rPr>
        <w:t xml:space="preserve">¿Cómo se consume?</w:t>
      </w:r>
    </w:p>
    <w:p>
      <w:pPr>
        <w:pStyle w:val="ListParagraph"/>
        <w:numPr>
          <w:ilvl w:val="0"/>
          <w:numId w:val="1"/>
        </w:numPr>
        <w:spacing w:after="80"/>
      </w:pPr>
      <w:r>
        <w:rPr>
          <w:sz w:val="22"/>
          <w:szCs w:val="22"/>
        </w:rPr>
        <w:t xml:space="preserve">API REST (Representational State Transfer, el estilo estándar de API web; FastAPI): endpoints /api/rag/validate-syllabus (texto), /api/rag/validate-syllabus/upload (.docx) y /api/rag/evaluation/run, protegidos por el mismo sistema de autenticación JWT (JSON Web Token, el formato estándar de token de sesión) y permisos RBAC (Role-Based Access Control: control de acceso basado en roles) del resto de la plataforma.</w:t>
      </w:r>
    </w:p>
    <w:p>
      <w:pPr>
        <w:pStyle w:val="ListParagraph"/>
        <w:numPr>
          <w:ilvl w:val="0"/>
          <w:numId w:val="1"/>
        </w:numPr>
        <w:spacing w:after="80"/>
      </w:pPr>
      <w:r>
        <w:rPr>
          <w:sz w:val="22"/>
          <w:szCs w:val="22"/>
        </w:rPr>
        <w:t xml:space="preserve">Aplicación web: dos pantallas nuevas integradas en el menú de la plataforma existente (no un sitio aparte), con los mismos 4 idiomas (es/en/pt/fr) que el resto del producto.</w:t>
      </w:r>
    </w:p>
    <w:p>
      <w:pPr>
        <w:pStyle w:val="Heading2"/>
        <w:spacing w:after="120" w:before="280"/>
      </w:pPr>
      <w:r>
        <w:rPr>
          <w:b/>
          <w:bCs/>
          <w:color w:val="2F3C7E"/>
        </w:rPr>
        <w:t xml:space="preserve">Arquitectura básica de la solución</w:t>
      </w:r>
    </w:p>
    <w:p>
      <w:pPr>
        <w:spacing w:after="160"/>
      </w:pPr>
      <w:r>
        <w:rPr>
          <w:sz w:val="22"/>
          <w:szCs w:val="22"/>
        </w:rPr>
        <w:t xml:space="preserve">El VPS aloja la API, el frontend, la base de datos vectorial (LanceDB) y el índice de palabra clave (BM25); el cómputo pesado (embeddings y generación) corre bajo demanda en el clúster HPC de CEDIA y se expone al VPS mediante dos túneles SSH inversos — el HPC no es alcanzable desde internet de forma directa, así que el propio nodo de cómputo abre la conexión hacia el VPS.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3100"/>
        <w:gridCol w:w="2850"/>
      </w:tblGrid>
      <w:tr>
        <w:trPr>
          <w:tblHeader/>
        </w:trPr>
        <w:tc>
          <w:tcPr>
            <w:tcW w:type="dxa" w:w="3400"/>
            <w:shd w:fill="1E2761" w:val="clear"/>
            <w:tcMar>
              <w:top w:type="dxa" w:w="80"/>
              <w:left w:type="dxa" w:w="100"/>
              <w:bottom w:type="dxa" w:w="80"/>
              <w:right w:type="dxa" w:w="100"/>
            </w:tcMar>
          </w:tcPr>
          <w:p>
            <w:r>
              <w:rPr>
                <w:b/>
                <w:bCs/>
                <w:color w:val="FFFFFF"/>
                <w:sz w:val="20"/>
                <w:szCs w:val="20"/>
              </w:rPr>
              <w:t xml:space="preserve">Capa</w:t>
            </w:r>
          </w:p>
        </w:tc>
        <w:tc>
          <w:tcPr>
            <w:tcW w:type="dxa" w:w="3100"/>
            <w:shd w:fill="1E2761" w:val="clear"/>
            <w:tcMar>
              <w:top w:type="dxa" w:w="80"/>
              <w:left w:type="dxa" w:w="100"/>
              <w:bottom w:type="dxa" w:w="80"/>
              <w:right w:type="dxa" w:w="100"/>
            </w:tcMar>
          </w:tcPr>
          <w:p>
            <w:r>
              <w:rPr>
                <w:b/>
                <w:bCs/>
                <w:color w:val="FFFFFF"/>
                <w:sz w:val="20"/>
                <w:szCs w:val="20"/>
              </w:rPr>
              <w:t xml:space="preserve">Dónde</w:t>
            </w:r>
          </w:p>
        </w:tc>
        <w:tc>
          <w:tcPr>
            <w:tcW w:type="dxa" w:w="2850"/>
            <w:shd w:fill="1E2761" w:val="clear"/>
            <w:tcMar>
              <w:top w:type="dxa" w:w="80"/>
              <w:left w:type="dxa" w:w="100"/>
              <w:bottom w:type="dxa" w:w="80"/>
              <w:right w:type="dxa" w:w="100"/>
            </w:tcMar>
          </w:tcPr>
          <w:p>
            <w:r>
              <w:rPr>
                <w:b/>
                <w:bCs/>
                <w:color w:val="FFFFFF"/>
                <w:sz w:val="20"/>
                <w:szCs w:val="20"/>
              </w:rPr>
              <w:t xml:space="preserve">Qué hace</w:t>
            </w:r>
          </w:p>
        </w:tc>
      </w:tr>
      <w:tr>
        <w:tc>
          <w:tcPr>
            <w:tcW w:type="dxa" w:w="3400"/>
            <w:tcMar>
              <w:top w:type="dxa" w:w="80"/>
              <w:left w:type="dxa" w:w="100"/>
              <w:bottom w:type="dxa" w:w="80"/>
              <w:right w:type="dxa" w:w="100"/>
            </w:tcMar>
          </w:tcPr>
          <w:p>
            <w:r>
              <w:rPr>
                <w:b w:val="false"/>
                <w:bCs w:val="false"/>
                <w:color w:val="000000"/>
                <w:sz w:val="20"/>
                <w:szCs w:val="20"/>
              </w:rPr>
              <w:t xml:space="preserve">API + Frontend + LanceDB + BM25</w:t>
            </w:r>
          </w:p>
        </w:tc>
        <w:tc>
          <w:tcPr>
            <w:tcW w:type="dxa" w:w="3100"/>
            <w:tcMar>
              <w:top w:type="dxa" w:w="80"/>
              <w:left w:type="dxa" w:w="100"/>
              <w:bottom w:type="dxa" w:w="80"/>
              <w:right w:type="dxa" w:w="100"/>
            </w:tcMar>
          </w:tcPr>
          <w:p>
            <w:r>
              <w:rPr>
                <w:b w:val="false"/>
                <w:bCs w:val="false"/>
                <w:color w:val="000000"/>
                <w:sz w:val="20"/>
                <w:szCs w:val="20"/>
              </w:rPr>
              <w:t xml:space="preserve">VPS de producción</w:t>
            </w:r>
          </w:p>
        </w:tc>
        <w:tc>
          <w:tcPr>
            <w:tcW w:type="dxa" w:w="2850"/>
            <w:tcMar>
              <w:top w:type="dxa" w:w="80"/>
              <w:left w:type="dxa" w:w="100"/>
              <w:bottom w:type="dxa" w:w="80"/>
              <w:right w:type="dxa" w:w="100"/>
            </w:tcMar>
          </w:tcPr>
          <w:p>
            <w:r>
              <w:rPr>
                <w:b w:val="false"/>
                <w:bCs w:val="false"/>
                <w:color w:val="000000"/>
                <w:sz w:val="20"/>
                <w:szCs w:val="20"/>
              </w:rPr>
              <w:t xml:space="preserve">Sirve la plataforma; busca los 896 vectores y el índice de palabra clave, y fusiona ambos rankings (RRF)</w:t>
            </w:r>
          </w:p>
        </w:tc>
      </w:tr>
      <w:tr>
        <w:tc>
          <w:tcPr>
            <w:tcW w:type="dxa" w:w="3400"/>
            <w:shd w:fill="EEF1F8" w:val="clear"/>
            <w:tcMar>
              <w:top w:type="dxa" w:w="80"/>
              <w:left w:type="dxa" w:w="100"/>
              <w:bottom w:type="dxa" w:w="80"/>
              <w:right w:type="dxa" w:w="100"/>
            </w:tcMar>
          </w:tcPr>
          <w:p>
            <w:r>
              <w:rPr>
                <w:b w:val="false"/>
                <w:bCs w:val="false"/>
                <w:color w:val="000000"/>
                <w:sz w:val="20"/>
                <w:szCs w:val="20"/>
              </w:rPr>
              <w:t xml:space="preserve">vLLM (Qwen2.5-7B-Instruct)</w:t>
            </w:r>
          </w:p>
        </w:tc>
        <w:tc>
          <w:tcPr>
            <w:tcW w:type="dxa" w:w="3100"/>
            <w:shd w:fill="EEF1F8" w:val="clear"/>
            <w:tcMar>
              <w:top w:type="dxa" w:w="80"/>
              <w:left w:type="dxa" w:w="100"/>
              <w:bottom w:type="dxa" w:w="80"/>
              <w:right w:type="dxa" w:w="100"/>
            </w:tcMar>
          </w:tcPr>
          <w:p>
            <w:r>
              <w:rPr>
                <w:b w:val="false"/>
                <w:bCs w:val="false"/>
                <w:color w:val="000000"/>
                <w:sz w:val="20"/>
                <w:szCs w:val="20"/>
              </w:rPr>
              <w:t xml:space="preserve">HPC CEDIA · GPU A100 40GB</w:t>
            </w:r>
          </w:p>
        </w:tc>
        <w:tc>
          <w:tcPr>
            <w:tcW w:type="dxa" w:w="2850"/>
            <w:shd w:fill="EEF1F8" w:val="clear"/>
            <w:tcMar>
              <w:top w:type="dxa" w:w="80"/>
              <w:left w:type="dxa" w:w="100"/>
              <w:bottom w:type="dxa" w:w="80"/>
              <w:right w:type="dxa" w:w="100"/>
            </w:tcMar>
          </w:tcPr>
          <w:p>
            <w:r>
              <w:rPr>
                <w:b w:val="false"/>
                <w:bCs w:val="false"/>
                <w:color w:val="000000"/>
                <w:sz w:val="20"/>
                <w:szCs w:val="20"/>
              </w:rPr>
              <w:t xml:space="preserve">Genera los veredictos en lenguaje natural</w:t>
            </w:r>
          </w:p>
        </w:tc>
      </w:tr>
      <w:tr>
        <w:tc>
          <w:tcPr>
            <w:tcW w:type="dxa" w:w="3400"/>
            <w:tcMar>
              <w:top w:type="dxa" w:w="80"/>
              <w:left w:type="dxa" w:w="100"/>
              <w:bottom w:type="dxa" w:w="80"/>
              <w:right w:type="dxa" w:w="100"/>
            </w:tcMar>
          </w:tcPr>
          <w:p>
            <w:r>
              <w:rPr>
                <w:b w:val="false"/>
                <w:bCs w:val="false"/>
                <w:color w:val="000000"/>
                <w:sz w:val="20"/>
                <w:szCs w:val="20"/>
              </w:rPr>
              <w:t xml:space="preserve">TEI (multilingual-e5-large)</w:t>
            </w:r>
          </w:p>
        </w:tc>
        <w:tc>
          <w:tcPr>
            <w:tcW w:type="dxa" w:w="3100"/>
            <w:tcMar>
              <w:top w:type="dxa" w:w="80"/>
              <w:left w:type="dxa" w:w="100"/>
              <w:bottom w:type="dxa" w:w="80"/>
              <w:right w:type="dxa" w:w="100"/>
            </w:tcMar>
          </w:tcPr>
          <w:p>
            <w:r>
              <w:rPr>
                <w:b w:val="false"/>
                <w:bCs w:val="false"/>
                <w:color w:val="000000"/>
                <w:sz w:val="20"/>
                <w:szCs w:val="20"/>
              </w:rPr>
              <w:t xml:space="preserve">HPC CEDIA · CPU</w:t>
            </w:r>
          </w:p>
        </w:tc>
        <w:tc>
          <w:tcPr>
            <w:tcW w:type="dxa" w:w="2850"/>
            <w:tcMar>
              <w:top w:type="dxa" w:w="80"/>
              <w:left w:type="dxa" w:w="100"/>
              <w:bottom w:type="dxa" w:w="80"/>
              <w:right w:type="dxa" w:w="100"/>
            </w:tcMar>
          </w:tcPr>
          <w:p>
            <w:r>
              <w:rPr>
                <w:b w:val="false"/>
                <w:bCs w:val="false"/>
                <w:color w:val="000000"/>
                <w:sz w:val="20"/>
                <w:szCs w:val="20"/>
              </w:rPr>
              <w:t xml:space="preserve">Calcula los embeddings de consulta y de corpus</w:t>
            </w:r>
          </w:p>
        </w:tc>
      </w:tr>
      <w:tr>
        <w:tc>
          <w:tcPr>
            <w:tcW w:type="dxa" w:w="3400"/>
            <w:shd w:fill="EEF1F8" w:val="clear"/>
            <w:tcMar>
              <w:top w:type="dxa" w:w="80"/>
              <w:left w:type="dxa" w:w="100"/>
              <w:bottom w:type="dxa" w:w="80"/>
              <w:right w:type="dxa" w:w="100"/>
            </w:tcMar>
          </w:tcPr>
          <w:p>
            <w:r>
              <w:rPr>
                <w:b w:val="false"/>
                <w:bCs w:val="false"/>
                <w:color w:val="000000"/>
                <w:sz w:val="20"/>
                <w:szCs w:val="20"/>
              </w:rPr>
              <w:t xml:space="preserve">Túnel SSH inverso ×2</w:t>
            </w:r>
          </w:p>
        </w:tc>
        <w:tc>
          <w:tcPr>
            <w:tcW w:type="dxa" w:w="3100"/>
            <w:shd w:fill="EEF1F8" w:val="clear"/>
            <w:tcMar>
              <w:top w:type="dxa" w:w="80"/>
              <w:left w:type="dxa" w:w="100"/>
              <w:bottom w:type="dxa" w:w="80"/>
              <w:right w:type="dxa" w:w="100"/>
            </w:tcMar>
          </w:tcPr>
          <w:p>
            <w:r>
              <w:rPr>
                <w:b w:val="false"/>
                <w:bCs w:val="false"/>
                <w:color w:val="000000"/>
                <w:sz w:val="20"/>
                <w:szCs w:val="20"/>
              </w:rPr>
              <w:t xml:space="preserve">HPC → VPS</w:t>
            </w:r>
          </w:p>
        </w:tc>
        <w:tc>
          <w:tcPr>
            <w:tcW w:type="dxa" w:w="2850"/>
            <w:shd w:fill="EEF1F8" w:val="clear"/>
            <w:tcMar>
              <w:top w:type="dxa" w:w="80"/>
              <w:left w:type="dxa" w:w="100"/>
              <w:bottom w:type="dxa" w:w="80"/>
              <w:right w:type="dxa" w:w="100"/>
            </w:tcMar>
          </w:tcPr>
          <w:p>
            <w:r>
              <w:rPr>
                <w:b w:val="false"/>
                <w:bCs w:val="false"/>
                <w:color w:val="000000"/>
                <w:sz w:val="20"/>
                <w:szCs w:val="20"/>
              </w:rPr>
              <w:t xml:space="preserve">Expone vLLM y TEI al VPS sin IP pública en el HPC</w:t>
            </w:r>
          </w:p>
        </w:tc>
      </w:tr>
    </w:tbl>
    <w:p>
      <w:pPr>
        <w:pStyle w:val="Heading2"/>
        <w:spacing w:after="120" w:before="280"/>
      </w:pPr>
      <w:r>
        <w:rPr>
          <w:b/>
          <w:bCs/>
          <w:color w:val="2F3C7E"/>
        </w:rPr>
        <w:t xml:space="preserve">Consideraciones de escalabilidad y costos</w:t>
      </w:r>
    </w:p>
    <w:p>
      <w:pPr>
        <w:pStyle w:val="ListParagraph"/>
        <w:numPr>
          <w:ilvl w:val="0"/>
          <w:numId w:val="1"/>
        </w:numPr>
        <w:spacing w:after="80"/>
      </w:pPr>
      <w:r>
        <w:rPr>
          <w:sz w:val="22"/>
          <w:szCs w:val="22"/>
        </w:rPr>
        <w:t xml:space="preserve">El HPC se reserva bajo demanda (no corre 24/7): se levanta solo antes de usar la función de RAG (pruebas o demo) y se libera después, lo que mantiene el costo de cómputo GPU en cero el resto del tiempo.</w:t>
      </w:r>
    </w:p>
    <w:p>
      <w:pPr>
        <w:pStyle w:val="ListParagraph"/>
        <w:numPr>
          <w:ilvl w:val="0"/>
          <w:numId w:val="1"/>
        </w:numPr>
        <w:spacing w:after="80"/>
      </w:pPr>
      <w:r>
        <w:rPr>
          <w:sz w:val="22"/>
          <w:szCs w:val="22"/>
        </w:rPr>
        <w:t xml:space="preserve">La cuenta de HPC usada tiene un límite real de 1 reserva Slurm concurrente (QOSMaxJobsPerUserLimit) — la arquitectura final usa una sola reserva compartida por ambos servicios (vLLM y TEI), conectando por SSH directo adicional al mismo nodo en vez de pedir una segunda reserva, documentado en el runbook operativo del proyecto.</w:t>
      </w:r>
    </w:p>
    <w:p>
      <w:pPr>
        <w:pStyle w:val="ListParagraph"/>
        <w:numPr>
          <w:ilvl w:val="0"/>
          <w:numId w:val="1"/>
        </w:numPr>
        <w:spacing w:after="80"/>
      </w:pPr>
      <w:r>
        <w:rPr>
          <w:sz w:val="22"/>
          <w:szCs w:val="22"/>
        </w:rPr>
        <w:t xml:space="preserve">LanceDB, al ser embebido, evita correr un servicio de base de datos vectorial separado 24/7 en el VPS — el costo de almacenamiento es solo el de los 896 vectores en disco.</w:t>
      </w:r>
    </w:p>
    <w:p>
      <w:pPr>
        <w:pStyle w:val="ListParagraph"/>
        <w:numPr>
          <w:ilvl w:val="0"/>
          <w:numId w:val="1"/>
        </w:numPr>
        <w:spacing w:after="80"/>
      </w:pPr>
      <w:r>
        <w:rPr>
          <w:sz w:val="22"/>
          <w:szCs w:val="22"/>
        </w:rPr>
        <w:t xml:space="preserve">El índice BM25 se construye una sola vez por petición (no una vez por cada una de las 5 o 15 sub-consultas de una validación/evaluación) — mantiene el costo de CPU adicional en el VPS despreciable frente al resto de la plataforma.</w:t>
      </w:r>
    </w:p>
    <w:p>
      <w:pPr>
        <w:pStyle w:val="ListParagraph"/>
        <w:numPr>
          <w:ilvl w:val="0"/>
          <w:numId w:val="1"/>
        </w:numPr>
        <w:spacing w:after="80"/>
      </w:pPr>
      <w:r>
        <w:rPr>
          <w:sz w:val="22"/>
          <w:szCs w:val="22"/>
        </w:rPr>
        <w:t xml:space="preserve">El adaptador de generación es intercambiable a GitHub Models (capa gratuita) con una sola variable de entorno, como respaldo si el HPC no estuviera disponible.</w:t>
      </w:r>
    </w:p>
    <w:p>
      <w:pPr>
        <w:pStyle w:val="Heading1"/>
        <w:spacing w:after="200" w:before="420"/>
      </w:pPr>
      <w:r>
        <w:rPr>
          <w:b/>
          <w:bCs/>
          <w:color w:val="1E2761"/>
        </w:rPr>
        <w:t xml:space="preserve">7. Resultados  ·  métricas cuantitativas</w:t>
      </w:r>
    </w:p>
    <w:p>
      <w:pPr>
        <w:pStyle w:val="Heading2"/>
        <w:spacing w:after="120" w:before="280"/>
      </w:pPr>
      <w:r>
        <w:rPr>
          <w:b/>
          <w:bCs/>
          <w:color w:val="2F3C7E"/>
        </w:rPr>
        <w:t xml:space="preserve">Calidad técnica del código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200"/>
        <w:gridCol w:w="4150"/>
      </w:tblGrid>
      <w:tr>
        <w:trPr>
          <w:tblHeader/>
        </w:trPr>
        <w:tc>
          <w:tcPr>
            <w:tcW w:type="dxa" w:w="5200"/>
            <w:shd w:fill="1E2761" w:val="clear"/>
            <w:tcMar>
              <w:top w:type="dxa" w:w="80"/>
              <w:left w:type="dxa" w:w="100"/>
              <w:bottom w:type="dxa" w:w="80"/>
              <w:right w:type="dxa" w:w="100"/>
            </w:tcMar>
          </w:tcPr>
          <w:p>
            <w:r>
              <w:rPr>
                <w:b/>
                <w:bCs/>
                <w:color w:val="FFFFFF"/>
                <w:sz w:val="20"/>
                <w:szCs w:val="20"/>
              </w:rPr>
              <w:t xml:space="preserve">Métrica</w:t>
            </w:r>
          </w:p>
        </w:tc>
        <w:tc>
          <w:tcPr>
            <w:tcW w:type="dxa" w:w="4150"/>
            <w:shd w:fill="1E2761" w:val="clear"/>
            <w:tcMar>
              <w:top w:type="dxa" w:w="80"/>
              <w:left w:type="dxa" w:w="100"/>
              <w:bottom w:type="dxa" w:w="80"/>
              <w:right w:type="dxa" w:w="100"/>
            </w:tcMar>
          </w:tcPr>
          <w:p>
            <w:r>
              <w:rPr>
                <w:b/>
                <w:bCs/>
                <w:color w:val="FFFFFF"/>
                <w:sz w:val="20"/>
                <w:szCs w:val="20"/>
              </w:rPr>
              <w:t xml:space="preserve">Resultado</w:t>
            </w:r>
          </w:p>
        </w:tc>
      </w:tr>
      <w:tr>
        <w:tc>
          <w:tcPr>
            <w:tcW w:type="dxa" w:w="5200"/>
            <w:tcMar>
              <w:top w:type="dxa" w:w="80"/>
              <w:left w:type="dxa" w:w="100"/>
              <w:bottom w:type="dxa" w:w="80"/>
              <w:right w:type="dxa" w:w="100"/>
            </w:tcMar>
          </w:tcPr>
          <w:p>
            <w:r>
              <w:rPr>
                <w:b w:val="false"/>
                <w:bCs w:val="false"/>
                <w:color w:val="000000"/>
                <w:sz w:val="20"/>
                <w:szCs w:val="20"/>
              </w:rPr>
              <w:t xml:space="preserve">Pruebas automatizadas backend (pytest)</w:t>
            </w:r>
          </w:p>
        </w:tc>
        <w:tc>
          <w:tcPr>
            <w:tcW w:type="dxa" w:w="4150"/>
            <w:tcMar>
              <w:top w:type="dxa" w:w="80"/>
              <w:left w:type="dxa" w:w="100"/>
              <w:bottom w:type="dxa" w:w="80"/>
              <w:right w:type="dxa" w:w="100"/>
            </w:tcMar>
          </w:tcPr>
          <w:p>
            <w:r>
              <w:rPr>
                <w:b w:val="false"/>
                <w:bCs w:val="false"/>
                <w:color w:val="000000"/>
                <w:sz w:val="20"/>
                <w:szCs w:val="20"/>
              </w:rPr>
              <w:t xml:space="preserve">118 pasando</w:t>
            </w:r>
          </w:p>
        </w:tc>
      </w:tr>
      <w:tr>
        <w:tc>
          <w:tcPr>
            <w:tcW w:type="dxa" w:w="5200"/>
            <w:shd w:fill="EEF1F8" w:val="clear"/>
            <w:tcMar>
              <w:top w:type="dxa" w:w="80"/>
              <w:left w:type="dxa" w:w="100"/>
              <w:bottom w:type="dxa" w:w="80"/>
              <w:right w:type="dxa" w:w="100"/>
            </w:tcMar>
          </w:tcPr>
          <w:p>
            <w:r>
              <w:rPr>
                <w:b w:val="false"/>
                <w:bCs w:val="false"/>
                <w:color w:val="000000"/>
                <w:sz w:val="20"/>
                <w:szCs w:val="20"/>
              </w:rPr>
              <w:t xml:space="preserve">Pruebas automatizadas frontend (vitest)</w:t>
            </w:r>
          </w:p>
        </w:tc>
        <w:tc>
          <w:tcPr>
            <w:tcW w:type="dxa" w:w="4150"/>
            <w:shd w:fill="EEF1F8" w:val="clear"/>
            <w:tcMar>
              <w:top w:type="dxa" w:w="80"/>
              <w:left w:type="dxa" w:w="100"/>
              <w:bottom w:type="dxa" w:w="80"/>
              <w:right w:type="dxa" w:w="100"/>
            </w:tcMar>
          </w:tcPr>
          <w:p>
            <w:r>
              <w:rPr>
                <w:b w:val="false"/>
                <w:bCs w:val="false"/>
                <w:color w:val="000000"/>
                <w:sz w:val="20"/>
                <w:szCs w:val="20"/>
              </w:rPr>
              <w:t xml:space="preserve">19 pasando</w:t>
            </w:r>
          </w:p>
        </w:tc>
      </w:tr>
      <w:tr>
        <w:tc>
          <w:tcPr>
            <w:tcW w:type="dxa" w:w="5200"/>
            <w:tcMar>
              <w:top w:type="dxa" w:w="80"/>
              <w:left w:type="dxa" w:w="100"/>
              <w:bottom w:type="dxa" w:w="80"/>
              <w:right w:type="dxa" w:w="100"/>
            </w:tcMar>
          </w:tcPr>
          <w:p>
            <w:r>
              <w:rPr>
                <w:b w:val="false"/>
                <w:bCs w:val="false"/>
                <w:color w:val="000000"/>
                <w:sz w:val="20"/>
                <w:szCs w:val="20"/>
              </w:rPr>
              <w:t xml:space="preserve">Chequeo de tipos frontend (tsc)</w:t>
            </w:r>
          </w:p>
        </w:tc>
        <w:tc>
          <w:tcPr>
            <w:tcW w:type="dxa" w:w="4150"/>
            <w:tcMar>
              <w:top w:type="dxa" w:w="80"/>
              <w:left w:type="dxa" w:w="100"/>
              <w:bottom w:type="dxa" w:w="80"/>
              <w:right w:type="dxa" w:w="100"/>
            </w:tcMar>
          </w:tcPr>
          <w:p>
            <w:r>
              <w:rPr>
                <w:b w:val="false"/>
                <w:bCs w:val="false"/>
                <w:color w:val="000000"/>
                <w:sz w:val="20"/>
                <w:szCs w:val="20"/>
              </w:rPr>
              <w:t xml:space="preserve">Sin errores</w:t>
            </w:r>
          </w:p>
        </w:tc>
      </w:tr>
      <w:tr>
        <w:tc>
          <w:tcPr>
            <w:tcW w:type="dxa" w:w="5200"/>
            <w:shd w:fill="EEF1F8" w:val="clear"/>
            <w:tcMar>
              <w:top w:type="dxa" w:w="80"/>
              <w:left w:type="dxa" w:w="100"/>
              <w:bottom w:type="dxa" w:w="80"/>
              <w:right w:type="dxa" w:w="100"/>
            </w:tcMar>
          </w:tcPr>
          <w:p>
            <w:r>
              <w:rPr>
                <w:b w:val="false"/>
                <w:bCs w:val="false"/>
                <w:color w:val="000000"/>
                <w:sz w:val="20"/>
                <w:szCs w:val="20"/>
              </w:rPr>
              <w:t xml:space="preserve">Paridad de traducciones (es/en/pt/fr)</w:t>
            </w:r>
          </w:p>
        </w:tc>
        <w:tc>
          <w:tcPr>
            <w:tcW w:type="dxa" w:w="4150"/>
            <w:shd w:fill="EEF1F8" w:val="clear"/>
            <w:tcMar>
              <w:top w:type="dxa" w:w="80"/>
              <w:left w:type="dxa" w:w="100"/>
              <w:bottom w:type="dxa" w:w="80"/>
              <w:right w:type="dxa" w:w="100"/>
            </w:tcMar>
          </w:tcPr>
          <w:p>
            <w:r>
              <w:rPr>
                <w:b w:val="false"/>
                <w:bCs w:val="false"/>
                <w:color w:val="000000"/>
                <w:sz w:val="20"/>
                <w:szCs w:val="20"/>
              </w:rPr>
              <w:t xml:space="preserve">372 claves idénticas en los 4 idiomas</w:t>
            </w:r>
          </w:p>
        </w:tc>
      </w:tr>
      <w:tr>
        <w:tc>
          <w:tcPr>
            <w:tcW w:type="dxa" w:w="5200"/>
            <w:tcMar>
              <w:top w:type="dxa" w:w="80"/>
              <w:left w:type="dxa" w:w="100"/>
              <w:bottom w:type="dxa" w:w="80"/>
              <w:right w:type="dxa" w:w="100"/>
            </w:tcMar>
          </w:tcPr>
          <w:p>
            <w:r>
              <w:rPr>
                <w:b w:val="false"/>
                <w:bCs w:val="false"/>
                <w:color w:val="000000"/>
                <w:sz w:val="20"/>
                <w:szCs w:val="20"/>
              </w:rPr>
              <w:t xml:space="preserve">Fragmentos de normativa indexados</w:t>
            </w:r>
          </w:p>
        </w:tc>
        <w:tc>
          <w:tcPr>
            <w:tcW w:type="dxa" w:w="4150"/>
            <w:tcMar>
              <w:top w:type="dxa" w:w="80"/>
              <w:left w:type="dxa" w:w="100"/>
              <w:bottom w:type="dxa" w:w="80"/>
              <w:right w:type="dxa" w:w="100"/>
            </w:tcMar>
          </w:tcPr>
          <w:p>
            <w:r>
              <w:rPr>
                <w:b w:val="false"/>
                <w:bCs w:val="false"/>
                <w:color w:val="000000"/>
                <w:sz w:val="20"/>
                <w:szCs w:val="20"/>
              </w:rPr>
              <w:t xml:space="preserve">896 (de 10 documentos, ~311 páginas)</w:t>
            </w:r>
          </w:p>
        </w:tc>
      </w:tr>
      <w:tr>
        <w:tc>
          <w:tcPr>
            <w:tcW w:type="dxa" w:w="5200"/>
            <w:shd w:fill="EEF1F8" w:val="clear"/>
            <w:tcMar>
              <w:top w:type="dxa" w:w="80"/>
              <w:left w:type="dxa" w:w="100"/>
              <w:bottom w:type="dxa" w:w="80"/>
              <w:right w:type="dxa" w:w="100"/>
            </w:tcMar>
          </w:tcPr>
          <w:p>
            <w:r>
              <w:rPr>
                <w:b w:val="false"/>
                <w:bCs w:val="false"/>
                <w:color w:val="000000"/>
                <w:sz w:val="20"/>
                <w:szCs w:val="20"/>
              </w:rPr>
              <w:t xml:space="preserve">Llamadas de red reales en las pruebas</w:t>
            </w:r>
          </w:p>
        </w:tc>
        <w:tc>
          <w:tcPr>
            <w:tcW w:type="dxa" w:w="4150"/>
            <w:shd w:fill="EEF1F8" w:val="clear"/>
            <w:tcMar>
              <w:top w:type="dxa" w:w="80"/>
              <w:left w:type="dxa" w:w="100"/>
              <w:bottom w:type="dxa" w:w="80"/>
              <w:right w:type="dxa" w:w="100"/>
            </w:tcMar>
          </w:tcPr>
          <w:p>
            <w:r>
              <w:rPr>
                <w:b w:val="false"/>
                <w:bCs w:val="false"/>
                <w:color w:val="000000"/>
                <w:sz w:val="20"/>
                <w:szCs w:val="20"/>
              </w:rPr>
              <w:t xml:space="preserve">Cero (100% adaptadores mock)</w:t>
            </w:r>
          </w:p>
        </w:tc>
      </w:tr>
    </w:tbl>
    <w:p>
      <w:pPr>
        <w:pStyle w:val="Heading2"/>
        <w:spacing w:after="120" w:before="280"/>
      </w:pPr>
      <w:r>
        <w:rPr>
          <w:b/>
          <w:bCs/>
          <w:color w:val="2F3C7E"/>
        </w:rPr>
        <w:t xml:space="preserve">Hallazgo real durante el desarrollo: calidad de la recuperación semántica</w:t>
      </w:r>
    </w:p>
    <w:p>
      <w:pPr>
        <w:spacing w:after="160"/>
      </w:pPr>
      <w:r>
        <w:rPr>
          <w:sz w:val="22"/>
          <w:szCs w:val="22"/>
        </w:rPr>
        <w:t xml:space="preserve">Al validar un sílabo real contra producción, el sistema citaba siempre el mismo documento sin relación con la pregunta, sin importar el criterio evaluado. La causa raíz: el modelo E5 requiere que el texto de consulta y el texto indexado lleven los prefijos "query: " y "passage: " respectivamente —una convención de su propio entrenamiento— y esa conversión faltaba. Sin ella, la búsqueda semántica es, en la práctica, casi aleatoria. Se corrigió en el puerto de embeddings y en ambos casos de uso (validación de sílabo y evaluación), desplegado en el commit 862a8ae. Este hallazgo es también evidencia de que el equipo entiende, y no solo usa, la técnica de embeddings.</w:t>
      </w:r>
    </w:p>
    <w:p>
      <w:pPr>
        <w:spacing w:after="160"/>
      </w:pPr>
      <w:r>
        <w:rPr>
          <w:sz w:val="22"/>
          <w:szCs w:val="22"/>
        </w:rPr>
        <w:t xml:space="preserve">Segundo hallazgo, ya con la recuperación funcionando correctamente: la búsqueda puramente semántica seguía teniendo un punto ciego — un artículo que comparte una palabra exacta con la consulta puede no aparecer entre los más similares por embedding, por razones no siempre evidentes. Se agregó una segunda señal de búsqueda, BM25 (ranking por coincidencia léxica), fusionada con la semántica vía RRF (Reciprocal Rank Fusion). Al reconstruirlo, se encontró y corrigió además un costo evitable: el índice BM25 se reconstruía en cada una de las 5-15 sub-consultas de una misma petición; ahora se construye una sola vez y se reutiliza, manteniendo el costo de CPU adicional en el VPS despreciable.</w:t>
      </w:r>
    </w:p>
    <w:p>
      <w:pPr>
        <w:pStyle w:val="Heading2"/>
        <w:spacing w:after="120" w:before="280"/>
      </w:pPr>
      <w:r>
        <w:rPr>
          <w:b/>
          <w:bCs/>
          <w:color w:val="2F3C7E"/>
        </w:rPr>
        <w:t xml:space="preserve">Resultados cuantitativos de la evaluación (baseline vs. RAG)</w:t>
      </w:r>
    </w:p>
    <w:p>
      <w:pPr>
        <w:spacing w:after="160"/>
      </w:pPr>
      <w:r>
        <w:rPr>
          <w:sz w:val="22"/>
          <w:szCs w:val="22"/>
        </w:rPr>
        <w:t xml:space="preserve">Cifra exacta de aciertos con RAG sobre las 15 preguntas: </w:t>
      </w:r>
      <w:r>
        <w:rPr>
          <w:b/>
          <w:bCs/>
          <w:color w:val="B42318"/>
          <w:sz w:val="22"/>
          <w:szCs w:val="22"/>
        </w:rPr>
        <w:t xml:space="preserve">[PENDIENTE — corrida final tras recargar los embeddings de producción con el prefijo corregido]</w:t>
      </w:r>
    </w:p>
    <w:p>
      <w:pPr>
        <w:spacing w:after="160"/>
      </w:pPr>
      <w:r>
        <w:rPr>
          <w:sz w:val="22"/>
          <w:szCs w:val="22"/>
        </w:rPr>
        <w:t xml:space="preserve">Nota metodológica: la primera corrida completa (896/896 embeddings calculados) se hizo antes de aplicar la corrección de prefijos — sus resultados no son representativos y no se reportan aquí. Con los embeddings mock de desarrollo (pseudo-aleatorios por diseño), el resultado esperado y correcto es 0/15 en ambos casos, ya que no hay señal semántica real que recuperar — esto no es un error del sistema, es el comportamiento esperado de un adaptador mock, y es la razón por la que la demo usa cómputo real del HPC en vez de depender del modo mock.</w:t>
      </w:r>
    </w:p>
    <w:p>
      <w:pPr>
        <w:pStyle w:val="Heading2"/>
        <w:spacing w:after="120" w:before="280"/>
      </w:pPr>
      <w:r>
        <w:rPr>
          <w:b/>
          <w:bCs/>
          <w:color w:val="2F3C7E"/>
        </w:rPr>
        <w:t xml:space="preserve">Comparación antes vs. después (proceso, no solo el modelo)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50"/>
      </w:tblGrid>
      <w:tr>
        <w:trPr>
          <w:tblHeader/>
        </w:trPr>
        <w:tc>
          <w:tcPr>
            <w:tcW w:type="dxa" w:w="2500"/>
            <w:shd w:fill="1E2761" w:val="clear"/>
            <w:tcMar>
              <w:top w:type="dxa" w:w="80"/>
              <w:left w:type="dxa" w:w="100"/>
              <w:bottom w:type="dxa" w:w="80"/>
              <w:right w:type="dxa" w:w="100"/>
            </w:tcMar>
          </w:tcPr>
          <w:p>
            <w:r>
              <w:rPr>
                <w:b/>
                <w:bCs/>
                <w:color w:val="FFFFFF"/>
                <w:sz w:val="20"/>
                <w:szCs w:val="20"/>
              </w:rPr>
              <w:t xml:space="preserve"/>
            </w:r>
          </w:p>
        </w:tc>
        <w:tc>
          <w:tcPr>
            <w:tcW w:type="dxa" w:w="3400"/>
            <w:shd w:fill="1E2761" w:val="clear"/>
            <w:tcMar>
              <w:top w:type="dxa" w:w="80"/>
              <w:left w:type="dxa" w:w="100"/>
              <w:bottom w:type="dxa" w:w="80"/>
              <w:right w:type="dxa" w:w="100"/>
            </w:tcMar>
          </w:tcPr>
          <w:p>
            <w:r>
              <w:rPr>
                <w:b/>
                <w:bCs/>
                <w:color w:val="FFFFFF"/>
                <w:sz w:val="20"/>
                <w:szCs w:val="20"/>
              </w:rPr>
              <w:t xml:space="preserve">Antes</w:t>
            </w:r>
          </w:p>
        </w:tc>
        <w:tc>
          <w:tcPr>
            <w:tcW w:type="dxa" w:w="3450"/>
            <w:shd w:fill="1E2761" w:val="clear"/>
            <w:tcMar>
              <w:top w:type="dxa" w:w="80"/>
              <w:left w:type="dxa" w:w="100"/>
              <w:bottom w:type="dxa" w:w="80"/>
              <w:right w:type="dxa" w:w="100"/>
            </w:tcMar>
          </w:tcPr>
          <w:p>
            <w:r>
              <w:rPr>
                <w:b/>
                <w:bCs/>
                <w:color w:val="FFFFFF"/>
                <w:sz w:val="20"/>
                <w:szCs w:val="20"/>
              </w:rPr>
              <w:t xml:space="preserve">Después</w:t>
            </w:r>
          </w:p>
        </w:tc>
      </w:tr>
      <w:tr>
        <w:tc>
          <w:tcPr>
            <w:tcW w:type="dxa" w:w="2500"/>
            <w:tcMar>
              <w:top w:type="dxa" w:w="80"/>
              <w:left w:type="dxa" w:w="100"/>
              <w:bottom w:type="dxa" w:w="80"/>
              <w:right w:type="dxa" w:w="100"/>
            </w:tcMar>
          </w:tcPr>
          <w:p>
            <w:r>
              <w:rPr>
                <w:b w:val="false"/>
                <w:bCs w:val="false"/>
                <w:color w:val="000000"/>
                <w:sz w:val="20"/>
                <w:szCs w:val="20"/>
              </w:rPr>
              <w:t xml:space="preserve">Tiempo por sílabo</w:t>
            </w:r>
          </w:p>
        </w:tc>
        <w:tc>
          <w:tcPr>
            <w:tcW w:type="dxa" w:w="3400"/>
            <w:tcMar>
              <w:top w:type="dxa" w:w="80"/>
              <w:left w:type="dxa" w:w="100"/>
              <w:bottom w:type="dxa" w:w="80"/>
              <w:right w:type="dxa" w:w="100"/>
            </w:tcMar>
          </w:tcPr>
          <w:p>
            <w:r>
              <w:rPr>
                <w:b w:val="false"/>
                <w:bCs w:val="false"/>
                <w:color w:val="000000"/>
                <w:sz w:val="20"/>
                <w:szCs w:val="20"/>
              </w:rPr>
              <w:t xml:space="preserve">Minutos a horas</w:t>
            </w:r>
          </w:p>
        </w:tc>
        <w:tc>
          <w:tcPr>
            <w:tcW w:type="dxa" w:w="3450"/>
            <w:tcMar>
              <w:top w:type="dxa" w:w="80"/>
              <w:left w:type="dxa" w:w="100"/>
              <w:bottom w:type="dxa" w:w="80"/>
              <w:right w:type="dxa" w:w="100"/>
            </w:tcMar>
          </w:tcPr>
          <w:p>
            <w:r>
              <w:rPr>
                <w:b w:val="false"/>
                <w:bCs w:val="false"/>
                <w:color w:val="000000"/>
                <w:sz w:val="20"/>
                <w:szCs w:val="20"/>
              </w:rPr>
              <w:t xml:space="preserve">Segundos</w:t>
            </w:r>
          </w:p>
        </w:tc>
      </w:tr>
      <w:tr>
        <w:tc>
          <w:tcPr>
            <w:tcW w:type="dxa" w:w="2500"/>
            <w:shd w:fill="EEF1F8" w:val="clear"/>
            <w:tcMar>
              <w:top w:type="dxa" w:w="80"/>
              <w:left w:type="dxa" w:w="100"/>
              <w:bottom w:type="dxa" w:w="80"/>
              <w:right w:type="dxa" w:w="100"/>
            </w:tcMar>
          </w:tcPr>
          <w:p>
            <w:r>
              <w:rPr>
                <w:b w:val="false"/>
                <w:bCs w:val="false"/>
                <w:color w:val="000000"/>
                <w:sz w:val="20"/>
                <w:szCs w:val="20"/>
              </w:rPr>
              <w:t xml:space="preserve">Cita del artículo</w:t>
            </w:r>
          </w:p>
        </w:tc>
        <w:tc>
          <w:tcPr>
            <w:tcW w:type="dxa" w:w="3400"/>
            <w:shd w:fill="EEF1F8" w:val="clear"/>
            <w:tcMar>
              <w:top w:type="dxa" w:w="80"/>
              <w:left w:type="dxa" w:w="100"/>
              <w:bottom w:type="dxa" w:w="80"/>
              <w:right w:type="dxa" w:w="100"/>
            </w:tcMar>
          </w:tcPr>
          <w:p>
            <w:r>
              <w:rPr>
                <w:b w:val="false"/>
                <w:bCs w:val="false"/>
                <w:color w:val="000000"/>
                <w:sz w:val="20"/>
                <w:szCs w:val="20"/>
              </w:rPr>
              <w:t xml:space="preserve">Manual, inconsistente</w:t>
            </w:r>
          </w:p>
        </w:tc>
        <w:tc>
          <w:tcPr>
            <w:tcW w:type="dxa" w:w="3450"/>
            <w:shd w:fill="EEF1F8" w:val="clear"/>
            <w:tcMar>
              <w:top w:type="dxa" w:w="80"/>
              <w:left w:type="dxa" w:w="100"/>
              <w:bottom w:type="dxa" w:w="80"/>
              <w:right w:type="dxa" w:w="100"/>
            </w:tcMar>
          </w:tcPr>
          <w:p>
            <w:r>
              <w:rPr>
                <w:b w:val="false"/>
                <w:bCs w:val="false"/>
                <w:color w:val="000000"/>
                <w:sz w:val="20"/>
                <w:szCs w:val="20"/>
              </w:rPr>
              <w:t xml:space="preserve">Automática, siempre presente</w:t>
            </w:r>
          </w:p>
        </w:tc>
      </w:tr>
      <w:tr>
        <w:tc>
          <w:tcPr>
            <w:tcW w:type="dxa" w:w="2500"/>
            <w:tcMar>
              <w:top w:type="dxa" w:w="80"/>
              <w:left w:type="dxa" w:w="100"/>
              <w:bottom w:type="dxa" w:w="80"/>
              <w:right w:type="dxa" w:w="100"/>
            </w:tcMar>
          </w:tcPr>
          <w:p>
            <w:r>
              <w:rPr>
                <w:b w:val="false"/>
                <w:bCs w:val="false"/>
                <w:color w:val="000000"/>
                <w:sz w:val="20"/>
                <w:szCs w:val="20"/>
              </w:rPr>
              <w:t xml:space="preserve">Formatos de entrada aceptados</w:t>
            </w:r>
          </w:p>
        </w:tc>
        <w:tc>
          <w:tcPr>
            <w:tcW w:type="dxa" w:w="3400"/>
            <w:tcMar>
              <w:top w:type="dxa" w:w="80"/>
              <w:left w:type="dxa" w:w="100"/>
              <w:bottom w:type="dxa" w:w="80"/>
              <w:right w:type="dxa" w:w="100"/>
            </w:tcMar>
          </w:tcPr>
          <w:p>
            <w:r>
              <w:rPr>
                <w:b w:val="false"/>
                <w:bCs w:val="false"/>
                <w:color w:val="000000"/>
                <w:sz w:val="20"/>
                <w:szCs w:val="20"/>
              </w:rPr>
              <w:t xml:space="preserve">Solo lectura humana</w:t>
            </w:r>
          </w:p>
        </w:tc>
        <w:tc>
          <w:tcPr>
            <w:tcW w:type="dxa" w:w="3450"/>
            <w:tcMar>
              <w:top w:type="dxa" w:w="80"/>
              <w:left w:type="dxa" w:w="100"/>
              <w:bottom w:type="dxa" w:w="80"/>
              <w:right w:type="dxa" w:w="100"/>
            </w:tcMar>
          </w:tcPr>
          <w:p>
            <w:r>
              <w:rPr>
                <w:b w:val="false"/>
                <w:bCs w:val="false"/>
                <w:color w:val="000000"/>
                <w:sz w:val="20"/>
                <w:szCs w:val="20"/>
              </w:rPr>
              <w:t xml:space="preserve">Texto pegado o archivo .docx</w:t>
            </w:r>
          </w:p>
        </w:tc>
      </w:tr>
    </w:tbl>
    <w:p>
      <w:pPr>
        <w:pStyle w:val="Heading1"/>
        <w:spacing w:after="200" w:before="420"/>
      </w:pPr>
      <w:r>
        <w:rPr>
          <w:b/>
          <w:bCs/>
          <w:color w:val="1E2761"/>
        </w:rPr>
        <w:t xml:space="preserve">8. Impacto y siguientes pasos</w:t>
      </w:r>
    </w:p>
    <w:p>
      <w:pPr>
        <w:pStyle w:val="Heading2"/>
        <w:spacing w:after="120" w:before="280"/>
      </w:pPr>
      <w:r>
        <w:rPr>
          <w:b/>
          <w:bCs/>
          <w:color w:val="2F3C7E"/>
        </w:rPr>
        <w:t xml:space="preserve">Beneficio esperado</w:t>
      </w:r>
    </w:p>
    <w:p>
      <w:pPr>
        <w:pStyle w:val="ListParagraph"/>
        <w:numPr>
          <w:ilvl w:val="0"/>
          <w:numId w:val="1"/>
        </w:numPr>
        <w:spacing w:after="80"/>
      </w:pPr>
      <w:r>
        <w:rPr>
          <w:sz w:val="22"/>
          <w:szCs w:val="22"/>
        </w:rPr>
        <w:t xml:space="preserve">Reduce de minutos/horas a segundos el tiempo de verificación de cumplimiento normativo de un sílabo.</w:t>
      </w:r>
    </w:p>
    <w:p>
      <w:pPr>
        <w:pStyle w:val="ListParagraph"/>
        <w:numPr>
          <w:ilvl w:val="0"/>
          <w:numId w:val="1"/>
        </w:numPr>
        <w:spacing w:after="80"/>
      </w:pPr>
      <w:r>
        <w:rPr>
          <w:sz w:val="22"/>
          <w:szCs w:val="22"/>
        </w:rPr>
        <w:t xml:space="preserve">Da trazabilidad exacta (artículo + documento) a cada observación, algo que el proceso manual rara vez produce de forma consistente.</w:t>
      </w:r>
    </w:p>
    <w:p>
      <w:pPr>
        <w:pStyle w:val="ListParagraph"/>
        <w:numPr>
          <w:ilvl w:val="0"/>
          <w:numId w:val="1"/>
        </w:numPr>
        <w:spacing w:after="80"/>
      </w:pPr>
      <w:r>
        <w:rPr>
          <w:sz w:val="22"/>
          <w:szCs w:val="22"/>
        </w:rPr>
        <w:t xml:space="preserve">Sienta la base técnica (RAG + embeddings + vector store + HPC) reutilizable para evaluar otros documentos institucionales contra normativa.</w:t>
      </w:r>
    </w:p>
    <w:p>
      <w:pPr>
        <w:pStyle w:val="Heading2"/>
        <w:spacing w:after="120" w:before="280"/>
      </w:pPr>
      <w:r>
        <w:rPr>
          <w:b/>
          <w:bCs/>
          <w:color w:val="2F3C7E"/>
        </w:rPr>
        <w:t xml:space="preserve">Limitaciones actuales</w:t>
      </w:r>
    </w:p>
    <w:p>
      <w:pPr>
        <w:pStyle w:val="ListParagraph"/>
        <w:numPr>
          <w:ilvl w:val="0"/>
          <w:numId w:val="1"/>
        </w:numPr>
        <w:spacing w:after="80"/>
      </w:pPr>
      <w:r>
        <w:rPr>
          <w:sz w:val="22"/>
          <w:szCs w:val="22"/>
        </w:rPr>
        <w:t xml:space="preserve">2 de los 10 documentos del corpus son PDF escaneados sin capa de texto (0% de cobertura en esos dos); no afecta sílabos de pregrado, el caso de uso principal.</w:t>
      </w:r>
    </w:p>
    <w:p>
      <w:pPr>
        <w:pStyle w:val="ListParagraph"/>
        <w:numPr>
          <w:ilvl w:val="0"/>
          <w:numId w:val="1"/>
        </w:numPr>
        <w:spacing w:after="80"/>
      </w:pPr>
      <w:r>
        <w:rPr>
          <w:sz w:val="22"/>
          <w:szCs w:val="22"/>
        </w:rPr>
        <w:t xml:space="preserve">La cifra cuantitativa de aciertos RAG vs. baseline sobre producción real está pendiente de la corrida final posterior a la recarga de embeddings corregidos (ver sección 7).</w:t>
      </w:r>
    </w:p>
    <w:p>
      <w:pPr>
        <w:pStyle w:val="ListParagraph"/>
        <w:numPr>
          <w:ilvl w:val="0"/>
          <w:numId w:val="1"/>
        </w:numPr>
        <w:spacing w:after="80"/>
      </w:pPr>
      <w:r>
        <w:rPr>
          <w:sz w:val="22"/>
          <w:szCs w:val="22"/>
        </w:rPr>
        <w:t xml:space="preserve">El veredicto "NO_DETERMINADO" existe deliberadamente para los casos donde el LLM no tiene evidencia suficiente — el sistema está diseñado para no inventar cumplimiento, pero eso implica que no todo caso se resuelve de forma automática.</w:t>
      </w:r>
    </w:p>
    <w:p>
      <w:pPr>
        <w:pStyle w:val="Heading2"/>
        <w:spacing w:after="120" w:before="280"/>
      </w:pPr>
      <w:r>
        <w:rPr>
          <w:b/>
          <w:bCs/>
          <w:color w:val="2F3C7E"/>
        </w:rPr>
        <w:t xml:space="preserve">Qué harían con 1 a 3 meses adicionales</w:t>
      </w:r>
    </w:p>
    <w:p>
      <w:pPr>
        <w:pStyle w:val="ListParagraph"/>
        <w:numPr>
          <w:ilvl w:val="0"/>
          <w:numId w:val="1"/>
        </w:numPr>
        <w:spacing w:after="80"/>
      </w:pPr>
      <w:r>
        <w:rPr>
          <w:sz w:val="22"/>
          <w:szCs w:val="22"/>
        </w:rPr>
        <w:t xml:space="preserve">OCR de los 2 documentos escaneados, para cobertura completa del corpus de posgrados.</w:t>
      </w:r>
    </w:p>
    <w:p>
      <w:pPr>
        <w:pStyle w:val="ListParagraph"/>
        <w:numPr>
          <w:ilvl w:val="0"/>
          <w:numId w:val="1"/>
        </w:numPr>
        <w:spacing w:after="80"/>
      </w:pPr>
      <w:r>
        <w:rPr>
          <w:sz w:val="22"/>
          <w:szCs w:val="22"/>
        </w:rPr>
        <w:t xml:space="preserve">Validación de distributivo de carga horaria docente contra el Reglamento de Carrera y Escalafón (ya incluido en el corpus indexado, sin uso todavía).</w:t>
      </w:r>
    </w:p>
    <w:p>
      <w:pPr>
        <w:pStyle w:val="ListParagraph"/>
        <w:numPr>
          <w:ilvl w:val="0"/>
          <w:numId w:val="1"/>
        </w:numPr>
        <w:spacing w:after="80"/>
      </w:pPr>
      <w:r>
        <w:rPr>
          <w:sz w:val="22"/>
          <w:szCs w:val="22"/>
        </w:rPr>
        <w:t xml:space="preserve">Validación de informes de ejecución académica contra la normativa correspondiente.</w:t>
      </w:r>
    </w:p>
    <w:p>
      <w:pPr>
        <w:pStyle w:val="ListParagraph"/>
        <w:numPr>
          <w:ilvl w:val="0"/>
          <w:numId w:val="1"/>
        </w:numPr>
        <w:spacing w:after="80"/>
      </w:pPr>
      <w:r>
        <w:rPr>
          <w:sz w:val="22"/>
          <w:szCs w:val="22"/>
        </w:rPr>
        <w:t xml:space="preserve">Afinar el prompt y el checklist con retroalimentación real de coordinadores de carrera, e instrumentar una métrica de acuerdo humano-IA sobre una muestra de sílabos reales.</w:t>
      </w:r>
    </w:p>
    <w:p>
      <w:pPr>
        <w:pStyle w:val="Heading2"/>
        <w:spacing w:after="120" w:before="280"/>
      </w:pPr>
      <w:r>
        <w:rPr>
          <w:b/>
          <w:bCs/>
          <w:color w:val="2F3C7E"/>
        </w:rPr>
        <w:t xml:space="preserve">Potencial de llevarlo a producción</w:t>
      </w:r>
    </w:p>
    <w:p>
      <w:pPr>
        <w:spacing w:after="160"/>
      </w:pPr>
      <w:r>
        <w:rPr>
          <w:sz w:val="22"/>
          <w:szCs w:val="22"/>
        </w:rPr>
        <w:t xml:space="preserve">El sistema ya corre en producción real, no es un prototipo aislado: está integrado en la plataforma educativa existente (Vibe Coding Platform), construido con Clean/Hexagonal Architecture, lo que permite extenderlo a nuevos tipos de validación (carga horaria, informes de ejecución) sin reescribir el núcleo del sistema — solo agregar nuevos checklists y, si hiciera falta, nuevo corpus.</w:t>
      </w:r>
    </w:p>
    <w:p>
      <w:r>
        <w:br w:type="page"/>
      </w:r>
    </w:p>
    <w:p>
      <w:pPr>
        <w:pStyle w:val="Heading1"/>
        <w:spacing w:after="200" w:before="420"/>
      </w:pPr>
      <w:r>
        <w:rPr>
          <w:b/>
          <w:bCs/>
          <w:color w:val="1E2761"/>
        </w:rPr>
        <w:t xml:space="preserve">Anexo · Enlaces y referencias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1E2761" w:val="clear"/>
            <w:tcMar>
              <w:top w:type="dxa" w:w="80"/>
              <w:left w:type="dxa" w:w="100"/>
              <w:bottom w:type="dxa" w:w="80"/>
              <w:right w:type="dxa" w:w="100"/>
            </w:tcMar>
          </w:tcPr>
          <w:p>
            <w:r>
              <w:rPr>
                <w:b/>
                <w:bCs/>
                <w:color w:val="FFFFFF"/>
                <w:sz w:val="20"/>
                <w:szCs w:val="20"/>
              </w:rPr>
              <w:t xml:space="preserve">Recurso</w:t>
            </w:r>
          </w:p>
        </w:tc>
        <w:tc>
          <w:tcPr>
            <w:tcW w:type="dxa" w:w="5550"/>
            <w:shd w:fill="1E2761" w:val="clear"/>
            <w:tcMar>
              <w:top w:type="dxa" w:w="80"/>
              <w:left w:type="dxa" w:w="100"/>
              <w:bottom w:type="dxa" w:w="80"/>
              <w:right w:type="dxa" w:w="100"/>
            </w:tcMar>
          </w:tcPr>
          <w:p>
            <w:r>
              <w:rPr>
                <w:b/>
                <w:bCs/>
                <w:color w:val="FFFFFF"/>
                <w:sz w:val="20"/>
                <w:szCs w:val="20"/>
              </w:rPr>
              <w:t xml:space="preserve">Enlace / dato</w:t>
            </w:r>
          </w:p>
        </w:tc>
      </w:tr>
      <w:tr>
        <w:tc>
          <w:tcPr>
            <w:tcW w:type="dxa" w:w="3800"/>
            <w:tcMar>
              <w:top w:type="dxa" w:w="80"/>
              <w:left w:type="dxa" w:w="100"/>
              <w:bottom w:type="dxa" w:w="80"/>
              <w:right w:type="dxa" w:w="100"/>
            </w:tcMar>
          </w:tcPr>
          <w:p>
            <w:r>
              <w:rPr>
                <w:b w:val="false"/>
                <w:bCs w:val="false"/>
                <w:color w:val="000000"/>
                <w:sz w:val="20"/>
                <w:szCs w:val="20"/>
              </w:rPr>
              <w:t xml:space="preserve">Plataforma en producción</w:t>
            </w:r>
          </w:p>
        </w:tc>
        <w:tc>
          <w:tcPr>
            <w:tcW w:type="dxa" w:w="5550"/>
            <w:tcMar>
              <w:top w:type="dxa" w:w="80"/>
              <w:left w:type="dxa" w:w="100"/>
              <w:bottom w:type="dxa" w:w="80"/>
              <w:right w:type="dxa" w:w="100"/>
            </w:tcMar>
          </w:tcPr>
          <w:p>
            <w:r>
              <w:rPr>
                <w:b w:val="false"/>
                <w:bCs w:val="false"/>
                <w:color w:val="000000"/>
                <w:sz w:val="20"/>
                <w:szCs w:val="20"/>
              </w:rPr>
              <w:t xml:space="preserve">vibe-coding-platform.franciscohiguera.site</w:t>
            </w:r>
          </w:p>
        </w:tc>
      </w:tr>
      <w:tr>
        <w:tc>
          <w:tcPr>
            <w:tcW w:type="dxa" w:w="3800"/>
            <w:shd w:fill="EEF1F8" w:val="clear"/>
            <w:tcMar>
              <w:top w:type="dxa" w:w="80"/>
              <w:left w:type="dxa" w:w="100"/>
              <w:bottom w:type="dxa" w:w="80"/>
              <w:right w:type="dxa" w:w="100"/>
            </w:tcMar>
          </w:tcPr>
          <w:p>
            <w:r>
              <w:rPr>
                <w:b w:val="false"/>
                <w:bCs w:val="false"/>
                <w:color w:val="000000"/>
                <w:sz w:val="20"/>
                <w:szCs w:val="20"/>
              </w:rPr>
              <w:t xml:space="preserve">API en producción</w:t>
            </w:r>
          </w:p>
        </w:tc>
        <w:tc>
          <w:tcPr>
            <w:tcW w:type="dxa" w:w="5550"/>
            <w:shd w:fill="EEF1F8" w:val="clear"/>
            <w:tcMar>
              <w:top w:type="dxa" w:w="80"/>
              <w:left w:type="dxa" w:w="100"/>
              <w:bottom w:type="dxa" w:w="80"/>
              <w:right w:type="dxa" w:w="100"/>
            </w:tcMar>
          </w:tcPr>
          <w:p>
            <w:r>
              <w:rPr>
                <w:b w:val="false"/>
                <w:bCs w:val="false"/>
                <w:color w:val="000000"/>
                <w:sz w:val="20"/>
                <w:szCs w:val="20"/>
              </w:rPr>
              <w:t xml:space="preserve">vibe-coding-platform-api.franciscohiguera.site</w:t>
            </w:r>
          </w:p>
        </w:tc>
      </w:tr>
      <w:tr>
        <w:tc>
          <w:tcPr>
            <w:tcW w:type="dxa" w:w="3800"/>
            <w:tcMar>
              <w:top w:type="dxa" w:w="80"/>
              <w:left w:type="dxa" w:w="100"/>
              <w:bottom w:type="dxa" w:w="80"/>
              <w:right w:type="dxa" w:w="100"/>
            </w:tcMar>
          </w:tcPr>
          <w:p>
            <w:r>
              <w:rPr>
                <w:b w:val="false"/>
                <w:bCs w:val="false"/>
                <w:color w:val="000000"/>
                <w:sz w:val="20"/>
                <w:szCs w:val="20"/>
              </w:rPr>
              <w:t xml:space="preserve">Validación de sílabos (demo en vivo)</w:t>
            </w:r>
          </w:p>
        </w:tc>
        <w:tc>
          <w:tcPr>
            <w:tcW w:type="dxa" w:w="5550"/>
            <w:tcMar>
              <w:top w:type="dxa" w:w="80"/>
              <w:left w:type="dxa" w:w="100"/>
              <w:bottom w:type="dxa" w:w="80"/>
              <w:right w:type="dxa" w:w="100"/>
            </w:tcMar>
          </w:tcPr>
          <w:p>
            <w:r>
              <w:rPr>
                <w:b w:val="false"/>
                <w:bCs w:val="false"/>
                <w:color w:val="000000"/>
                <w:sz w:val="20"/>
                <w:szCs w:val="20"/>
              </w:rPr>
              <w:t xml:space="preserve">/validacion-silabos</w:t>
            </w:r>
          </w:p>
        </w:tc>
      </w:tr>
      <w:tr>
        <w:tc>
          <w:tcPr>
            <w:tcW w:type="dxa" w:w="3800"/>
            <w:shd w:fill="EEF1F8" w:val="clear"/>
            <w:tcMar>
              <w:top w:type="dxa" w:w="80"/>
              <w:left w:type="dxa" w:w="100"/>
              <w:bottom w:type="dxa" w:w="80"/>
              <w:right w:type="dxa" w:w="100"/>
            </w:tcMar>
          </w:tcPr>
          <w:p>
            <w:r>
              <w:rPr>
                <w:b w:val="false"/>
                <w:bCs w:val="false"/>
                <w:color w:val="000000"/>
                <w:sz w:val="20"/>
                <w:szCs w:val="20"/>
              </w:rPr>
              <w:t xml:space="preserve">Evaluación RAG (baseline vs. RAG)</w:t>
            </w:r>
          </w:p>
        </w:tc>
        <w:tc>
          <w:tcPr>
            <w:tcW w:type="dxa" w:w="5550"/>
            <w:shd w:fill="EEF1F8" w:val="clear"/>
            <w:tcMar>
              <w:top w:type="dxa" w:w="80"/>
              <w:left w:type="dxa" w:w="100"/>
              <w:bottom w:type="dxa" w:w="80"/>
              <w:right w:type="dxa" w:w="100"/>
            </w:tcMar>
          </w:tcPr>
          <w:p>
            <w:r>
              <w:rPr>
                <w:b w:val="false"/>
                <w:bCs w:val="false"/>
                <w:color w:val="000000"/>
                <w:sz w:val="20"/>
                <w:szCs w:val="20"/>
              </w:rPr>
              <w:t xml:space="preserve">/evaluacion-rag</w:t>
            </w:r>
          </w:p>
        </w:tc>
      </w:tr>
      <w:tr>
        <w:tc>
          <w:tcPr>
            <w:tcW w:type="dxa" w:w="3800"/>
            <w:tcMar>
              <w:top w:type="dxa" w:w="80"/>
              <w:left w:type="dxa" w:w="100"/>
              <w:bottom w:type="dxa" w:w="80"/>
              <w:right w:type="dxa" w:w="100"/>
            </w:tcMar>
          </w:tcPr>
          <w:p>
            <w:r>
              <w:rPr>
                <w:b w:val="false"/>
                <w:bCs w:val="false"/>
                <w:color w:val="000000"/>
                <w:sz w:val="20"/>
                <w:szCs w:val="20"/>
              </w:rPr>
              <w:t xml:space="preserve">Autor</w:t>
            </w:r>
          </w:p>
        </w:tc>
        <w:tc>
          <w:tcPr>
            <w:tcW w:type="dxa" w:w="5550"/>
            <w:tcMar>
              <w:top w:type="dxa" w:w="80"/>
              <w:left w:type="dxa" w:w="100"/>
              <w:bottom w:type="dxa" w:w="80"/>
              <w:right w:type="dxa" w:w="100"/>
            </w:tcMar>
          </w:tcPr>
          <w:p>
            <w:r>
              <w:rPr>
                <w:b w:val="false"/>
                <w:bCs w:val="false"/>
                <w:color w:val="000000"/>
                <w:sz w:val="20"/>
                <w:szCs w:val="20"/>
              </w:rPr>
              <w:t xml:space="preserve">Francisco Javier Higuera González · Universidad UTE</w:t>
            </w:r>
          </w:p>
        </w:tc>
      </w:tr>
      <w:tr>
        <w:tc>
          <w:tcPr>
            <w:tcW w:type="dxa" w:w="3800"/>
            <w:shd w:fill="EEF1F8" w:val="clear"/>
            <w:tcMar>
              <w:top w:type="dxa" w:w="80"/>
              <w:left w:type="dxa" w:w="100"/>
              <w:bottom w:type="dxa" w:w="80"/>
              <w:right w:type="dxa" w:w="100"/>
            </w:tcMar>
          </w:tcPr>
          <w:p>
            <w:r>
              <w:rPr>
                <w:b w:val="false"/>
                <w:bCs w:val="false"/>
                <w:color w:val="000000"/>
                <w:sz w:val="20"/>
                <w:szCs w:val="20"/>
              </w:rPr>
              <w:t xml:space="preserve">Contacto</w:t>
            </w:r>
          </w:p>
        </w:tc>
        <w:tc>
          <w:tcPr>
            <w:tcW w:type="dxa" w:w="5550"/>
            <w:shd w:fill="EEF1F8" w:val="clear"/>
            <w:tcMar>
              <w:top w:type="dxa" w:w="80"/>
              <w:left w:type="dxa" w:w="100"/>
              <w:bottom w:type="dxa" w:w="80"/>
              <w:right w:type="dxa" w:w="100"/>
            </w:tcMar>
          </w:tcPr>
          <w:p>
            <w:r>
              <w:rPr>
                <w:b w:val="false"/>
                <w:bCs w:val="false"/>
                <w:color w:val="000000"/>
                <w:sz w:val="20"/>
                <w:szCs w:val="20"/>
              </w:rPr>
              <w:t xml:space="preserve">francisco.higuera@ute.edu.ec</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2026-10-11T01:58:30.455Z</dcterms:created>
  <dcterms:modified xsi:type="dcterms:W3CDTF">2026-10-11T01:58:30.456Z</dcterms:modified>
</cp:coreProperties>
</file>

<file path=docProps/custom.xml><?xml version="1.0" encoding="utf-8"?>
<Properties xmlns="http://schemas.openxmlformats.org/officeDocument/2006/custom-properties" xmlns:vt="http://schemas.openxmlformats.org/officeDocument/2006/docPropsVTypes"/>
</file>