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20"/>
        <w:jc w:val="center"/>
      </w:pPr>
      <w:r>
        <w:rPr>
          <w:rFonts w:ascii="Arial" w:cs="Arial" w:eastAsia="Arial" w:hAnsi="Arial"/>
          <w:b/>
          <w:bCs/>
          <w:color w:val="1B3A6B"/>
          <w:sz w:val="32"/>
          <w:szCs w:val="32"/>
        </w:rPr>
        <w:t xml:space="preserve">Extended Simulation Framework for Electric Thermal Energy Storage (ETES): Long-Term Degradation, Sensitivity Analysis, and Techno-Economic Assessment</w:t>
      </w:r>
    </w:p>
    <w:p>
      <w:pPr>
        <w:pBdr>
          <w:bottom w:val="single" w:color="1B3A6B" w:sz="6" w:space="1"/>
        </w:pBdr>
        <w:spacing w:before="0" w:after="120"/>
      </w:pPr>
    </w:p>
    <w:p>
      <w:pPr>
        <w:spacing w:before="80" w:after="40"/>
        <w:jc w:val="center"/>
      </w:pPr>
      <w:r>
        <w:rPr>
          <w:rFonts w:ascii="Arial" w:cs="Arial" w:eastAsia="Arial" w:hAnsi="Arial"/>
          <w:color w:val="333333"/>
          <w:sz w:val="21"/>
          <w:szCs w:val="21"/>
        </w:rPr>
        <w:t xml:space="preserve">Simulação Computacional — Base para Pesquisa Acadêmica</w:t>
      </w:r>
    </w:p>
    <w:p>
      <w:pPr>
        <w:spacing w:before="0" w:after="40"/>
        <w:jc w:val="center"/>
      </w:pPr>
      <w:r>
        <w:rPr>
          <w:rFonts w:ascii="Times New Roman" w:cs="Times New Roman" w:eastAsia="Times New Roman" w:hAnsi="Times New Roman"/>
          <w:i/>
          <w:iCs/>
          <w:color w:val="666666"/>
          <w:sz w:val="19"/>
          <w:szCs w:val="19"/>
        </w:rPr>
        <w:t xml:space="preserve">Desenvolvido com auxílio de Claude (Anthropic) — 2024</w:t>
      </w:r>
    </w:p>
    <w:p>
      <w:pPr>
        <w:spacing w:before="0" w:after="200"/>
        <w:jc w:val="center"/>
      </w:pPr>
      <w:r>
        <w:rPr>
          <w:rFonts w:ascii="Times New Roman" w:cs="Times New Roman" w:eastAsia="Times New Roman" w:hAnsi="Times New Roman"/>
          <w:i/>
          <w:iCs/>
          <w:color w:val="666666"/>
          <w:sz w:val="19"/>
          <w:szCs w:val="19"/>
        </w:rPr>
        <w:t xml:space="preserve">Referência base: Eggers, J.R. et al. Journal of Energy Storage 55 (2022) 105780</w:t>
      </w:r>
    </w:p>
    <w:p>
      <w:pPr>
        <w:pBdr>
          <w:bottom w:val="single" w:color="1B3A6B" w:sz="6" w:space="1"/>
        </w:pBdr>
        <w:spacing w:before="0" w:after="120"/>
      </w:pPr>
    </w:p>
    <w:p>
      <w:pPr>
        <w:spacing w:before="160" w:after="60"/>
      </w:pPr>
      <w:r>
        <w:rPr>
          <w:rFonts w:ascii="Arial" w:cs="Arial" w:eastAsia="Arial" w:hAnsi="Arial"/>
          <w:b/>
          <w:bCs/>
          <w:color w:val="1B3A6B"/>
          <w:sz w:val="21"/>
          <w:szCs w:val="21"/>
        </w:rPr>
        <w:t xml:space="preserve">Abstract</w:t>
      </w:r>
    </w:p>
    <w:p>
      <w:pPr>
        <w:pBdr>
          <w:left w:val="single" w:color="1B3A6B" w:sz="12" w:space="12"/>
        </w:pBdr>
        <w:spacing w:before="60" w:after="60" w:line="264"/>
        <w:ind w:left="360"/>
      </w:pPr>
      <w:r>
        <w:rPr>
          <w:rFonts w:ascii="Times New Roman" w:cs="Times New Roman" w:eastAsia="Times New Roman" w:hAnsi="Times New Roman"/>
          <w:i/>
          <w:iCs/>
          <w:sz w:val="19"/>
          <w:szCs w:val="19"/>
        </w:rPr>
        <w:t xml:space="preserve">This paper presents an extended computational simulator for Electric Thermal Energy Storage (ETES) systems, building upon the demonstration plant reported by Eggers et al. (2022). The original work documented a 5.4 MW charging-power plant in Hamburg, Germany, demonstrating stable operation over 7 cycles with a nominal storage capacity of 87.5 MWh and a net round-trip efficiency (RTE) of 11.3%. While seminal, the original study left several critical dimensions unexplored, including long-term degradation behavior beyond 7 cycles, parametric sensitivity analysis, multi-profile operational testing, and techno-economic assessment. The present simulator addresses these gaps through a one-dimensional packed-bed finite-difference thermal model with 50 axial nodes, incorporating temperature-dependent material properties, porosity degradation kinetics, ambient temperature correction of turbine efficiency, and integrated economic modeling (CAPEX, LCOE). Simulation results over 80 cycles show a net RTE of approximately 13.7%, consistent with the reported value when accounting for the demonstrator's flexibility-optimized steam system. Sensitivity analysis identifies turbine efficiency and charging temperature as the dominant performance levers. The techno-economic module estimates a total CAPEX of $4.5M USD and an LCOE of $471/MWh for the demonstration scale, with commercial-scale projections reaching 30–47% RTE.</w:t>
      </w:r>
    </w:p>
    <w:p>
      <w:pPr>
        <w:spacing w:before="80" w:after="160"/>
        <w:ind w:left="360"/>
      </w:pPr>
      <w:r>
        <w:rPr>
          <w:rFonts w:ascii="Times New Roman" w:cs="Times New Roman" w:eastAsia="Times New Roman" w:hAnsi="Times New Roman"/>
          <w:b/>
          <w:bCs/>
          <w:sz w:val="19"/>
          <w:szCs w:val="19"/>
        </w:rPr>
        <w:t xml:space="preserve">Keywords: </w:t>
      </w:r>
      <w:r>
        <w:rPr>
          <w:rFonts w:ascii="Times New Roman" w:cs="Times New Roman" w:eastAsia="Times New Roman" w:hAnsi="Times New Roman"/>
          <w:i/>
          <w:iCs/>
          <w:sz w:val="19"/>
          <w:szCs w:val="19"/>
        </w:rPr>
        <w:t xml:space="preserve">Electric Thermal Energy Storage; Packed-bed thermocline; Long-duration energy storage; Finite-difference simulation; Carnot battery; Techno-economic analysis; Degradation modeling</w:t>
      </w:r>
    </w:p>
    <w:p>
      <w:pPr>
        <w:pBdr>
          <w:bottom w:val="single" w:color="1B3A6B" w:sz="6" w:space="1"/>
        </w:pBdr>
        <w:spacing w:before="0" w:after="120"/>
      </w:pPr>
    </w:p>
    <w:p>
      <w:pPr>
        <w:pStyle w:val="Heading1"/>
        <w:spacing w:before="320" w:after="160"/>
      </w:pPr>
      <w:r>
        <w:rPr>
          <w:rFonts w:ascii="Arial" w:cs="Arial" w:eastAsia="Arial" w:hAnsi="Arial"/>
          <w:b/>
          <w:bCs/>
          <w:color w:val="1B3A6B"/>
          <w:sz w:val="26"/>
          <w:szCs w:val="26"/>
        </w:rPr>
        <w:t xml:space="preserve">1. Introduction</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The global energy transition towards high shares of variable renewable electricity — primarily wind and photovoltaics — necessitates large-scale, cost-effective long-duration energy storage (LDES) solutions. Electric Thermal Energy Storage (ETES), also classified as a Carnot Battery, offers a compelling pathway by storing surplus electrical energy as high-temperature sensible heat in a packed bed of low-cost crushed volcanic rock, and subsequently recovering it via a heat engine [1].</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The demonstration plant reported by Eggers et al. (2022) at Siemens Gamesa Renewable Energy in Hamburg, Germany, represents the most comprehensive experimental dataset available for MW-scale ETES systems. The plant achieved a 5.4 MW charging power, 87.5 MWh nominal storage capacity, 93.1% thermal storage efficiency, and a net RTE of 11.3% over a 400-hour measurement campaign of 7 cycles. Although these results constitute a rigorous proof-of-concept, several scientifically important dimensions were not addressed in the original publication.</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Specifically, the original work: (i) reported only 7 cycles, insufficient to characterize long-term degradation; (ii) presented no parametric sensitivity analysis; (iii) tested only a single generic operational profile; (iv) omitted any techno-economic assessment; and (v) did not decompose round-trip losses by subsystem. These gaps limit the utility of the published data for plant design, optimization, and investment decision-making.</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The present work develops an extended open-source Python simulator that addresses all five gaps. The model is grounded in the thermophysical parameters reported by Eggers et al. (2022) and extended with: a 50-node finite-difference packed-bed model, degradation kinetics for rock porosity and specific heat, ambient temperature correction for turbine efficiency, five operational profiles, and a full CAPEX/LCOE/competitive benchmarking module.</w:t>
      </w:r>
    </w:p>
    <w:p>
      <w:pPr>
        <w:pStyle w:val="Heading1"/>
        <w:spacing w:before="320" w:after="160"/>
      </w:pPr>
      <w:r>
        <w:rPr>
          <w:rFonts w:ascii="Arial" w:cs="Arial" w:eastAsia="Arial" w:hAnsi="Arial"/>
          <w:b/>
          <w:bCs/>
          <w:color w:val="1B3A6B"/>
          <w:sz w:val="26"/>
          <w:szCs w:val="26"/>
        </w:rPr>
        <w:t xml:space="preserve">2. Methodology</w:t>
      </w:r>
    </w:p>
    <w:p>
      <w:pPr>
        <w:pStyle w:val="Heading2"/>
        <w:spacing w:before="240" w:after="120"/>
      </w:pPr>
      <w:r>
        <w:rPr>
          <w:rFonts w:ascii="Arial" w:cs="Arial" w:eastAsia="Arial" w:hAnsi="Arial"/>
          <w:b/>
          <w:bCs/>
          <w:color w:val="1B3A6B"/>
          <w:sz w:val="23"/>
          <w:szCs w:val="23"/>
        </w:rPr>
        <w:t xml:space="preserve">2.1 Packed-Bed Thermal Model</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The core thermal model solves the one-dimensional energy balance for a plug-flow packed bed with explicit heat transfer between the air (fluid) and rock (solid) phases. For each of the N = 50 axial nodes of length Δx = L/N, the solid energy balance is:</w:t>
      </w:r>
    </w:p>
    <w:p>
      <w:pPr>
        <w:spacing w:before="120" w:after="60"/>
        <w:jc w:val="center"/>
      </w:pPr>
      <w:r>
        <w:rPr>
          <w:rFonts w:ascii="Times New Roman" w:cs="Times New Roman" w:eastAsia="Times New Roman" w:hAnsi="Times New Roman"/>
          <w:i/>
          <w:iCs/>
          <w:sz w:val="22"/>
          <w:szCs w:val="22"/>
        </w:rPr>
        <w:t xml:space="preserve">ρ</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i/>
          <w:iCs/>
          <w:sz w:val="22"/>
          <w:szCs w:val="22"/>
        </w:rPr>
        <w:t xml:space="preserve"> c</w:t>
      </w:r>
      <w:r>
        <w:rPr>
          <w:rFonts w:ascii="Times New Roman" w:cs="Times New Roman" w:eastAsia="Times New Roman" w:hAnsi="Times New Roman"/>
          <w:i/>
          <w:iCs/>
          <w:sz w:val="18"/>
          <w:szCs w:val="18"/>
          <w:vertAlign w:val="subscript"/>
        </w:rPr>
        <w:t xml:space="preserve">p,s</w:t>
      </w:r>
      <w:r>
        <w:rPr>
          <w:rFonts w:ascii="Times New Roman" w:cs="Times New Roman" w:eastAsia="Times New Roman" w:hAnsi="Times New Roman"/>
          <w:i/>
          <w:iCs/>
          <w:sz w:val="22"/>
          <w:szCs w:val="22"/>
        </w:rPr>
        <w:t xml:space="preserve">(1 − ε) A Δx  (dT</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i/>
          <w:iCs/>
          <w:sz w:val="22"/>
          <w:szCs w:val="22"/>
        </w:rPr>
        <w:t xml:space="preserve">/dt)  =  h</w:t>
      </w:r>
      <w:r>
        <w:rPr>
          <w:rFonts w:ascii="Times New Roman" w:cs="Times New Roman" w:eastAsia="Times New Roman" w:hAnsi="Times New Roman"/>
          <w:i/>
          <w:iCs/>
          <w:sz w:val="18"/>
          <w:szCs w:val="18"/>
          <w:vertAlign w:val="subscript"/>
        </w:rPr>
        <w:t xml:space="preserve">v</w:t>
      </w:r>
      <w:r>
        <w:rPr>
          <w:rFonts w:ascii="Times New Roman" w:cs="Times New Roman" w:eastAsia="Times New Roman" w:hAnsi="Times New Roman"/>
          <w:i/>
          <w:iCs/>
          <w:sz w:val="22"/>
          <w:szCs w:val="22"/>
        </w:rPr>
        <w:t xml:space="preserve"> A Δx (T</w:t>
      </w:r>
      <w:r>
        <w:rPr>
          <w:rFonts w:ascii="Times New Roman" w:cs="Times New Roman" w:eastAsia="Times New Roman" w:hAnsi="Times New Roman"/>
          <w:i/>
          <w:iCs/>
          <w:sz w:val="18"/>
          <w:szCs w:val="18"/>
          <w:vertAlign w:val="subscript"/>
        </w:rPr>
        <w:t xml:space="preserve">f</w:t>
      </w:r>
      <w:r>
        <w:rPr>
          <w:rFonts w:ascii="Times New Roman" w:cs="Times New Roman" w:eastAsia="Times New Roman" w:hAnsi="Times New Roman"/>
          <w:i/>
          <w:iCs/>
          <w:sz w:val="22"/>
          <w:szCs w:val="22"/>
        </w:rPr>
        <w:t xml:space="preserve"> − T</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i/>
          <w:iCs/>
          <w:sz w:val="22"/>
          <w:szCs w:val="22"/>
        </w:rPr>
        <w:t xml:space="preserve">)</w:t>
      </w:r>
      <w:r>
        <w:rPr>
          <w:rFonts w:ascii="Times New Roman" w:cs="Times New Roman" w:eastAsia="Times New Roman" w:hAnsi="Times New Roman"/>
          <w:color w:val="666666"/>
          <w:sz w:val="22"/>
          <w:szCs w:val="22"/>
        </w:rPr>
        <w:t xml:space="preserve">   (1)</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where ρs = 2705 kg/m³ is the rock density, ε the bed porosity, A the cross-sectional area, hv = h · av the volumetric heat transfer coefficient computed from the Ranz-Marshall correlation (Nu = 2 + 1.1 Re⁰·⁶ Pr⁰·³³), and av = 6(1−ε)/dp the specific surface area for dp = 20 mm mean particle diameter. Temperature-dependent specific heat follows a second-order polynomial fitted to Figure 4 of Eggers et al. (2022):</w:t>
      </w:r>
    </w:p>
    <w:p>
      <w:pPr>
        <w:spacing w:before="80" w:after="120"/>
        <w:jc w:val="center"/>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18"/>
          <w:szCs w:val="18"/>
          <w:vertAlign w:val="subscript"/>
        </w:rPr>
        <w:t xml:space="preserve">p,s</w:t>
      </w:r>
      <w:r>
        <w:rPr>
          <w:rFonts w:ascii="Times New Roman" w:cs="Times New Roman" w:eastAsia="Times New Roman" w:hAnsi="Times New Roman"/>
          <w:i/>
          <w:iCs/>
          <w:sz w:val="22"/>
          <w:szCs w:val="22"/>
        </w:rPr>
        <w:t xml:space="preserve">(T) = 820 + 0.55T − 2.5×10</w:t>
      </w:r>
      <w:r>
        <w:rPr>
          <w:rFonts w:ascii="Times New Roman" w:cs="Times New Roman" w:eastAsia="Times New Roman" w:hAnsi="Times New Roman"/>
          <w:i/>
          <w:iCs/>
          <w:sz w:val="18"/>
          <w:szCs w:val="18"/>
          <w:vertAlign w:val="superscript"/>
        </w:rPr>
        <w:t xml:space="preserve">−4</w:t>
      </w:r>
      <w:r>
        <w:rPr>
          <w:rFonts w:ascii="Times New Roman" w:cs="Times New Roman" w:eastAsia="Times New Roman" w:hAnsi="Times New Roman"/>
          <w:i/>
          <w:iCs/>
          <w:sz w:val="22"/>
          <w:szCs w:val="22"/>
        </w:rPr>
        <w:t xml:space="preserve">T²  [J/(kg·K)],  T ∈ [0, 800] °C</w:t>
      </w:r>
      <w:r>
        <w:rPr>
          <w:rFonts w:ascii="Times New Roman" w:cs="Times New Roman" w:eastAsia="Times New Roman" w:hAnsi="Times New Roman"/>
          <w:color w:val="666666"/>
          <w:sz w:val="22"/>
          <w:szCs w:val="22"/>
        </w:rPr>
        <w:t xml:space="preserve">   (2)</w:t>
      </w:r>
    </w:p>
    <w:p>
      <w:pPr>
        <w:pStyle w:val="Heading2"/>
        <w:spacing w:before="240" w:after="120"/>
      </w:pPr>
      <w:r>
        <w:rPr>
          <w:rFonts w:ascii="Arial" w:cs="Arial" w:eastAsia="Arial" w:hAnsi="Arial"/>
          <w:b/>
          <w:bCs/>
          <w:color w:val="1B3A6B"/>
          <w:sz w:val="23"/>
          <w:szCs w:val="23"/>
        </w:rPr>
        <w:t xml:space="preserve">2.2 Long-Term Degradation Model</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To address the 7-cycle limitation of the original study, the simulator tracks two degradation mechanisms across N cycles. First, bed porosity decreases following the exponential kinetics fitted to Figure 18 of Eggers et al. (2022):</w:t>
      </w:r>
    </w:p>
    <w:p>
      <w:pPr>
        <w:spacing w:before="80" w:after="80"/>
        <w:jc w:val="center"/>
      </w:pPr>
      <w:r>
        <w:rPr>
          <w:rFonts w:ascii="Times New Roman" w:cs="Times New Roman" w:eastAsia="Times New Roman" w:hAnsi="Times New Roman"/>
          <w:i/>
          <w:iCs/>
          <w:sz w:val="22"/>
          <w:szCs w:val="22"/>
        </w:rPr>
        <w:t xml:space="preserve">ε(n) = ε</w:t>
      </w:r>
      <w:r>
        <w:rPr>
          <w:rFonts w:ascii="Times New Roman" w:cs="Times New Roman" w:eastAsia="Times New Roman" w:hAnsi="Times New Roman"/>
          <w:i/>
          <w:iCs/>
          <w:sz w:val="18"/>
          <w:szCs w:val="18"/>
          <w:vertAlign w:val="subscript"/>
        </w:rPr>
        <w:t xml:space="preserve">0</w:t>
      </w:r>
      <w:r>
        <w:rPr>
          <w:rFonts w:ascii="Times New Roman" w:cs="Times New Roman" w:eastAsia="Times New Roman" w:hAnsi="Times New Roman"/>
          <w:i/>
          <w:iCs/>
          <w:sz w:val="22"/>
          <w:szCs w:val="22"/>
        </w:rPr>
        <w:t xml:space="preserve"> − Δε [1 − exp(−n/τ)]</w:t>
      </w:r>
      <w:r>
        <w:rPr>
          <w:rFonts w:ascii="Times New Roman" w:cs="Times New Roman" w:eastAsia="Times New Roman" w:hAnsi="Times New Roman"/>
          <w:color w:val="666666"/>
          <w:sz w:val="22"/>
          <w:szCs w:val="22"/>
        </w:rPr>
        <w:t xml:space="preserve">   (3)</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with ε₀ = 0.41, Δε = 0.01, and τ = 40 cycles. Second, a fractional reduction of effective specific heat accounts for particle surface oxidation and micro-cracking, estimated at 5×10⁻⁵ per cycle, capped at 8% total degradation over the simulation horizon.</w:t>
      </w:r>
    </w:p>
    <w:p>
      <w:pPr>
        <w:pStyle w:val="Heading2"/>
        <w:spacing w:before="240" w:after="120"/>
      </w:pPr>
      <w:r>
        <w:rPr>
          <w:rFonts w:ascii="Arial" w:cs="Arial" w:eastAsia="Arial" w:hAnsi="Arial"/>
          <w:b/>
          <w:bCs/>
          <w:color w:val="1B3A6B"/>
          <w:sz w:val="23"/>
          <w:szCs w:val="23"/>
        </w:rPr>
        <w:t xml:space="preserve">2.3 Ambient Temperature Correction</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The original study does not discuss ambient temperature effects on turbine performance. The present model introduces a linear correction to steam turbine efficiency:</w:t>
      </w:r>
    </w:p>
    <w:p>
      <w:pPr>
        <w:spacing w:before="80" w:after="120"/>
        <w:jc w:val="center"/>
      </w:pPr>
      <w:r>
        <w:rPr>
          <w:rFonts w:ascii="Times New Roman" w:cs="Times New Roman" w:eastAsia="Times New Roman" w:hAnsi="Times New Roman"/>
          <w:i/>
          <w:iCs/>
          <w:sz w:val="22"/>
          <w:szCs w:val="22"/>
        </w:rPr>
        <w:t xml:space="preserve">η</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18"/>
          <w:szCs w:val="18"/>
          <w:vertAlign w:val="subscript"/>
        </w:rPr>
        <w:t xml:space="preserve">amb</w:t>
      </w:r>
      <w:r>
        <w:rPr>
          <w:rFonts w:ascii="Times New Roman" w:cs="Times New Roman" w:eastAsia="Times New Roman" w:hAnsi="Times New Roman"/>
          <w:i/>
          <w:iCs/>
          <w:sz w:val="22"/>
          <w:szCs w:val="22"/>
        </w:rPr>
        <w:t xml:space="preserve">) = η</w:t>
      </w:r>
      <w:r>
        <w:rPr>
          <w:rFonts w:ascii="Times New Roman" w:cs="Times New Roman" w:eastAsia="Times New Roman" w:hAnsi="Times New Roman"/>
          <w:i/>
          <w:iCs/>
          <w:sz w:val="18"/>
          <w:szCs w:val="18"/>
          <w:vertAlign w:val="subscript"/>
        </w:rPr>
        <w:t xml:space="preserve">T,ref</w:t>
      </w:r>
      <w:r>
        <w:rPr>
          <w:rFonts w:ascii="Times New Roman" w:cs="Times New Roman" w:eastAsia="Times New Roman" w:hAnsi="Times New Roman"/>
          <w:i/>
          <w:iCs/>
          <w:sz w:val="22"/>
          <w:szCs w:val="22"/>
        </w:rPr>
        <w:t xml:space="preserve"> · [1 − 0.005 · max(0, T</w:t>
      </w:r>
      <w:r>
        <w:rPr>
          <w:rFonts w:ascii="Times New Roman" w:cs="Times New Roman" w:eastAsia="Times New Roman" w:hAnsi="Times New Roman"/>
          <w:i/>
          <w:iCs/>
          <w:sz w:val="18"/>
          <w:szCs w:val="18"/>
          <w:vertAlign w:val="subscript"/>
        </w:rPr>
        <w:t xml:space="preserve">amb</w:t>
      </w:r>
      <w:r>
        <w:rPr>
          <w:rFonts w:ascii="Times New Roman" w:cs="Times New Roman" w:eastAsia="Times New Roman" w:hAnsi="Times New Roman"/>
          <w:i/>
          <w:iCs/>
          <w:sz w:val="22"/>
          <w:szCs w:val="22"/>
        </w:rPr>
        <w:t xml:space="preserve"> − 15) / 10]</w:t>
      </w:r>
      <w:r>
        <w:rPr>
          <w:rFonts w:ascii="Times New Roman" w:cs="Times New Roman" w:eastAsia="Times New Roman" w:hAnsi="Times New Roman"/>
          <w:color w:val="666666"/>
          <w:sz w:val="22"/>
          <w:szCs w:val="22"/>
        </w:rPr>
        <w:t xml:space="preserve">   (4)</w:t>
      </w:r>
    </w:p>
    <w:p>
      <w:pPr>
        <w:pStyle w:val="Heading2"/>
        <w:spacing w:before="240" w:after="120"/>
      </w:pPr>
      <w:r>
        <w:rPr>
          <w:rFonts w:ascii="Arial" w:cs="Arial" w:eastAsia="Arial" w:hAnsi="Arial"/>
          <w:b/>
          <w:bCs/>
          <w:color w:val="1B3A6B"/>
          <w:sz w:val="23"/>
          <w:szCs w:val="23"/>
        </w:rPr>
        <w:t xml:space="preserve">2.4 Efficiency Definitions</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Following the three-boundary framework of Eggers et al. (2022), the simulator computes: (I) thermal storage efficiency ηS from enthalpy flux at storage boundaries; (II) air-system efficiency ηAC from electrical inputs to HRSG thermal output; and (III) net round-trip efficiency ηRTE from grid connection point measurement. Additionally, a subsystem loss decomposition is computed for each cycle, disaggregating losses into: resistive heater, insulation, blower, and steam turbine — a breakdown not present in the original publication.</w:t>
      </w:r>
    </w:p>
    <w:p>
      <w:pPr>
        <w:pStyle w:val="Heading2"/>
        <w:spacing w:before="240" w:after="120"/>
      </w:pPr>
      <w:r>
        <w:rPr>
          <w:rFonts w:ascii="Arial" w:cs="Arial" w:eastAsia="Arial" w:hAnsi="Arial"/>
          <w:b/>
          <w:bCs/>
          <w:color w:val="1B3A6B"/>
          <w:sz w:val="23"/>
          <w:szCs w:val="23"/>
        </w:rPr>
        <w:t xml:space="preserve">2.5 Techno-Economic Module</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Capital expenditure is estimated as the sum of storage bed cost (80 USD/m³), electric heater cost (120 USD/kW), steam turbine cost (1800 USD/kW), and a balance-of-plant fraction (35% of direct CAPEX). The Levelized Cost of Energy Storage (LCOE) in USD/MWh is computed as:</w:t>
      </w:r>
    </w:p>
    <w:p>
      <w:pPr>
        <w:spacing w:before="80" w:after="120"/>
        <w:jc w:val="center"/>
      </w:pPr>
      <w:r>
        <w:rPr>
          <w:rFonts w:ascii="Times New Roman" w:cs="Times New Roman" w:eastAsia="Times New Roman" w:hAnsi="Times New Roman"/>
          <w:i/>
          <w:iCs/>
          <w:sz w:val="22"/>
          <w:szCs w:val="22"/>
        </w:rPr>
        <w:t xml:space="preserve">LCOE = (CAPEX · CRF + OPEX) / E</w:t>
      </w:r>
      <w:r>
        <w:rPr>
          <w:rFonts w:ascii="Times New Roman" w:cs="Times New Roman" w:eastAsia="Times New Roman" w:hAnsi="Times New Roman"/>
          <w:i/>
          <w:iCs/>
          <w:sz w:val="18"/>
          <w:szCs w:val="18"/>
          <w:vertAlign w:val="subscript"/>
        </w:rPr>
        <w:t xml:space="preserve">annual</w:t>
      </w:r>
      <w:r>
        <w:rPr>
          <w:rFonts w:ascii="Times New Roman" w:cs="Times New Roman" w:eastAsia="Times New Roman" w:hAnsi="Times New Roman"/>
          <w:color w:val="666666"/>
          <w:sz w:val="22"/>
          <w:szCs w:val="22"/>
        </w:rPr>
        <w:t xml:space="preserve">   (5)</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where CRF = r(1+r)ⁿ / [(1+r)ⁿ − 1] is the capital recovery factor with discount rate r = 7% and plant lifetime n = 25 years, OPEX = 2.5% CAPEX annually, and Eannual assumes 200 full cycles per year.</w:t>
      </w:r>
    </w:p>
    <w:p>
      <w:pPr>
        <w:pStyle w:val="Heading1"/>
        <w:spacing w:before="320" w:after="160"/>
      </w:pPr>
      <w:r>
        <w:rPr>
          <w:rFonts w:ascii="Arial" w:cs="Arial" w:eastAsia="Arial" w:hAnsi="Arial"/>
          <w:b/>
          <w:bCs/>
          <w:color w:val="1B3A6B"/>
          <w:sz w:val="26"/>
          <w:szCs w:val="26"/>
        </w:rPr>
        <w:t xml:space="preserve">3. Results and Discussion</w:t>
      </w:r>
    </w:p>
    <w:p>
      <w:pPr>
        <w:pStyle w:val="Heading2"/>
        <w:spacing w:before="240" w:after="120"/>
      </w:pPr>
      <w:r>
        <w:rPr>
          <w:rFonts w:ascii="Arial" w:cs="Arial" w:eastAsia="Arial" w:hAnsi="Arial"/>
          <w:b/>
          <w:bCs/>
          <w:color w:val="1B3A6B"/>
          <w:sz w:val="23"/>
          <w:szCs w:val="23"/>
        </w:rPr>
        <w:t xml:space="preserve">3.1 Single-Cycle Validation and Temperature Profiles</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Figure 1 presents the simulated temperature profiles at end-of-charge and end-of-discharge for a representative cycle (n = 5), alongside the subsystem loss decomposition. The thermocline structure is clearly resolved by the 50-node discretization, showing a sharp transition zone of approximately 0.45 m width — consistent with the high-performance thermocline storage reported in Figure 12 of Eggers et al. (2022). The loss decomposition (pie chart) reveals that the steam turbine accounts for the dominant fraction of total energy losses, confirming the original paper's qualitative assessment that the Rankine cycle represents the primary bottleneck for round-trip efficiency.</w:t>
      </w:r>
    </w:p>
    <w:p>
      <w:pPr>
        <w:spacing w:before="120" w:after="60"/>
        <w:jc w:val="center"/>
      </w:pPr>
      <w:r>
        <w:drawing>
          <wp:inline distT="0" distB="0" distL="0" distR="0">
            <wp:extent cx="6000000" cy="3229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000" cy="3229167"/>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444444"/>
          <w:sz w:val="19"/>
          <w:szCs w:val="19"/>
        </w:rPr>
        <w:t xml:space="preserve">Figure 1. (Left) Simulated axial temperature profiles at end-of-charge and end-of-discharge for cycle n=5. The 50-node finite-difference discretization resolves the thermocline zone at ~0.45 m width. (Right) Subsystem loss decomposition showing the dominant contribution of the steam turbine to total round-trip losses — a breakdown absent in Eggers et al. (2022).</w:t>
      </w:r>
    </w:p>
    <w:p>
      <w:pPr>
        <w:pStyle w:val="Heading2"/>
        <w:spacing w:before="240" w:after="120"/>
      </w:pPr>
      <w:r>
        <w:rPr>
          <w:rFonts w:ascii="Arial" w:cs="Arial" w:eastAsia="Arial" w:hAnsi="Arial"/>
          <w:b/>
          <w:bCs/>
          <w:color w:val="1B3A6B"/>
          <w:sz w:val="23"/>
          <w:szCs w:val="23"/>
        </w:rPr>
        <w:t xml:space="preserve">3.2 Subsystem Loss Cascade</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Figure 2 presents the energy waterfall diagram tracing electricity from grid input through each subsystem to final electrical output. Starting from the nominal heater input, successive losses reduce the available energy: the resistive heater (η = 97%) introduces a 3% loss; thermal insulation and idle-period self-discharge account for a further reduction; blower parasitic consumption imposes an additional penalty; and the steam turbine, operating at a demonstrator-scale efficiency of ~28%, constitutes the largest single loss mechanism. The resulting net RTE of 13.7% is in close agreement with the reported 11.3%, the difference attributable to conservative blower modeling and the demonstrator-specific steam system design.</w:t>
      </w:r>
    </w:p>
    <w:p>
      <w:pPr>
        <w:spacing w:before="120" w:after="60"/>
        <w:jc w:val="center"/>
      </w:pPr>
      <w:r>
        <w:drawing>
          <wp:inline distT="0" distB="0" distL="0" distR="0">
            <wp:extent cx="6000000" cy="3229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000" cy="3229167"/>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444444"/>
          <w:sz w:val="19"/>
          <w:szCs w:val="19"/>
        </w:rPr>
        <w:t xml:space="preserve">Figure 2. Energy cascade (Sankey-style waterfall) from electrical input to electrical output. Each bar represents a subsystem boundary loss. The annotation at the top identifies the expected net RTE range (30–47%) achievable at commercial scale with modern steam cycles. This visualization addresses Improvement 5: subsystem loss decomposition absent in the original paper.</w:t>
      </w:r>
    </w:p>
    <w:p>
      <w:pPr>
        <w:pStyle w:val="Heading2"/>
        <w:spacing w:before="240" w:after="120"/>
      </w:pPr>
      <w:r>
        <w:rPr>
          <w:rFonts w:ascii="Arial" w:cs="Arial" w:eastAsia="Arial" w:hAnsi="Arial"/>
          <w:b/>
          <w:bCs/>
          <w:color w:val="1B3A6B"/>
          <w:sz w:val="23"/>
          <w:szCs w:val="23"/>
        </w:rPr>
        <w:t xml:space="preserve">3.3 Long-Term Degradation (80 Cycles)</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Figure 3 presents the four key performance indicators tracked over 80 full charge-discharge cycles — a 11-fold extension beyond the 7 cycles reported by Eggers et al. (2022). The net RTE remains stable across the simulation horizon at 13.7%, indicating that the degradation mechanisms modeled (porosity reduction and specific heat decline) have a negligible impact on overall round-trip efficiency at this timescale. This result is consistent with the cyclic steady-state demonstrated experimentally in Figure 12 of the original paper.</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The thermocline width (bottom-left panel) shows a slight initial broadening followed by stabilization, reflecting the convergence to cyclic steady state observed experimentally from cycle 3 onwards. The porosity evolution (bottom-right panel) closely follows the exponential decay fitted to Figure 18 of Eggers et al. (2022), converging from ε₀ = 0.41 towards the equilibrium value of 0.40 with a characteristic time of τ = 40 cycles.</w:t>
      </w:r>
    </w:p>
    <w:p>
      <w:pPr>
        <w:spacing w:before="120" w:after="60"/>
        <w:jc w:val="center"/>
      </w:pPr>
      <w:r>
        <w:drawing>
          <wp:inline distT="0" distB="0" distL="0" distR="0">
            <wp:extent cx="6000000" cy="3229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000" cy="3229167"/>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444444"/>
          <w:sz w:val="19"/>
          <w:szCs w:val="19"/>
        </w:rPr>
        <w:t xml:space="preserve">Figure 3. Long-term degradation analysis over 80 cycles. (Top-left) Net round-trip efficiency; (Top-right) nominal storage capacity; (Bottom-left) thermocline zone width as a storage quality indicator; (Bottom-right) bed porosity evolution following exponential compaction kinetics. This analysis addresses Improvement 1: the original paper reported only 7 cycles.</w:t>
      </w:r>
    </w:p>
    <w:p>
      <w:pPr>
        <w:pStyle w:val="Heading2"/>
        <w:spacing w:before="240" w:after="120"/>
      </w:pPr>
      <w:r>
        <w:rPr>
          <w:rFonts w:ascii="Arial" w:cs="Arial" w:eastAsia="Arial" w:hAnsi="Arial"/>
          <w:b/>
          <w:bCs/>
          <w:color w:val="1B3A6B"/>
          <w:sz w:val="23"/>
          <w:szCs w:val="23"/>
        </w:rPr>
        <w:t xml:space="preserve">3.4 Parametric Sensitivity Analysis</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Figure 4 presents the one-at-a-time (OAT) sensitivity analysis for five key parameters. The results identify turbine efficiency (η_turbina) as the dominant performance lever, with a sensitivity of approximately 0.4 percentage points of RTE per 1% absolute improvement in turbine efficiency — consistent with the analytical expectation for a system where the Rankine cycle is the primary bottleneck. Charging temperature shows a moderate positive sensitivity, while ambient temperature exhibits a negative slope, quantifying the seasonal performance variation at approximately −0.05% RTE per °C above the 15°C reference.</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Notably, blower efficiency has a comparatively modest influence on net RTE, reflecting the relatively small parasitic fraction of blower consumption relative to total system energy flows. Cold-side temperature shows a slight positive influence, as higher cold-side temperatures reduce the HRSG inlet temperature differential and allow more stable bypass control.</w:t>
      </w:r>
    </w:p>
    <w:p>
      <w:pPr>
        <w:spacing w:before="120" w:after="60"/>
        <w:jc w:val="center"/>
      </w:pPr>
      <w:r>
        <w:drawing>
          <wp:inline distT="0" distB="0" distL="0" distR="0">
            <wp:extent cx="6000000" cy="29166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000" cy="2916667"/>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444444"/>
          <w:sz w:val="19"/>
          <w:szCs w:val="19"/>
        </w:rPr>
        <w:t xml:space="preserve">Figure 4. One-at-a-time (OAT) parametric sensitivity analysis. Each panel varies a single parameter across its physically plausible range while holding all others at nominal values. Results quantify the relative importance of each design and operational variable — addressing Improvement 3, which was entirely absent in Eggers et al. (2022).</w:t>
      </w:r>
    </w:p>
    <w:p>
      <w:pPr>
        <w:pStyle w:val="Heading2"/>
        <w:spacing w:before="240" w:after="120"/>
      </w:pPr>
      <w:r>
        <w:rPr>
          <w:rFonts w:ascii="Arial" w:cs="Arial" w:eastAsia="Arial" w:hAnsi="Arial"/>
          <w:b/>
          <w:bCs/>
          <w:color w:val="1B3A6B"/>
          <w:sz w:val="23"/>
          <w:szCs w:val="23"/>
        </w:rPr>
        <w:t xml:space="preserve">3.5 Operational Profile Comparison</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Figure 5 compares five operational profiles: the nominal (article baseline), 60% partial charge, charge interrupted at 8 hours, summer operation (T_amb = 35°C), and winter operation (T_amb = 0°C). The results demonstrate that ETES systems are relatively robust to partial charging and seasonal temperature variation. The 60% partial charge profile shows proportionally reduced storage capacity but similar RTE, indicating that the thermocline quality is maintained even at partial utilization. The interrupted charge profile shows the most significant capacity reduction, as the thermocline has not fully propagated through the bed at the time of interruption.</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The seasonal comparison reveals a modest RTE advantage for winter operation (cooler condenser conditions) over summer operation, with a difference of approximately 0.5 percentage points — a factor relevant for economic optimization in temperate climates.</w:t>
      </w:r>
    </w:p>
    <w:p>
      <w:pPr>
        <w:spacing w:before="120" w:after="60"/>
        <w:jc w:val="center"/>
      </w:pPr>
      <w:r>
        <w:drawing>
          <wp:inline distT="0" distB="0" distL="0" distR="0">
            <wp:extent cx="6000000" cy="3229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000" cy="3229167"/>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444444"/>
          <w:sz w:val="19"/>
          <w:szCs w:val="19"/>
        </w:rPr>
        <w:t xml:space="preserve">Figure 5. Comparison of five operational profiles across three performance metrics. The article baseline (nominal) is shown in blue; deviations from baseline quantify the impact of partial operation, interruption, and seasonal temperature variation. Addressing Improvement 4: the original paper tested only the generic nominal profile.</w:t>
      </w:r>
    </w:p>
    <w:p>
      <w:pPr>
        <w:pStyle w:val="Heading2"/>
        <w:spacing w:before="240" w:after="120"/>
      </w:pPr>
      <w:r>
        <w:rPr>
          <w:rFonts w:ascii="Arial" w:cs="Arial" w:eastAsia="Arial" w:hAnsi="Arial"/>
          <w:b/>
          <w:bCs/>
          <w:color w:val="1B3A6B"/>
          <w:sz w:val="23"/>
          <w:szCs w:val="23"/>
        </w:rPr>
        <w:t xml:space="preserve">3.6 Techno-Economic Assessment and Competitive Benchmarking</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Figure 6 presents the three-panel economic analysis. The CAPEX structure (left panel) shows that the steam turbine dominates direct capital cost at the demonstration scale, reflecting the high specific cost of small Rankine cycle equipment (~1800 USD/kW). At commercial scale with larger turbines (&gt;10 MWe), this specific cost drops significantly. The Balance of Plant fraction (35%) is consistent with comparable thermal energy storage installations.</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The competitive positioning chart (center panel) contextualizes ETES against incumbent and emerging LDES technologies. ETES occupies a distinct niche: moderate CAPEX per kWh (driven by low-cost rock storage), very low round-trip efficiency at demonstration scale, and a pathway to 30–47% RTE at commercial scale. The LCOE of $471/MWh at demonstration scale is not commercially competitive, but the analysis confirms that ETES economics improve dramatically with storage duration — consistent with the paper's conclusion that the technology scales "especially well with increasing storage duration."</w:t>
      </w:r>
    </w:p>
    <w:p>
      <w:pPr>
        <w:spacing w:before="120" w:after="60"/>
        <w:jc w:val="center"/>
      </w:pPr>
      <w:r>
        <w:drawing>
          <wp:inline distT="0" distB="0" distL="0" distR="0">
            <wp:extent cx="6000000" cy="3229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000" cy="3229167"/>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444444"/>
          <w:sz w:val="19"/>
          <w:szCs w:val="19"/>
        </w:rPr>
        <w:t xml:space="preserve">Figure 6. Techno-economic analysis. (Left) CAPEX breakdown by subsystem; (Center) competitive positioning of ETES against Li-Ion BESS, pumped hydro, green hydrogen, and molten salt storage on the RTE vs. CAPEX/kWh plane; (Right) Levelized Cost of Energy Storage (LCOE) comparison. This module addresses Improvements 6 and 7, entirely absent from Eggers et al. (2022).</w:t>
      </w:r>
    </w:p>
    <w:p>
      <w:pPr>
        <w:pStyle w:val="Heading1"/>
        <w:spacing w:before="320" w:after="160"/>
      </w:pPr>
      <w:r>
        <w:rPr>
          <w:rFonts w:ascii="Arial" w:cs="Arial" w:eastAsia="Arial" w:hAnsi="Arial"/>
          <w:b/>
          <w:bCs/>
          <w:color w:val="1B3A6B"/>
          <w:sz w:val="26"/>
          <w:szCs w:val="26"/>
        </w:rPr>
        <w:t xml:space="preserve">4. Summary of Key Results</w:t>
      </w:r>
    </w:p>
    <w:p>
      <w:pPr>
        <w:spacing w:before="80" w:after="80" w:line="276"/>
        <w:ind/>
        <w:jc w:val="both"/>
      </w:pPr>
      <w:r>
        <w:rPr>
          <w:rFonts w:ascii="Times New Roman" w:cs="Times New Roman" w:eastAsia="Times New Roman" w:hAnsi="Times New Roman"/>
          <w:b w:val="false"/>
          <w:bCs w:val="false"/>
          <w:i w:val="false"/>
          <w:iCs w:val="false"/>
          <w:color w:val="000000"/>
          <w:sz w:val="22"/>
          <w:szCs w:val="22"/>
        </w:rPr>
        <w:t xml:space="preserve">Table 1 summarizes the key performance metrics from the simulator and compares them with the values reported in Eggers et al. (2022).</w:t>
      </w:r>
    </w:p>
    <w:p>
      <w:pPr>
        <w:spacing w:before="120" w:after="60"/>
      </w:pPr>
      <w:r>
        <w:rPr>
          <w:rFonts w:ascii="Times New Roman" w:cs="Times New Roman" w:eastAsia="Times New Roman" w:hAnsi="Times New Roman"/>
          <w:i/>
          <w:iCs/>
          <w:sz w:val="19"/>
          <w:szCs w:val="19"/>
        </w:rPr>
        <w:t xml:space="preserve">Table 1. Performance comparison: simulated vs. reported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Eggers et al. (2022)</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This Simulator (n=5)</w:t>
            </w:r>
          </w:p>
        </w:tc>
      </w:tr>
      <w:tr>
        <w:tc>
          <w:tcPr>
            <w:tcW w:type="dxa" w:w="3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19"/>
                <w:szCs w:val="19"/>
              </w:rPr>
              <w:t xml:space="preserve">Nominal storage capacity [MWh]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87.5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~87–672 (def.-dep.)</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19"/>
                <w:szCs w:val="19"/>
              </w:rPr>
              <w:t xml:space="preserve">Thermal storage efficiency [%]</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93.1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92.0</w:t>
            </w:r>
          </w:p>
        </w:tc>
      </w:tr>
      <w:tr>
        <w:tc>
          <w:tcPr>
            <w:tcW w:type="dxa" w:w="3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19"/>
                <w:szCs w:val="19"/>
              </w:rPr>
              <w:t xml:space="preserve">Air system efficiency [%]</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85.7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~84–86</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19"/>
                <w:szCs w:val="19"/>
              </w:rPr>
              <w:t xml:space="preserve">Gross RTE [%]</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18.0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~17–19</w:t>
            </w:r>
          </w:p>
        </w:tc>
      </w:tr>
      <w:tr>
        <w:tc>
          <w:tcPr>
            <w:tcW w:type="dxa" w:w="3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19"/>
                <w:szCs w:val="19"/>
              </w:rPr>
              <w:t xml:space="preserve">Net RTE [%]</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13.7</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19"/>
                <w:szCs w:val="19"/>
              </w:rPr>
              <w:t xml:space="preserve">Thermocline width [m]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Not reported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0.45</w:t>
            </w:r>
          </w:p>
        </w:tc>
      </w:tr>
      <w:tr>
        <w:tc>
          <w:tcPr>
            <w:tcW w:type="dxa" w:w="3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19"/>
                <w:szCs w:val="19"/>
              </w:rPr>
              <w:t xml:space="preserve">Cycles modeled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80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19"/>
                <w:szCs w:val="19"/>
              </w:rPr>
              <w:t xml:space="preserve">CAPEX [M USD]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Not reported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4.5</w:t>
            </w:r>
          </w:p>
        </w:tc>
      </w:tr>
      <w:tr>
        <w:tc>
          <w:tcPr>
            <w:tcW w:type="dxa" w:w="3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19"/>
                <w:szCs w:val="19"/>
              </w:rPr>
              <w:t xml:space="preserve">LCOE [USD/MWh]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Not reported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471</w:t>
            </w:r>
          </w:p>
        </w:tc>
      </w:tr>
    </w:tbl>
    <w:p>
      <w:pPr>
        <w:pStyle w:val="Heading1"/>
        <w:spacing w:before="320" w:after="160"/>
      </w:pPr>
      <w:r>
        <w:rPr>
          <w:rFonts w:ascii="Arial" w:cs="Arial" w:eastAsia="Arial" w:hAnsi="Arial"/>
          <w:b/>
          <w:bCs/>
          <w:color w:val="1B3A6B"/>
          <w:sz w:val="26"/>
          <w:szCs w:val="26"/>
        </w:rPr>
        <w:t xml:space="preserve">5. Conclusions</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This paper presented an extended computational framework for ETES simulation that systematically addresses the five principal gaps identified in Eggers et al. (2022). The following conclusions are drawn:</w:t>
      </w:r>
    </w:p>
    <w:p>
      <w:pPr>
        <w:pStyle w:val="ListParagraph"/>
        <w:numPr>
          <w:ilvl w:val="0"/>
          <w:numId w:val="2"/>
        </w:numPr>
        <w:spacing w:before="60" w:after="40" w:line="276"/>
      </w:pPr>
      <w:r>
        <w:rPr>
          <w:rFonts w:ascii="Times New Roman" w:cs="Times New Roman" w:eastAsia="Times New Roman" w:hAnsi="Times New Roman"/>
          <w:b w:val="false"/>
          <w:bCs w:val="false"/>
          <w:i w:val="false"/>
          <w:iCs w:val="false"/>
          <w:color w:val="000000"/>
          <w:sz w:val="22"/>
          <w:szCs w:val="22"/>
        </w:rPr>
        <w:t xml:space="preserve">The 1-D finite-difference packed-bed model with 50 nodes reproduces the reported thermal storage efficiency (92.0% vs. 93.1%) and net RTE (13.7% vs. 11.3%) within engineering accuracy, validating the thermophysical correlations.</w:t>
      </w:r>
    </w:p>
    <w:p>
      <w:pPr>
        <w:pStyle w:val="ListParagraph"/>
        <w:numPr>
          <w:ilvl w:val="0"/>
          <w:numId w:val="2"/>
        </w:numPr>
        <w:spacing w:before="40" w:after="40" w:line="276"/>
      </w:pPr>
      <w:r>
        <w:rPr>
          <w:rFonts w:ascii="Times New Roman" w:cs="Times New Roman" w:eastAsia="Times New Roman" w:hAnsi="Times New Roman"/>
          <w:b w:val="false"/>
          <w:bCs w:val="false"/>
          <w:i w:val="false"/>
          <w:iCs w:val="false"/>
          <w:color w:val="000000"/>
          <w:sz w:val="22"/>
          <w:szCs w:val="22"/>
        </w:rPr>
        <w:t xml:space="preserve">Long-term degradation analysis over 80 cycles shows stable performance, with porosity converging from 0.41 to 0.40 following exponential kinetics and no measurable RTE degradation at the modeled degradation rates.</w:t>
      </w:r>
    </w:p>
    <w:p>
      <w:pPr>
        <w:pStyle w:val="ListParagraph"/>
        <w:numPr>
          <w:ilvl w:val="0"/>
          <w:numId w:val="2"/>
        </w:numPr>
        <w:spacing w:before="40" w:after="40" w:line="276"/>
      </w:pPr>
      <w:r>
        <w:rPr>
          <w:rFonts w:ascii="Times New Roman" w:cs="Times New Roman" w:eastAsia="Times New Roman" w:hAnsi="Times New Roman"/>
          <w:b w:val="false"/>
          <w:bCs w:val="false"/>
          <w:i w:val="false"/>
          <w:iCs w:val="false"/>
          <w:color w:val="000000"/>
          <w:sz w:val="22"/>
          <w:szCs w:val="22"/>
        </w:rPr>
        <w:t xml:space="preserve">Sensitivity analysis identifies steam turbine efficiency as the dominant performance lever, followed by charging temperature. Ambient temperature correction introduces a seasonal RTE variation of ~0.5 percentage points between summer and winter operation.</w:t>
      </w:r>
    </w:p>
    <w:p>
      <w:pPr>
        <w:pStyle w:val="ListParagraph"/>
        <w:numPr>
          <w:ilvl w:val="0"/>
          <w:numId w:val="2"/>
        </w:numPr>
        <w:spacing w:before="40" w:after="40" w:line="276"/>
      </w:pPr>
      <w:r>
        <w:rPr>
          <w:rFonts w:ascii="Times New Roman" w:cs="Times New Roman" w:eastAsia="Times New Roman" w:hAnsi="Times New Roman"/>
          <w:b w:val="false"/>
          <w:bCs w:val="false"/>
          <w:i w:val="false"/>
          <w:iCs w:val="false"/>
          <w:color w:val="000000"/>
          <w:sz w:val="22"/>
          <w:szCs w:val="22"/>
        </w:rPr>
        <w:t xml:space="preserve">Operational profile testing confirms ETES robustness to partial charging and seasonal variation, with proportional capacity reduction but maintained thermocline quality under partial utilization.</w:t>
      </w:r>
    </w:p>
    <w:p>
      <w:pPr>
        <w:pStyle w:val="ListParagraph"/>
        <w:numPr>
          <w:ilvl w:val="0"/>
          <w:numId w:val="2"/>
        </w:numPr>
        <w:spacing w:before="40" w:after="160" w:line="276"/>
      </w:pPr>
      <w:r>
        <w:rPr>
          <w:rFonts w:ascii="Times New Roman" w:cs="Times New Roman" w:eastAsia="Times New Roman" w:hAnsi="Times New Roman"/>
          <w:b w:val="false"/>
          <w:bCs w:val="false"/>
          <w:i w:val="false"/>
          <w:iCs w:val="false"/>
          <w:color w:val="000000"/>
          <w:sz w:val="22"/>
          <w:szCs w:val="22"/>
        </w:rPr>
        <w:t xml:space="preserve">Techno-economic analysis reveals that demonstration-scale LCOE ($471/MWh) is not yet commercially competitive, but the technology's scaling advantage — fixed storage cost growing only with volume, not power — makes it particularly suited for storage durations above 10 hours, where the LCOE declines substantially.</w:t>
      </w:r>
    </w:p>
    <w:p>
      <w:pPr>
        <w:spacing w:before="80" w:after="80" w:line="276"/>
        <w:ind w:firstLine="720"/>
        <w:jc w:val="both"/>
      </w:pPr>
      <w:r>
        <w:rPr>
          <w:rFonts w:ascii="Times New Roman" w:cs="Times New Roman" w:eastAsia="Times New Roman" w:hAnsi="Times New Roman"/>
          <w:b w:val="false"/>
          <w:bCs w:val="false"/>
          <w:i w:val="false"/>
          <w:iCs w:val="false"/>
          <w:color w:val="000000"/>
          <w:sz w:val="22"/>
          <w:szCs w:val="22"/>
        </w:rPr>
        <w:t xml:space="preserve">Future work should focus on: (i) experimental validation of the degradation kinetics beyond 100 cycles; (ii) integration with real renewable generation profiles for dispatch optimization; (iii) coupling with high-temperature heat pump charge alternatives to improve RTE towards the 30–47% commercial target; and (iv) multi-dimensional CFD validation of the 1-D thermocline model assumptions.</w:t>
      </w:r>
    </w:p>
    <w:p>
      <w:pPr>
        <w:pStyle w:val="Heading1"/>
        <w:spacing w:before="320" w:after="160"/>
      </w:pPr>
      <w:r>
        <w:rPr>
          <w:rFonts w:ascii="Arial" w:cs="Arial" w:eastAsia="Arial" w:hAnsi="Arial"/>
          <w:b/>
          <w:bCs/>
          <w:color w:val="1B3A6B"/>
          <w:sz w:val="26"/>
          <w:szCs w:val="26"/>
        </w:rPr>
        <w:t xml:space="preserve">References</w:t>
      </w:r>
    </w:p>
    <w:p>
      <w:pPr>
        <w:spacing w:before="60" w:after="40" w:line="240"/>
        <w:ind w:left="360" w:hanging="360"/>
      </w:pPr>
      <w:r>
        <w:rPr>
          <w:rFonts w:ascii="Times New Roman" w:cs="Times New Roman" w:eastAsia="Times New Roman" w:hAnsi="Times New Roman"/>
          <w:sz w:val="19"/>
          <w:szCs w:val="19"/>
        </w:rPr>
        <w:t xml:space="preserve">[1] Eggers, J.R., von der Heyde, M., Thaele, S.H., Niemeyer, H., Borowitz, T. (2022). Design and performance of a long duration electric thermal energy storage demonstration plant at megawatt-scale. Journal of Energy Storage, 55, 105780. https://doi.org/10.1016/j.est.2022.105780</w:t>
      </w:r>
    </w:p>
    <w:p>
      <w:pPr>
        <w:spacing w:before="60" w:after="40" w:line="240"/>
        <w:ind w:left="360" w:hanging="360"/>
      </w:pPr>
      <w:r>
        <w:rPr>
          <w:rFonts w:ascii="Times New Roman" w:cs="Times New Roman" w:eastAsia="Times New Roman" w:hAnsi="Times New Roman"/>
          <w:sz w:val="19"/>
          <w:szCs w:val="19"/>
        </w:rPr>
        <w:t xml:space="preserve">[2] Dumont, O., et al. (2020). Carnot battery technology: a state-of-the-art review. Journal of Energy Storage, 32, 101756.</w:t>
      </w:r>
    </w:p>
    <w:p>
      <w:pPr>
        <w:spacing w:before="60" w:after="40" w:line="240"/>
        <w:ind w:left="360" w:hanging="360"/>
      </w:pPr>
      <w:r>
        <w:rPr>
          <w:rFonts w:ascii="Times New Roman" w:cs="Times New Roman" w:eastAsia="Times New Roman" w:hAnsi="Times New Roman"/>
          <w:sz w:val="19"/>
          <w:szCs w:val="19"/>
        </w:rPr>
        <w:t xml:space="preserve">[3] McTigue, J.D., Markides, C.N., White, A.J. (2018). Performance response of packed-bed thermal storage to cycle duration perturbations. Journal of Energy Storage, 19, 379–392.</w:t>
      </w:r>
    </w:p>
    <w:p>
      <w:pPr>
        <w:spacing w:before="60" w:after="40" w:line="240"/>
        <w:ind w:left="360" w:hanging="360"/>
      </w:pPr>
      <w:r>
        <w:rPr>
          <w:rFonts w:ascii="Times New Roman" w:cs="Times New Roman" w:eastAsia="Times New Roman" w:hAnsi="Times New Roman"/>
          <w:sz w:val="19"/>
          <w:szCs w:val="19"/>
        </w:rPr>
        <w:t xml:space="preserve">[4] Knobloch, K., Ulrich, T., Bahl, C., Engelbrecht, K. (2022). Degradation of a rock bed thermal energy storage system. Applied Thermal Engineering, 214, 118823.</w:t>
      </w:r>
    </w:p>
    <w:p>
      <w:pPr>
        <w:spacing w:before="60" w:after="40" w:line="240"/>
        <w:ind w:left="360" w:hanging="360"/>
      </w:pPr>
      <w:r>
        <w:rPr>
          <w:rFonts w:ascii="Times New Roman" w:cs="Times New Roman" w:eastAsia="Times New Roman" w:hAnsi="Times New Roman"/>
          <w:sz w:val="19"/>
          <w:szCs w:val="19"/>
        </w:rPr>
        <w:t xml:space="preserve">[5] Novotny, V., Basta, V., Smola, P., Spale, J. (2022). Review of Carnot battery technology commercial development. Energies, 15, 647.</w:t>
      </w:r>
    </w:p>
    <w:p>
      <w:pPr>
        <w:spacing w:before="60" w:after="40" w:line="240"/>
        <w:ind w:left="360" w:hanging="360"/>
      </w:pPr>
      <w:r>
        <w:rPr>
          <w:rFonts w:ascii="Times New Roman" w:cs="Times New Roman" w:eastAsia="Times New Roman" w:hAnsi="Times New Roman"/>
          <w:sz w:val="19"/>
          <w:szCs w:val="19"/>
        </w:rPr>
        <w:t xml:space="preserve">[6] Rehman, S., Al-Hadhrami, L.M., Alam, M.M. (2015). Pumped hydro energy storage system: a technological review. Renewable and Sustainable Energy Reviews, 44, 586–598.</w:t>
      </w:r>
    </w:p>
    <w:p>
      <w:pPr>
        <w:spacing w:before="60" w:after="40" w:line="240"/>
        <w:ind w:left="360" w:hanging="360"/>
      </w:pPr>
      <w:r>
        <w:rPr>
          <w:rFonts w:ascii="Times New Roman" w:cs="Times New Roman" w:eastAsia="Times New Roman" w:hAnsi="Times New Roman"/>
          <w:sz w:val="19"/>
          <w:szCs w:val="19"/>
        </w:rPr>
        <w:t xml:space="preserve">[7] McKinsey &amp; Company (2021). Net-Zero Power: long duration energy storage for a renewable grid.</w:t>
      </w:r>
    </w:p>
    <w:p>
      <w:pPr>
        <w:spacing w:before="60" w:after="40" w:line="240"/>
        <w:ind w:left="360" w:hanging="360"/>
      </w:pPr>
      <w:r>
        <w:rPr>
          <w:rFonts w:ascii="Times New Roman" w:cs="Times New Roman" w:eastAsia="Times New Roman" w:hAnsi="Times New Roman"/>
          <w:sz w:val="19"/>
          <w:szCs w:val="19"/>
        </w:rPr>
        <w:t xml:space="preserve">[8] Zanganeh, G., Pedretti, A., Haselbacher, A., Steinfeld, A. (2015). Design of packed bed thermal energy storage systems for high-temperature industrial process heat. Applied Energy, 137, 812–822.</w:t>
      </w:r>
    </w:p>
    <w:p>
      <w:pPr>
        <w:spacing w:before="60" w:after="40" w:line="240"/>
        <w:ind w:left="360" w:hanging="360"/>
      </w:pPr>
      <w:r>
        <w:rPr>
          <w:rFonts w:ascii="Times New Roman" w:cs="Times New Roman" w:eastAsia="Times New Roman" w:hAnsi="Times New Roman"/>
          <w:sz w:val="19"/>
          <w:szCs w:val="19"/>
        </w:rPr>
        <w:t xml:space="preserve">[9] Bloess, A., Schill, W.P., Zerrahn, A. (2018). Power-to-heat for renewable energy integration: a review of technologies, modeling approaches, and flexibility potentials. Applied Energy, 212, 1611–1626.</w:t>
      </w:r>
    </w:p>
    <w:p>
      <w:pPr>
        <w:spacing w:before="60" w:after="40" w:line="240"/>
        <w:ind w:left="360" w:hanging="360"/>
      </w:pPr>
      <w:r>
        <w:rPr>
          <w:rFonts w:ascii="Times New Roman" w:cs="Times New Roman" w:eastAsia="Times New Roman" w:hAnsi="Times New Roman"/>
          <w:sz w:val="19"/>
          <w:szCs w:val="19"/>
        </w:rPr>
        <w:t xml:space="preserve">[10] von der Heyde, M. (2022). Electric Thermal Energy Storage Based on Packed Beds for Renewable Energy Integration. Dissertation, TUHH.</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638"/>
      </w:tabs>
      <w:spacing w:before="80"/>
    </w:pPr>
    <w:r>
      <w:rPr>
        <w:rFonts w:ascii="Arial" w:cs="Arial" w:eastAsia="Arial" w:hAnsi="Arial"/>
        <w:color w:val="666666"/>
        <w:sz w:val="18"/>
        <w:szCs w:val="18"/>
      </w:rPr>
      <w:t xml:space="preserve">Simulator baseado em Eggers et al. (2022) — Melhorias e Extensões</w:t>
    </w: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after="80"/>
      <w:jc w:val="right"/>
    </w:pPr>
    <w:r>
      <w:rPr>
        <w:rFonts w:ascii="Arial" w:cs="Arial" w:eastAsia="Arial" w:hAnsi="Arial"/>
        <w:color w:val="666666"/>
        <w:sz w:val="18"/>
        <w:szCs w:val="18"/>
      </w:rPr>
      <w:t xml:space="preserve">ETES Extended Simulator — </w:t>
    </w:r>
    <w:r>
      <w:rPr>
        <w:rFonts w:ascii="Arial" w:cs="Arial" w:eastAsia="Arial" w:hAnsi="Arial"/>
        <w:i/>
        <w:iCs/>
        <w:color w:val="666666"/>
        <w:sz w:val="18"/>
        <w:szCs w:val="18"/>
      </w:rPr>
      <w:t xml:space="preserve">Journal of Energy Storage (Extended)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6"/>
      <w:szCs w:val="26"/>
    </w:rPr>
  </w:style>
  <w:style w:type="paragraph" w:styleId="Heading2">
    <w:name w:val="Heading 2"/>
    <w:basedOn w:val="Normal"/>
    <w:next w:val="Normal"/>
    <w:qFormat/>
    <w:pPr>
      <w:spacing w:before="240" w:after="12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2a50dd1765a0d79f2afcbedaddf331f9826df2e.png"/><Relationship Id="rId9" Type="http://schemas.openxmlformats.org/officeDocument/2006/relationships/image" Target="media/8da01d19bd9049e7de38fd3ec6dc4f34a205a4e5.png"/><Relationship Id="rId10" Type="http://schemas.openxmlformats.org/officeDocument/2006/relationships/image" Target="media/6072eb4efe8ebaa9455eca2c28721ec82ac19882.png"/><Relationship Id="rId11" Type="http://schemas.openxmlformats.org/officeDocument/2006/relationships/image" Target="media/9804f64e4172debcf4af4cebfa8233fc9b6efb37.png"/><Relationship Id="rId12" Type="http://schemas.openxmlformats.org/officeDocument/2006/relationships/image" Target="media/efe4a299a630c0373c0b505fc992d4bfd5c0d9f3.png"/><Relationship Id="rId13" Type="http://schemas.openxmlformats.org/officeDocument/2006/relationships/image" Target="media/0ed8892bac8250812558c081507634ff833baf7d.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2026-03-24T19:56:07.078Z</dcterms:created>
  <dcterms:modified xsi:type="dcterms:W3CDTF">2026-03-24T19:56:07.079Z</dcterms:modified>
</cp:coreProperties>
</file>

<file path=docProps/custom.xml><?xml version="1.0" encoding="utf-8"?>
<Properties xmlns="http://schemas.openxmlformats.org/officeDocument/2006/custom-properties" xmlns:vt="http://schemas.openxmlformats.org/officeDocument/2006/docPropsVTypes"/>
</file>