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89" w:firstLine="0"/>
        <w:jc w:val="center"/>
        <w:rPr>
          <w:rFonts w:ascii="Calibri" w:cs="Calibri" w:eastAsia="Calibri" w:hAnsi="Calibri"/>
          <w:b w:val="1"/>
          <w:color w:val="1f497d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44"/>
          <w:szCs w:val="44"/>
          <w:rtl w:val="0"/>
        </w:rPr>
        <w:t xml:space="preserve">Penetration Testing Report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89" w:firstLine="0"/>
        <w:jc w:val="center"/>
        <w:rPr>
          <w:rFonts w:ascii="Calibri" w:cs="Calibri" w:eastAsia="Calibri" w:hAnsi="Calibri"/>
          <w:b w:val="1"/>
          <w:color w:val="1f497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1f497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0"/>
          <w:szCs w:val="30"/>
          <w:rtl w:val="0"/>
        </w:rPr>
        <w:t xml:space="preserve">Full Name:</w:t>
        <w:br w:type="textWrapping"/>
        <w:t xml:space="preserve">Program: HCPT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1f497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0"/>
          <w:szCs w:val="30"/>
          <w:rtl w:val="0"/>
        </w:rPr>
        <w:t xml:space="preserve">Date: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This report document hereby describes the proceedings and results of a Black Box security assessment conducted against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Week {#} Labs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The report hereby lists the findings and corresponding best practice mitigation actions and recommendations.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1. Objective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objective of the assessment was to uncover vulnerabilities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Week {#} Labs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and provide a final security assessment report comprising vulnerabilities, remediation strategy and recommendation guidelines to help mitigate the identified vulnerabilities and risks during the activity.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2. Scope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This section defines the scope and boundaries of the project.</w:t>
      </w:r>
    </w:p>
    <w:tbl>
      <w:tblPr>
        <w:tblStyle w:val="Table1"/>
        <w:tblW w:w="8915.0" w:type="dxa"/>
        <w:jc w:val="left"/>
        <w:tblInd w:w="-115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000"/>
      </w:tblPr>
      <w:tblGrid>
        <w:gridCol w:w="1751"/>
        <w:gridCol w:w="7164"/>
        <w:tblGridChange w:id="0">
          <w:tblGrid>
            <w:gridCol w:w="1751"/>
            <w:gridCol w:w="7164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tcBorders>
              <w:top w:color="95b3d7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60" w:lineRule="auto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Application Name</w:t>
            </w:r>
          </w:p>
        </w:tc>
        <w:tc>
          <w:tcPr>
            <w:tcBorders>
              <w:top w:color="95b3d7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{Lab 1 Name}, {Lab 2 Name (if the week has 2 labs)}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be5f1" w:val="clear"/>
        <w:ind w:hanging="142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3. Summary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Outlined is a Black Box Application Security assessment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Week {#} Labs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4" w:firstLine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2" w:firstLine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ub-labs: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{count} Sub-labs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142" w:hanging="142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7.0" w:type="dxa"/>
        <w:jc w:val="left"/>
        <w:tblInd w:w="-108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1"/>
        <w:gridCol w:w="3083"/>
        <w:gridCol w:w="3083"/>
        <w:tblGridChange w:id="0">
          <w:tblGrid>
            <w:gridCol w:w="3081"/>
            <w:gridCol w:w="3083"/>
            <w:gridCol w:w="3083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79646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20"/>
                <w:szCs w:val="20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{count}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{count}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{count}</w:t>
            </w:r>
          </w:p>
        </w:tc>
      </w:tr>
    </w:tbl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-</w:t>
        <w:tab/>
        <w:t xml:space="preserve">Number of Sub-labs with hard difficulty level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0"/>
          <w:szCs w:val="20"/>
          <w:rtl w:val="0"/>
        </w:rPr>
        <w:t xml:space="preserve">Medium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</w:t>
        <w:tab/>
        <w:t xml:space="preserve">Number of Sub-labs with Medium difficulty level</w:t>
      </w:r>
    </w:p>
    <w:p w:rsidR="00000000" w:rsidDel="00000000" w:rsidP="00000000" w:rsidRDefault="00000000" w:rsidRPr="00000000" w14:paraId="00000024">
      <w:pPr>
        <w:spacing w:after="200" w:line="276" w:lineRule="auto"/>
        <w:rPr>
          <w:color w:val="1f497d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-</w:t>
        <w:tab/>
        <w:t xml:space="preserve">Number of Sub-labs with Easy difficulty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lineRule="auto"/>
        <w:ind w:left="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1. {Lab 1 Name}</w:t>
      </w:r>
    </w:p>
    <w:p w:rsidR="00000000" w:rsidDel="00000000" w:rsidP="00000000" w:rsidRDefault="00000000" w:rsidRPr="00000000" w14:paraId="00000026">
      <w:pPr>
        <w:pStyle w:val="Heading1"/>
        <w:spacing w:after="0" w:lineRule="auto"/>
        <w:ind w:left="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1.1. {Sub-lab-1 Name}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9.0" w:type="dxa"/>
        <w:jc w:val="left"/>
        <w:tblInd w:w="-1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{Sub-lab-1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3znysh7" w:id="3"/>
      <w:bookmarkEnd w:id="3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jc w:val="both"/>
        <w:rPr>
          <w:color w:val="1f497d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2et92p0" w:id="4"/>
      <w:bookmarkEnd w:id="4"/>
      <w:r w:rsidDel="00000000" w:rsidR="00000000" w:rsidRPr="00000000">
        <w:rPr>
          <w:color w:val="1f497d"/>
          <w:rtl w:val="0"/>
        </w:rPr>
        <w:t xml:space="preserve">1.2. {Sub-lab-2 Name}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39.0" w:type="dxa"/>
        <w:jc w:val="left"/>
        <w:tblInd w:w="-1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{Sub-lab-2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tyjcwt" w:id="5"/>
      <w:bookmarkEnd w:id="5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Rule="auto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0" w:lineRule="auto"/>
        <w:ind w:left="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2. {Lab 2 Name (if the week has 2 labs)}</w:t>
      </w:r>
    </w:p>
    <w:p w:rsidR="00000000" w:rsidDel="00000000" w:rsidP="00000000" w:rsidRDefault="00000000" w:rsidRPr="00000000" w14:paraId="00000074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1t3h5sf" w:id="7"/>
      <w:bookmarkEnd w:id="7"/>
      <w:r w:rsidDel="00000000" w:rsidR="00000000" w:rsidRPr="00000000">
        <w:rPr>
          <w:color w:val="1f497d"/>
          <w:rtl w:val="0"/>
        </w:rPr>
        <w:t xml:space="preserve">2.1. {Sub-lab-1 Name}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39.0" w:type="dxa"/>
        <w:jc w:val="left"/>
        <w:tblInd w:w="-1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{Sub-lab-1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2s8eyo1" w:id="9"/>
      <w:bookmarkEnd w:id="9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</w:p>
    <w:p w:rsidR="00000000" w:rsidDel="00000000" w:rsidP="00000000" w:rsidRDefault="00000000" w:rsidRPr="00000000" w14:paraId="0000009A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3rdcrjn" w:id="11"/>
      <w:bookmarkEnd w:id="11"/>
      <w:r w:rsidDel="00000000" w:rsidR="00000000" w:rsidRPr="00000000">
        <w:rPr>
          <w:color w:val="1f497d"/>
          <w:rtl w:val="0"/>
        </w:rPr>
        <w:t xml:space="preserve">2.2. {Sub-lab-2 Name}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39.0" w:type="dxa"/>
        <w:jc w:val="left"/>
        <w:tblInd w:w="-1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4719"/>
        <w:gridCol w:w="4720"/>
        <w:tblGridChange w:id="0">
          <w:tblGrid>
            <w:gridCol w:w="4719"/>
            <w:gridCol w:w="4720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{Sub-lab-2 Name}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 / Medium /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Tools that you have used to find the vulnerability.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Vulnerability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About the vulnerability and its working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How It Was Discovered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Automated Tools / Manual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Vulnerable URLs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URLs of the vulnerable pages in the lab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Consequences of not Fixing the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will be the consequences if the vulnerability is not patched?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Suggested 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some Suggestions to stand against this vulnerability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 w:val="clea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URLs to the sources used to know more about this vulnerability</w:t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after="0" w:lineRule="auto"/>
        <w:ind w:left="0" w:firstLine="0"/>
        <w:rPr>
          <w:color w:val="1f497d"/>
        </w:rPr>
      </w:pPr>
      <w:bookmarkStart w:colFirst="0" w:colLast="0" w:name="_heading=h.lnxbz9" w:id="13"/>
      <w:bookmarkEnd w:id="13"/>
      <w:r w:rsidDel="00000000" w:rsidR="00000000" w:rsidRPr="00000000">
        <w:rPr>
          <w:color w:val="1f497d"/>
          <w:rtl w:val="0"/>
        </w:rPr>
        <w:t xml:space="preserve">Proof of Concept</w:t>
      </w:r>
    </w:p>
    <w:p w:rsidR="00000000" w:rsidDel="00000000" w:rsidP="00000000" w:rsidRDefault="00000000" w:rsidRPr="00000000" w14:paraId="000000C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jc w:val="both"/>
        <w:rPr>
          <w:rFonts w:ascii="Calibri" w:cs="Calibri" w:eastAsia="Calibri" w:hAnsi="Calibri"/>
          <w:b w:val="1"/>
          <w:color w:val="1f497d"/>
          <w:sz w:val="32"/>
          <w:szCs w:val="32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This section contains the proof of the above vulnerabilities as the screenshot of the vulnerability of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NOTES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Everything mentioned inside {} has to be changed based on your week, labs and sub-labs.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you have 2 labs in same week you need to mention that, if not ignore those mentions for lab 2.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Here it is given with 2 Sub-labs vulnerability, you need to add all the sub-labs based on your labs.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Don’t forget to add the screenshot of the vulnerability in the proof of concept.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only 1 screenshot in the Proof of Concept section.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This NOTE session is only for your reference, don’t forget to delete this in the report you submit.</w:t>
      </w:r>
    </w:p>
    <w:sectPr>
      <w:headerReference r:id="rId7" w:type="default"/>
      <w:pgSz w:h="16838" w:w="11906" w:orient="portrait"/>
      <w:pgMar w:bottom="1440" w:top="1440" w:left="1440" w:right="1440" w:header="648" w:footer="7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92" w:hanging="432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24" w:hanging="504.00000000000006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240"/>
      <w:ind w:left="360" w:hanging="360"/>
      <w:outlineLvl w:val="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792" w:hanging="432"/>
      <w:outlineLvl w:val="1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1224" w:hanging="504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rPr>
      <w:color w:val="31849b"/>
    </w:r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/++uJXS75egSlD2gxHAAWIOHJQ==">CgMxLjAyCGguZ2pkZ3hzMgloLjMwajB6bGwyCWguMWZvYjl0ZTIJaC4zem55c2g3MgloLjJldDkycDAyCGgudHlqY3d0MgloLjNkeTZ2a20yCWguMXQzaDVzZjIJaC40ZDM0b2c4MgloLjJzOGV5bzEyCWguMTdkcDh2dTIJaC4zcmRjcmpuMgloLjI2aW4xcmcyCGgubG54Yno5MgloLjM1bmt1bjI4AHIhMWhWMlRoTGVKeDRhTzV4eXgtYzNMTldzdHp1SFRvMno1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2023-12-22T07:52:00Z</dcterms:created>
</cp:coreProperties>
</file>