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6AC09" w14:textId="49A26155" w:rsidR="00710956" w:rsidRDefault="00044CE2" w:rsidP="00AB3791">
      <w:pPr>
        <w:pStyle w:val="Ttulo1"/>
        <w:ind w:left="-567"/>
        <w:rPr>
          <w:rFonts w:ascii="Times New Roman" w:hAnsi="Times New Roman"/>
          <w:sz w:val="44"/>
          <w:szCs w:val="44"/>
          <w:u w:val="thick" w:color="ED7D31" w:themeColor="accent2"/>
        </w:rPr>
      </w:pPr>
      <w:r w:rsidRPr="00AB3791">
        <w:rPr>
          <w:rStyle w:val="Estilo1Car"/>
          <w:rFonts w:ascii="Times New Roman" w:hAnsi="Times New Roman"/>
          <w:sz w:val="44"/>
          <w:szCs w:val="44"/>
          <w:u w:val="thick" w:color="4472C4" w:themeColor="accent1"/>
        </w:rPr>
        <w:t>Reproducción cultural de la desigualdad política</w:t>
      </w:r>
      <w:r w:rsidR="00710956" w:rsidRPr="00AB3791">
        <w:rPr>
          <w:rFonts w:ascii="Times New Roman" w:hAnsi="Times New Roman"/>
          <w:sz w:val="44"/>
          <w:szCs w:val="44"/>
          <w:u w:val="thick" w:color="4472C4" w:themeColor="accent1"/>
        </w:rPr>
        <w:t>:</w:t>
      </w:r>
      <w:r w:rsidR="00710956" w:rsidRPr="00AB3791">
        <w:rPr>
          <w:rFonts w:ascii="Times New Roman" w:hAnsi="Times New Roman"/>
          <w:sz w:val="44"/>
          <w:szCs w:val="44"/>
          <w:u w:val="thick" w:color="ED7D31" w:themeColor="accent2"/>
        </w:rPr>
        <w:br/>
      </w:r>
      <w:r w:rsidRPr="00AB3791">
        <w:rPr>
          <w:rFonts w:ascii="Times New Roman" w:hAnsi="Times New Roman"/>
          <w:sz w:val="44"/>
          <w:szCs w:val="44"/>
        </w:rPr>
        <w:t>¿</w:t>
      </w:r>
      <w:r w:rsidRPr="00AB3791">
        <w:rPr>
          <w:rFonts w:ascii="Times New Roman" w:hAnsi="Times New Roman"/>
          <w:sz w:val="44"/>
          <w:szCs w:val="44"/>
          <w:u w:val="thick" w:color="ED7D31" w:themeColor="accent2"/>
        </w:rPr>
        <w:t>Un asunto de habilidades o de intereses?</w:t>
      </w:r>
      <w:r w:rsidR="00710956" w:rsidRPr="00AB3791">
        <w:rPr>
          <w:rFonts w:ascii="Times New Roman" w:hAnsi="Times New Roman"/>
          <w:sz w:val="44"/>
          <w:szCs w:val="44"/>
          <w:u w:val="thick" w:color="ED7D31" w:themeColor="accent2"/>
        </w:rPr>
        <w:t xml:space="preserve">              </w:t>
      </w:r>
    </w:p>
    <w:p w14:paraId="757CE40D" w14:textId="77777777" w:rsidR="00AB3791" w:rsidRPr="00AB3791" w:rsidRDefault="00AB3791" w:rsidP="00AB3791">
      <w:pPr>
        <w:rPr>
          <w:lang w:eastAsia="es-CL"/>
        </w:rPr>
      </w:pPr>
    </w:p>
    <w:p w14:paraId="70619403" w14:textId="618069E6"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Esta propuesta de investigación tiene como objetivo fundamental, comprender como opera el efecto del “capital cultural” de los padres sobre el “conocimiento cívico” y la “</w:t>
      </w:r>
      <w:r w:rsidR="00A2728F" w:rsidRPr="00AB3791">
        <w:rPr>
          <w:rFonts w:ascii="Times New Roman" w:hAnsi="Times New Roman" w:cs="Times New Roman"/>
          <w:sz w:val="24"/>
          <w:szCs w:val="24"/>
          <w:lang w:val="es-419"/>
        </w:rPr>
        <w:t xml:space="preserve">intención de </w:t>
      </w:r>
      <w:r w:rsidRPr="00AB3791">
        <w:rPr>
          <w:rFonts w:ascii="Times New Roman" w:hAnsi="Times New Roman" w:cs="Times New Roman"/>
          <w:sz w:val="24"/>
          <w:szCs w:val="24"/>
          <w:lang w:val="es-419"/>
        </w:rPr>
        <w:t>participación política</w:t>
      </w:r>
      <w:r w:rsidR="00A2728F" w:rsidRPr="00AB3791">
        <w:rPr>
          <w:rFonts w:ascii="Times New Roman" w:hAnsi="Times New Roman" w:cs="Times New Roman"/>
          <w:sz w:val="24"/>
          <w:szCs w:val="24"/>
          <w:lang w:val="es-419"/>
        </w:rPr>
        <w:t xml:space="preserve">” </w:t>
      </w:r>
      <w:r w:rsidRPr="00AB3791">
        <w:rPr>
          <w:rFonts w:ascii="Times New Roman" w:hAnsi="Times New Roman" w:cs="Times New Roman"/>
          <w:sz w:val="24"/>
          <w:szCs w:val="24"/>
          <w:lang w:val="es-419"/>
        </w:rPr>
        <w:t xml:space="preserve">de los jóvenes, proponiendo para ello evaluar el efecto de </w:t>
      </w:r>
      <w:r w:rsidR="007065AA" w:rsidRPr="00AB3791">
        <w:rPr>
          <w:rFonts w:ascii="Times New Roman" w:hAnsi="Times New Roman" w:cs="Times New Roman"/>
          <w:sz w:val="24"/>
          <w:szCs w:val="24"/>
          <w:lang w:val="es-419"/>
        </w:rPr>
        <w:t>mediación</w:t>
      </w:r>
      <w:r w:rsidRPr="00AB3791">
        <w:rPr>
          <w:rFonts w:ascii="Times New Roman" w:hAnsi="Times New Roman" w:cs="Times New Roman"/>
          <w:sz w:val="24"/>
          <w:szCs w:val="24"/>
          <w:lang w:val="es-419"/>
        </w:rPr>
        <w:t xml:space="preserve"> que podrían producir las variables “comprensión lectora” e “</w:t>
      </w:r>
      <w:r w:rsidR="007065AA" w:rsidRPr="00AB3791">
        <w:rPr>
          <w:rFonts w:ascii="Times New Roman" w:hAnsi="Times New Roman" w:cs="Times New Roman"/>
          <w:sz w:val="24"/>
          <w:szCs w:val="24"/>
          <w:lang w:val="es-419"/>
        </w:rPr>
        <w:t>interés</w:t>
      </w:r>
      <w:r w:rsidRPr="00AB3791">
        <w:rPr>
          <w:rFonts w:ascii="Times New Roman" w:hAnsi="Times New Roman" w:cs="Times New Roman"/>
          <w:sz w:val="24"/>
          <w:szCs w:val="24"/>
          <w:lang w:val="es-419"/>
        </w:rPr>
        <w:t xml:space="preserve"> en la </w:t>
      </w:r>
      <w:r w:rsidR="007065AA" w:rsidRPr="00AB3791">
        <w:rPr>
          <w:rFonts w:ascii="Times New Roman" w:hAnsi="Times New Roman" w:cs="Times New Roman"/>
          <w:sz w:val="24"/>
          <w:szCs w:val="24"/>
          <w:lang w:val="es-419"/>
        </w:rPr>
        <w:t>política</w:t>
      </w:r>
      <w:r w:rsidRPr="00AB3791">
        <w:rPr>
          <w:rFonts w:ascii="Times New Roman" w:hAnsi="Times New Roman" w:cs="Times New Roman"/>
          <w:sz w:val="24"/>
          <w:szCs w:val="24"/>
          <w:lang w:val="es-419"/>
        </w:rPr>
        <w:t>”. Esto con la intención de evaluar en qué medida cada una de estas variables (y su interacción) puede explicar la relación entre capital cultural,</w:t>
      </w:r>
      <w:r w:rsidR="00A2728F" w:rsidRPr="00AB3791">
        <w:rPr>
          <w:rFonts w:ascii="Times New Roman" w:hAnsi="Times New Roman" w:cs="Times New Roman"/>
          <w:sz w:val="24"/>
          <w:szCs w:val="24"/>
          <w:lang w:val="es-419"/>
        </w:rPr>
        <w:t xml:space="preserve"> el</w:t>
      </w:r>
      <w:r w:rsidRPr="00AB3791">
        <w:rPr>
          <w:rFonts w:ascii="Times New Roman" w:hAnsi="Times New Roman" w:cs="Times New Roman"/>
          <w:sz w:val="24"/>
          <w:szCs w:val="24"/>
          <w:lang w:val="es-419"/>
        </w:rPr>
        <w:t xml:space="preserve"> conocimiento </w:t>
      </w:r>
      <w:r w:rsidR="007065AA" w:rsidRPr="00AB3791">
        <w:rPr>
          <w:rFonts w:ascii="Times New Roman" w:hAnsi="Times New Roman" w:cs="Times New Roman"/>
          <w:sz w:val="24"/>
          <w:szCs w:val="24"/>
          <w:lang w:val="es-419"/>
        </w:rPr>
        <w:t>cívico</w:t>
      </w:r>
      <w:r w:rsidRPr="00AB3791">
        <w:rPr>
          <w:rFonts w:ascii="Times New Roman" w:hAnsi="Times New Roman" w:cs="Times New Roman"/>
          <w:sz w:val="24"/>
          <w:szCs w:val="24"/>
          <w:lang w:val="es-419"/>
        </w:rPr>
        <w:t xml:space="preserve"> y participación. </w:t>
      </w:r>
    </w:p>
    <w:p w14:paraId="63C66468" w14:textId="77777777" w:rsidR="00B23776" w:rsidRPr="00AB3791" w:rsidRDefault="00B23776" w:rsidP="00710956">
      <w:pPr>
        <w:ind w:left="-567" w:firstLine="567"/>
        <w:jc w:val="both"/>
        <w:rPr>
          <w:rFonts w:ascii="Times New Roman" w:hAnsi="Times New Roman" w:cs="Times New Roman"/>
          <w:sz w:val="24"/>
          <w:szCs w:val="24"/>
          <w:lang w:val="es-419"/>
        </w:rPr>
      </w:pPr>
    </w:p>
    <w:p w14:paraId="21586523" w14:textId="49BCC4CA"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Esta sucinta propuesta de tesis se enmarca en los estudios sobre el conocimiento </w:t>
      </w:r>
      <w:r w:rsidR="007065AA" w:rsidRPr="00AB3791">
        <w:rPr>
          <w:rFonts w:ascii="Times New Roman" w:hAnsi="Times New Roman" w:cs="Times New Roman"/>
          <w:sz w:val="24"/>
          <w:szCs w:val="24"/>
          <w:lang w:val="es-419"/>
        </w:rPr>
        <w:t>cívico</w:t>
      </w:r>
      <w:r w:rsidRPr="00AB3791">
        <w:rPr>
          <w:rFonts w:ascii="Times New Roman" w:hAnsi="Times New Roman" w:cs="Times New Roman"/>
          <w:sz w:val="24"/>
          <w:szCs w:val="24"/>
          <w:lang w:val="es-419"/>
        </w:rPr>
        <w:t xml:space="preserve">, el cual, ha sido promovido por la literatura, como un factor que puede fomentar la </w:t>
      </w:r>
      <w:r w:rsidR="007065AA" w:rsidRPr="00AB3791">
        <w:rPr>
          <w:rFonts w:ascii="Times New Roman" w:hAnsi="Times New Roman" w:cs="Times New Roman"/>
          <w:sz w:val="24"/>
          <w:szCs w:val="24"/>
          <w:lang w:val="es-419"/>
        </w:rPr>
        <w:t>participación</w:t>
      </w:r>
      <w:r w:rsidRPr="00AB3791">
        <w:rPr>
          <w:rFonts w:ascii="Times New Roman" w:hAnsi="Times New Roman" w:cs="Times New Roman"/>
          <w:sz w:val="24"/>
          <w:szCs w:val="24"/>
          <w:lang w:val="es-419"/>
        </w:rPr>
        <w:t xml:space="preserve"> política de los ciudadanos (</w:t>
      </w:r>
      <w:r w:rsidR="00A2728F" w:rsidRPr="00AB3791">
        <w:rPr>
          <w:rFonts w:ascii="Times New Roman" w:hAnsi="Times New Roman" w:cs="Times New Roman"/>
          <w:sz w:val="24"/>
          <w:szCs w:val="24"/>
          <w:lang w:val="es-419"/>
        </w:rPr>
        <w:t xml:space="preserve">ICCS, 2016; </w:t>
      </w:r>
      <w:r w:rsidRPr="00AB3791">
        <w:rPr>
          <w:rFonts w:ascii="Times New Roman" w:hAnsi="Times New Roman" w:cs="Times New Roman"/>
          <w:sz w:val="24"/>
          <w:szCs w:val="24"/>
          <w:lang w:val="es-419"/>
        </w:rPr>
        <w:t>Miranda, Castillo &amp; Sandoval-Hernández, 2015). Esto, se torna bastante relevante si se considera que existe desigual participación en la política, la cual es menor en grupos de bajos estrato</w:t>
      </w:r>
      <w:r w:rsidR="00A2728F" w:rsidRPr="00AB3791">
        <w:rPr>
          <w:rFonts w:ascii="Times New Roman" w:hAnsi="Times New Roman" w:cs="Times New Roman"/>
          <w:sz w:val="24"/>
          <w:szCs w:val="24"/>
          <w:lang w:val="es-419"/>
        </w:rPr>
        <w:t>s</w:t>
      </w:r>
      <w:r w:rsidRPr="00AB3791">
        <w:rPr>
          <w:rFonts w:ascii="Times New Roman" w:hAnsi="Times New Roman" w:cs="Times New Roman"/>
          <w:sz w:val="24"/>
          <w:szCs w:val="24"/>
          <w:lang w:val="es-419"/>
        </w:rPr>
        <w:t xml:space="preserve"> y en personas jóvenes (</w:t>
      </w:r>
      <w:r w:rsidR="00280302" w:rsidRPr="00AB3791">
        <w:rPr>
          <w:rFonts w:ascii="Times New Roman" w:hAnsi="Times New Roman" w:cs="Times New Roman"/>
          <w:sz w:val="24"/>
          <w:szCs w:val="24"/>
          <w:lang w:val="es-419"/>
        </w:rPr>
        <w:t xml:space="preserve">Germen, 2010; </w:t>
      </w:r>
      <w:r w:rsidRPr="00AB3791">
        <w:rPr>
          <w:rFonts w:ascii="Times New Roman" w:hAnsi="Times New Roman" w:cs="Times New Roman"/>
          <w:sz w:val="24"/>
          <w:szCs w:val="24"/>
          <w:lang w:val="es-419"/>
        </w:rPr>
        <w:t xml:space="preserve">Contreras &amp; Navia, 2010; </w:t>
      </w:r>
      <w:r w:rsidRPr="00AB3791">
        <w:rPr>
          <w:rFonts w:ascii="Times New Roman" w:hAnsi="Times New Roman" w:cs="Times New Roman"/>
          <w:sz w:val="24"/>
          <w:szCs w:val="24"/>
        </w:rPr>
        <w:t xml:space="preserve">Browne &amp; </w:t>
      </w:r>
      <w:proofErr w:type="spellStart"/>
      <w:r w:rsidRPr="00AB3791">
        <w:rPr>
          <w:rFonts w:ascii="Times New Roman" w:hAnsi="Times New Roman" w:cs="Times New Roman"/>
          <w:sz w:val="24"/>
          <w:szCs w:val="24"/>
        </w:rPr>
        <w:t>Elming</w:t>
      </w:r>
      <w:proofErr w:type="spellEnd"/>
      <w:r w:rsidRPr="00AB3791">
        <w:rPr>
          <w:rFonts w:ascii="Times New Roman" w:hAnsi="Times New Roman" w:cs="Times New Roman"/>
          <w:sz w:val="24"/>
          <w:szCs w:val="24"/>
        </w:rPr>
        <w:t>,</w:t>
      </w:r>
      <w:r w:rsidR="007D2943" w:rsidRPr="00AB3791">
        <w:rPr>
          <w:rFonts w:ascii="Times New Roman" w:hAnsi="Times New Roman" w:cs="Times New Roman"/>
          <w:sz w:val="24"/>
          <w:szCs w:val="24"/>
        </w:rPr>
        <w:t xml:space="preserve"> </w:t>
      </w:r>
      <w:r w:rsidRPr="00AB3791">
        <w:rPr>
          <w:rFonts w:ascii="Times New Roman" w:hAnsi="Times New Roman" w:cs="Times New Roman"/>
          <w:sz w:val="24"/>
          <w:szCs w:val="24"/>
        </w:rPr>
        <w:t>2015;</w:t>
      </w:r>
      <w:r w:rsidRPr="00AB3791">
        <w:rPr>
          <w:rFonts w:ascii="Times New Roman" w:hAnsi="Times New Roman" w:cs="Times New Roman"/>
          <w:sz w:val="24"/>
          <w:szCs w:val="24"/>
          <w:lang w:val="es-419"/>
        </w:rPr>
        <w:t xml:space="preserve"> Miranda, Castillo &amp; Sandoval-Hernández, 2015).</w:t>
      </w:r>
    </w:p>
    <w:p w14:paraId="1C0948B5" w14:textId="77777777" w:rsidR="00B23776" w:rsidRPr="00AB3791" w:rsidRDefault="00B23776" w:rsidP="00710956">
      <w:pPr>
        <w:ind w:left="-567" w:firstLine="567"/>
        <w:jc w:val="both"/>
        <w:rPr>
          <w:rFonts w:ascii="Times New Roman" w:hAnsi="Times New Roman" w:cs="Times New Roman"/>
          <w:color w:val="000000" w:themeColor="text1"/>
          <w:sz w:val="24"/>
          <w:szCs w:val="24"/>
          <w:lang w:val="es-419"/>
        </w:rPr>
      </w:pPr>
    </w:p>
    <w:p w14:paraId="66917F91" w14:textId="65337FD2"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Por todo esto, se ha vuelto un objetivo del gobierno, promover la </w:t>
      </w:r>
      <w:r w:rsidR="007065AA" w:rsidRPr="00AB3791">
        <w:rPr>
          <w:rFonts w:ascii="Times New Roman" w:hAnsi="Times New Roman" w:cs="Times New Roman"/>
          <w:sz w:val="24"/>
          <w:szCs w:val="24"/>
          <w:lang w:val="es-419"/>
        </w:rPr>
        <w:t>educación</w:t>
      </w:r>
      <w:r w:rsidRPr="00AB3791">
        <w:rPr>
          <w:rFonts w:ascii="Times New Roman" w:hAnsi="Times New Roman" w:cs="Times New Roman"/>
          <w:sz w:val="24"/>
          <w:szCs w:val="24"/>
          <w:lang w:val="es-419"/>
        </w:rPr>
        <w:t xml:space="preserve"> </w:t>
      </w:r>
      <w:r w:rsidR="007065AA" w:rsidRPr="00AB3791">
        <w:rPr>
          <w:rFonts w:ascii="Times New Roman" w:hAnsi="Times New Roman" w:cs="Times New Roman"/>
          <w:sz w:val="24"/>
          <w:szCs w:val="24"/>
          <w:lang w:val="es-419"/>
        </w:rPr>
        <w:t>cívica</w:t>
      </w:r>
      <w:r w:rsidRPr="00AB3791">
        <w:rPr>
          <w:rFonts w:ascii="Times New Roman" w:hAnsi="Times New Roman" w:cs="Times New Roman"/>
          <w:sz w:val="24"/>
          <w:szCs w:val="24"/>
          <w:lang w:val="es-419"/>
        </w:rPr>
        <w:t xml:space="preserve">, con la </w:t>
      </w:r>
      <w:r w:rsidR="007065AA" w:rsidRPr="00AB3791">
        <w:rPr>
          <w:rFonts w:ascii="Times New Roman" w:hAnsi="Times New Roman" w:cs="Times New Roman"/>
          <w:sz w:val="24"/>
          <w:szCs w:val="24"/>
          <w:lang w:val="es-419"/>
        </w:rPr>
        <w:t>intención</w:t>
      </w:r>
      <w:r w:rsidRPr="00AB3791">
        <w:rPr>
          <w:rFonts w:ascii="Times New Roman" w:hAnsi="Times New Roman" w:cs="Times New Roman"/>
          <w:sz w:val="24"/>
          <w:szCs w:val="24"/>
          <w:lang w:val="es-419"/>
        </w:rPr>
        <w:t xml:space="preserve"> de preparar a los </w:t>
      </w:r>
      <w:r w:rsidR="007065AA" w:rsidRPr="00AB3791">
        <w:rPr>
          <w:rFonts w:ascii="Times New Roman" w:hAnsi="Times New Roman" w:cs="Times New Roman"/>
          <w:sz w:val="24"/>
          <w:szCs w:val="24"/>
          <w:lang w:val="es-419"/>
        </w:rPr>
        <w:t>jóvenes</w:t>
      </w:r>
      <w:r w:rsidRPr="00AB3791">
        <w:rPr>
          <w:rFonts w:ascii="Times New Roman" w:hAnsi="Times New Roman" w:cs="Times New Roman"/>
          <w:sz w:val="24"/>
          <w:szCs w:val="24"/>
          <w:lang w:val="es-419"/>
        </w:rPr>
        <w:t xml:space="preserve"> para la vida democrática e inculcar en ellos el deber del voto y de la </w:t>
      </w:r>
      <w:r w:rsidR="007065AA" w:rsidRPr="00AB3791">
        <w:rPr>
          <w:rFonts w:ascii="Times New Roman" w:hAnsi="Times New Roman" w:cs="Times New Roman"/>
          <w:sz w:val="24"/>
          <w:szCs w:val="24"/>
          <w:lang w:val="es-419"/>
        </w:rPr>
        <w:t>participación</w:t>
      </w:r>
      <w:r w:rsidRPr="00AB3791">
        <w:rPr>
          <w:rFonts w:ascii="Times New Roman" w:hAnsi="Times New Roman" w:cs="Times New Roman"/>
          <w:sz w:val="24"/>
          <w:szCs w:val="24"/>
          <w:lang w:val="es-419"/>
        </w:rPr>
        <w:t xml:space="preserve"> ciudadana. </w:t>
      </w:r>
      <w:r w:rsidR="00B23776" w:rsidRPr="00AB3791">
        <w:rPr>
          <w:rFonts w:ascii="Times New Roman" w:hAnsi="Times New Roman" w:cs="Times New Roman"/>
          <w:sz w:val="24"/>
          <w:szCs w:val="24"/>
          <w:lang w:val="es-419"/>
        </w:rPr>
        <w:t xml:space="preserve"> Diagnostico con el cual coinciden autores como Ben </w:t>
      </w:r>
      <w:proofErr w:type="spellStart"/>
      <w:r w:rsidR="00B23776" w:rsidRPr="00AB3791">
        <w:rPr>
          <w:rFonts w:ascii="Times New Roman" w:hAnsi="Times New Roman" w:cs="Times New Roman"/>
          <w:sz w:val="24"/>
          <w:szCs w:val="24"/>
          <w:lang w:val="es-419"/>
        </w:rPr>
        <w:t>Porath</w:t>
      </w:r>
      <w:proofErr w:type="spellEnd"/>
      <w:r w:rsidR="00B23776" w:rsidRPr="00AB3791">
        <w:rPr>
          <w:rFonts w:ascii="Times New Roman" w:hAnsi="Times New Roman" w:cs="Times New Roman"/>
          <w:sz w:val="24"/>
          <w:szCs w:val="24"/>
          <w:lang w:val="es-419"/>
        </w:rPr>
        <w:t xml:space="preserve"> (2006), o los autores Cox, Jaramillo &amp; Reines (2005), quienes destaca</w:t>
      </w:r>
      <w:r w:rsidR="00412E80">
        <w:rPr>
          <w:rFonts w:ascii="Times New Roman" w:hAnsi="Times New Roman" w:cs="Times New Roman"/>
          <w:sz w:val="24"/>
          <w:szCs w:val="24"/>
          <w:lang w:val="es-419"/>
        </w:rPr>
        <w:t>n</w:t>
      </w:r>
      <w:r w:rsidR="00B23776" w:rsidRPr="00AB3791">
        <w:rPr>
          <w:rFonts w:ascii="Times New Roman" w:hAnsi="Times New Roman" w:cs="Times New Roman"/>
          <w:sz w:val="24"/>
          <w:szCs w:val="24"/>
          <w:lang w:val="es-419"/>
        </w:rPr>
        <w:t xml:space="preserve"> el papel que puede cumplir la educación cívica, y la relevancia que </w:t>
      </w:r>
      <w:r w:rsidR="00412E80" w:rsidRPr="00AB3791">
        <w:rPr>
          <w:rFonts w:ascii="Times New Roman" w:hAnsi="Times New Roman" w:cs="Times New Roman"/>
          <w:sz w:val="24"/>
          <w:szCs w:val="24"/>
          <w:lang w:val="es-419"/>
        </w:rPr>
        <w:t>ha</w:t>
      </w:r>
      <w:r w:rsidR="00B23776" w:rsidRPr="00AB3791">
        <w:rPr>
          <w:rFonts w:ascii="Times New Roman" w:hAnsi="Times New Roman" w:cs="Times New Roman"/>
          <w:sz w:val="24"/>
          <w:szCs w:val="24"/>
          <w:lang w:val="es-419"/>
        </w:rPr>
        <w:t xml:space="preserve"> tomado</w:t>
      </w:r>
      <w:r w:rsidR="007D2943" w:rsidRPr="00AB3791">
        <w:rPr>
          <w:rFonts w:ascii="Times New Roman" w:hAnsi="Times New Roman" w:cs="Times New Roman"/>
          <w:sz w:val="24"/>
          <w:szCs w:val="24"/>
          <w:lang w:val="es-419"/>
        </w:rPr>
        <w:t xml:space="preserve"> esta</w:t>
      </w:r>
      <w:r w:rsidR="00B23776" w:rsidRPr="00AB3791">
        <w:rPr>
          <w:rFonts w:ascii="Times New Roman" w:hAnsi="Times New Roman" w:cs="Times New Roman"/>
          <w:sz w:val="24"/>
          <w:szCs w:val="24"/>
          <w:lang w:val="es-419"/>
        </w:rPr>
        <w:t xml:space="preserve">, en el contexto de la creciente desigualdad política entre diversos grupos. </w:t>
      </w:r>
      <w:r w:rsidR="00563567" w:rsidRPr="00AB3791">
        <w:rPr>
          <w:rFonts w:ascii="Times New Roman" w:hAnsi="Times New Roman" w:cs="Times New Roman"/>
          <w:sz w:val="24"/>
          <w:szCs w:val="24"/>
          <w:lang w:val="es-419"/>
        </w:rPr>
        <w:t xml:space="preserve">En la misma línea, </w:t>
      </w:r>
      <w:proofErr w:type="spellStart"/>
      <w:r w:rsidR="00563567" w:rsidRPr="00AB3791">
        <w:rPr>
          <w:rFonts w:ascii="Times New Roman" w:hAnsi="Times New Roman" w:cs="Times New Roman"/>
          <w:sz w:val="24"/>
          <w:szCs w:val="24"/>
          <w:lang w:val="es-419"/>
        </w:rPr>
        <w:t>Dirk</w:t>
      </w:r>
      <w:proofErr w:type="spellEnd"/>
      <w:r w:rsidR="00563567" w:rsidRPr="00AB3791">
        <w:rPr>
          <w:rFonts w:ascii="Times New Roman" w:hAnsi="Times New Roman" w:cs="Times New Roman"/>
          <w:sz w:val="24"/>
          <w:szCs w:val="24"/>
          <w:lang w:val="es-419"/>
        </w:rPr>
        <w:t xml:space="preserve"> </w:t>
      </w:r>
      <w:proofErr w:type="spellStart"/>
      <w:r w:rsidR="00563567" w:rsidRPr="00AB3791">
        <w:rPr>
          <w:rFonts w:ascii="Times New Roman" w:hAnsi="Times New Roman" w:cs="Times New Roman"/>
          <w:sz w:val="24"/>
          <w:szCs w:val="24"/>
          <w:lang w:val="es-419"/>
        </w:rPr>
        <w:t>Hastedt</w:t>
      </w:r>
      <w:proofErr w:type="spellEnd"/>
      <w:r w:rsidR="00563567" w:rsidRPr="00AB3791">
        <w:rPr>
          <w:rFonts w:ascii="Times New Roman" w:hAnsi="Times New Roman" w:cs="Times New Roman"/>
          <w:sz w:val="24"/>
          <w:szCs w:val="24"/>
          <w:lang w:val="es-419"/>
        </w:rPr>
        <w:t xml:space="preserve"> (2016) plantea a través del informa de la</w:t>
      </w:r>
      <w:r w:rsidR="00A42B41" w:rsidRPr="00AB3791">
        <w:rPr>
          <w:rFonts w:ascii="Times New Roman" w:hAnsi="Times New Roman" w:cs="Times New Roman"/>
          <w:sz w:val="24"/>
          <w:szCs w:val="24"/>
          <w:lang w:val="es-419"/>
        </w:rPr>
        <w:t xml:space="preserve"> ICCS</w:t>
      </w:r>
      <w:r w:rsidR="00563567" w:rsidRPr="00AB3791">
        <w:rPr>
          <w:rFonts w:ascii="Times New Roman" w:hAnsi="Times New Roman" w:cs="Times New Roman"/>
          <w:sz w:val="24"/>
          <w:szCs w:val="24"/>
          <w:lang w:val="es-419"/>
        </w:rPr>
        <w:t xml:space="preserve">, que la poca </w:t>
      </w:r>
      <w:r w:rsidR="00A42B41" w:rsidRPr="00AB3791">
        <w:rPr>
          <w:rFonts w:ascii="Times New Roman" w:hAnsi="Times New Roman" w:cs="Times New Roman"/>
          <w:sz w:val="24"/>
          <w:szCs w:val="24"/>
          <w:lang w:val="es-419"/>
        </w:rPr>
        <w:t>participación</w:t>
      </w:r>
      <w:r w:rsidR="00563567" w:rsidRPr="00AB3791">
        <w:rPr>
          <w:rFonts w:ascii="Times New Roman" w:hAnsi="Times New Roman" w:cs="Times New Roman"/>
          <w:sz w:val="24"/>
          <w:szCs w:val="24"/>
          <w:lang w:val="es-419"/>
        </w:rPr>
        <w:t xml:space="preserve"> y </w:t>
      </w:r>
      <w:r w:rsidR="00A42B41" w:rsidRPr="00AB3791">
        <w:rPr>
          <w:rFonts w:ascii="Times New Roman" w:hAnsi="Times New Roman" w:cs="Times New Roman"/>
          <w:sz w:val="24"/>
          <w:szCs w:val="24"/>
          <w:lang w:val="es-419"/>
        </w:rPr>
        <w:t>compromiso</w:t>
      </w:r>
      <w:r w:rsidR="00563567" w:rsidRPr="00AB3791">
        <w:rPr>
          <w:rFonts w:ascii="Times New Roman" w:hAnsi="Times New Roman" w:cs="Times New Roman"/>
          <w:sz w:val="24"/>
          <w:szCs w:val="24"/>
          <w:lang w:val="es-419"/>
        </w:rPr>
        <w:t xml:space="preserve"> democrático, es especialmente relevante en un contexto de resurgimiento de los autoritarismos. </w:t>
      </w:r>
    </w:p>
    <w:p w14:paraId="776D96CF" w14:textId="77777777" w:rsidR="00B23776" w:rsidRPr="00AB3791" w:rsidRDefault="00B23776" w:rsidP="00710956">
      <w:pPr>
        <w:ind w:left="-567" w:firstLine="567"/>
        <w:jc w:val="both"/>
        <w:rPr>
          <w:rFonts w:ascii="Times New Roman" w:hAnsi="Times New Roman" w:cs="Times New Roman"/>
          <w:sz w:val="24"/>
          <w:szCs w:val="24"/>
          <w:lang w:val="es-419"/>
        </w:rPr>
      </w:pPr>
    </w:p>
    <w:p w14:paraId="76D7C094" w14:textId="4F38C3D1"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En </w:t>
      </w:r>
      <w:r w:rsidR="00280302" w:rsidRPr="00AB3791">
        <w:rPr>
          <w:rFonts w:ascii="Times New Roman" w:hAnsi="Times New Roman" w:cs="Times New Roman"/>
          <w:sz w:val="24"/>
          <w:szCs w:val="24"/>
          <w:lang w:val="es-419"/>
        </w:rPr>
        <w:t>consideración</w:t>
      </w:r>
      <w:r w:rsidRPr="00AB3791">
        <w:rPr>
          <w:rFonts w:ascii="Times New Roman" w:hAnsi="Times New Roman" w:cs="Times New Roman"/>
          <w:sz w:val="24"/>
          <w:szCs w:val="24"/>
          <w:lang w:val="es-419"/>
        </w:rPr>
        <w:t xml:space="preserve"> de estos objetivos preocupa la reciente evidencia que señala un menor conocimiento Cívico en estudiantes de menor nivel socioeconómico (Agencia de Calidad de la </w:t>
      </w:r>
      <w:proofErr w:type="spellStart"/>
      <w:r w:rsidRPr="00AB3791">
        <w:rPr>
          <w:rFonts w:ascii="Times New Roman" w:hAnsi="Times New Roman" w:cs="Times New Roman"/>
          <w:sz w:val="24"/>
          <w:szCs w:val="24"/>
          <w:lang w:val="es-419"/>
        </w:rPr>
        <w:t>Educacion</w:t>
      </w:r>
      <w:proofErr w:type="spellEnd"/>
      <w:r w:rsidRPr="00AB3791">
        <w:rPr>
          <w:rFonts w:ascii="Times New Roman" w:hAnsi="Times New Roman" w:cs="Times New Roman"/>
          <w:sz w:val="24"/>
          <w:szCs w:val="24"/>
          <w:lang w:val="es-419"/>
        </w:rPr>
        <w:t xml:space="preserve">, 2017; Schulz, 2011; Castillo, Miranda, </w:t>
      </w:r>
      <w:proofErr w:type="spellStart"/>
      <w:r w:rsidRPr="00AB3791">
        <w:rPr>
          <w:rFonts w:ascii="Times New Roman" w:hAnsi="Times New Roman" w:cs="Times New Roman"/>
          <w:sz w:val="24"/>
          <w:szCs w:val="24"/>
          <w:lang w:val="es-419"/>
        </w:rPr>
        <w:t>Bonhmme</w:t>
      </w:r>
      <w:proofErr w:type="spellEnd"/>
      <w:r w:rsidRPr="00AB3791">
        <w:rPr>
          <w:rFonts w:ascii="Times New Roman" w:hAnsi="Times New Roman" w:cs="Times New Roman"/>
          <w:sz w:val="24"/>
          <w:szCs w:val="24"/>
          <w:lang w:val="es-419"/>
        </w:rPr>
        <w:t xml:space="preserve">, Cox &amp; Bascopé, 2015; </w:t>
      </w:r>
      <w:proofErr w:type="spellStart"/>
      <w:r w:rsidRPr="00AB3791">
        <w:rPr>
          <w:rFonts w:ascii="Times New Roman" w:hAnsi="Times New Roman" w:cs="Times New Roman"/>
          <w:sz w:val="24"/>
          <w:szCs w:val="24"/>
          <w:lang w:val="es-419"/>
        </w:rPr>
        <w:t>Diazgranados</w:t>
      </w:r>
      <w:proofErr w:type="spellEnd"/>
      <w:r w:rsidRPr="00AB3791">
        <w:rPr>
          <w:rFonts w:ascii="Times New Roman" w:hAnsi="Times New Roman" w:cs="Times New Roman"/>
          <w:sz w:val="24"/>
          <w:szCs w:val="24"/>
          <w:lang w:val="es-419"/>
        </w:rPr>
        <w:t xml:space="preserve"> &amp; Sandoval-Hernández, 2017; Treviño, </w:t>
      </w:r>
      <w:proofErr w:type="spellStart"/>
      <w:r w:rsidRPr="00AB3791">
        <w:rPr>
          <w:rFonts w:ascii="Times New Roman" w:hAnsi="Times New Roman" w:cs="Times New Roman"/>
          <w:sz w:val="24"/>
          <w:szCs w:val="24"/>
          <w:lang w:val="es-419"/>
        </w:rPr>
        <w:t>Béjares</w:t>
      </w:r>
      <w:proofErr w:type="spellEnd"/>
      <w:r w:rsidRPr="00AB3791">
        <w:rPr>
          <w:rFonts w:ascii="Times New Roman" w:hAnsi="Times New Roman" w:cs="Times New Roman"/>
          <w:sz w:val="24"/>
          <w:szCs w:val="24"/>
          <w:lang w:val="es-419"/>
        </w:rPr>
        <w:t xml:space="preserve">, Villalobos &amp; Naranjo, 2017). A esta evidencia se agregan un conjunto de trabajos que han relegado el efecto del nivel </w:t>
      </w:r>
      <w:r w:rsidR="00412E80" w:rsidRPr="00AB3791">
        <w:rPr>
          <w:rFonts w:ascii="Times New Roman" w:hAnsi="Times New Roman" w:cs="Times New Roman"/>
          <w:sz w:val="24"/>
          <w:szCs w:val="24"/>
          <w:lang w:val="es-419"/>
        </w:rPr>
        <w:t>socioeconómico</w:t>
      </w:r>
      <w:r w:rsidRPr="00AB3791">
        <w:rPr>
          <w:rFonts w:ascii="Times New Roman" w:hAnsi="Times New Roman" w:cs="Times New Roman"/>
          <w:sz w:val="24"/>
          <w:szCs w:val="24"/>
          <w:lang w:val="es-419"/>
        </w:rPr>
        <w:t xml:space="preserve">, en miras del efecto producido por </w:t>
      </w:r>
      <w:proofErr w:type="gramStart"/>
      <w:r w:rsidRPr="00AB3791">
        <w:rPr>
          <w:rFonts w:ascii="Times New Roman" w:hAnsi="Times New Roman" w:cs="Times New Roman"/>
          <w:sz w:val="24"/>
          <w:szCs w:val="24"/>
          <w:lang w:val="es-419"/>
        </w:rPr>
        <w:t xml:space="preserve">distintos </w:t>
      </w:r>
      <w:r w:rsidR="00412E80" w:rsidRPr="00AB3791">
        <w:rPr>
          <w:rFonts w:ascii="Times New Roman" w:hAnsi="Times New Roman" w:cs="Times New Roman"/>
          <w:sz w:val="24"/>
          <w:szCs w:val="24"/>
          <w:lang w:val="es-419"/>
        </w:rPr>
        <w:t>proxi</w:t>
      </w:r>
      <w:proofErr w:type="gramEnd"/>
      <w:r w:rsidRPr="00AB3791">
        <w:rPr>
          <w:rFonts w:ascii="Times New Roman" w:hAnsi="Times New Roman" w:cs="Times New Roman"/>
          <w:sz w:val="24"/>
          <w:szCs w:val="24"/>
          <w:lang w:val="es-419"/>
        </w:rPr>
        <w:t xml:space="preserve"> del capital </w:t>
      </w:r>
      <w:r w:rsidR="00412E80" w:rsidRPr="00AB3791">
        <w:rPr>
          <w:rFonts w:ascii="Times New Roman" w:hAnsi="Times New Roman" w:cs="Times New Roman"/>
          <w:sz w:val="24"/>
          <w:szCs w:val="24"/>
          <w:lang w:val="es-419"/>
        </w:rPr>
        <w:t>cultural,</w:t>
      </w:r>
      <w:r w:rsidRPr="00AB3791">
        <w:rPr>
          <w:rFonts w:ascii="Times New Roman" w:hAnsi="Times New Roman" w:cs="Times New Roman"/>
          <w:sz w:val="24"/>
          <w:szCs w:val="24"/>
          <w:lang w:val="es-419"/>
        </w:rPr>
        <w:t xml:space="preserve"> como lo son el nivel educativo de los padres y la cantidad de libros en el hogar (</w:t>
      </w:r>
      <w:proofErr w:type="spellStart"/>
      <w:r w:rsidRPr="00AB3791">
        <w:rPr>
          <w:rFonts w:ascii="Times New Roman" w:hAnsi="Times New Roman" w:cs="Times New Roman"/>
          <w:sz w:val="24"/>
          <w:szCs w:val="24"/>
          <w:lang w:val="es-419"/>
        </w:rPr>
        <w:t>e</w:t>
      </w:r>
      <w:r w:rsidR="00412E80">
        <w:rPr>
          <w:rFonts w:ascii="Times New Roman" w:hAnsi="Times New Roman" w:cs="Times New Roman"/>
          <w:sz w:val="24"/>
          <w:szCs w:val="24"/>
          <w:lang w:val="es-419"/>
        </w:rPr>
        <w:t>.</w:t>
      </w:r>
      <w:r w:rsidRPr="00AB3791">
        <w:rPr>
          <w:rFonts w:ascii="Times New Roman" w:hAnsi="Times New Roman" w:cs="Times New Roman"/>
          <w:sz w:val="24"/>
          <w:szCs w:val="24"/>
          <w:lang w:val="es-419"/>
        </w:rPr>
        <w:t>g</w:t>
      </w:r>
      <w:proofErr w:type="spellEnd"/>
      <w:r w:rsidRPr="00AB3791">
        <w:rPr>
          <w:rFonts w:ascii="Times New Roman" w:hAnsi="Times New Roman" w:cs="Times New Roman"/>
          <w:sz w:val="24"/>
          <w:szCs w:val="24"/>
          <w:lang w:val="es-419"/>
        </w:rPr>
        <w:t xml:space="preserve">. Castillo, Miranda, </w:t>
      </w:r>
      <w:proofErr w:type="spellStart"/>
      <w:r w:rsidRPr="00AB3791">
        <w:rPr>
          <w:rFonts w:ascii="Times New Roman" w:hAnsi="Times New Roman" w:cs="Times New Roman"/>
          <w:sz w:val="24"/>
          <w:szCs w:val="24"/>
          <w:lang w:val="es-419"/>
        </w:rPr>
        <w:t>Bonhomme</w:t>
      </w:r>
      <w:proofErr w:type="spellEnd"/>
      <w:r w:rsidRPr="00AB3791">
        <w:rPr>
          <w:rFonts w:ascii="Times New Roman" w:hAnsi="Times New Roman" w:cs="Times New Roman"/>
          <w:sz w:val="24"/>
          <w:szCs w:val="24"/>
          <w:lang w:val="es-419"/>
        </w:rPr>
        <w:t xml:space="preserve">, Cox &amp; Bascopé, 2014). </w:t>
      </w:r>
    </w:p>
    <w:p w14:paraId="4E03E4FA" w14:textId="77777777" w:rsidR="008B3178" w:rsidRPr="00AB3791" w:rsidRDefault="008B3178" w:rsidP="00710956">
      <w:pPr>
        <w:ind w:left="-567" w:firstLine="567"/>
        <w:jc w:val="both"/>
        <w:rPr>
          <w:rFonts w:ascii="Times New Roman" w:hAnsi="Times New Roman" w:cs="Times New Roman"/>
          <w:sz w:val="24"/>
          <w:szCs w:val="24"/>
          <w:lang w:val="es-419"/>
        </w:rPr>
      </w:pPr>
    </w:p>
    <w:p w14:paraId="0674245D" w14:textId="77777777"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En consideración de lo planteado por estos autores este proyecto busca profundizar en la relación causal señalada, no contentándose con generar evidencias sobre como la desigualdad educativa de los padres genera desigualdades en la participación de los hijos, sino que aspirando a comprender cuales son las razones ultimas que explican esta relación, proponiendo para ello el efecto de la transmisión de habilidades y la transmisión de intereses políticos.  </w:t>
      </w:r>
    </w:p>
    <w:p w14:paraId="30A3B996" w14:textId="77777777" w:rsidR="008B3178" w:rsidRPr="00AB3791" w:rsidRDefault="008B3178" w:rsidP="00710956">
      <w:pPr>
        <w:ind w:left="-567" w:firstLine="567"/>
        <w:jc w:val="both"/>
        <w:rPr>
          <w:rFonts w:ascii="Times New Roman" w:hAnsi="Times New Roman" w:cs="Times New Roman"/>
          <w:sz w:val="24"/>
          <w:szCs w:val="24"/>
          <w:lang w:val="es-419"/>
        </w:rPr>
      </w:pPr>
    </w:p>
    <w:p w14:paraId="14137301" w14:textId="4343AE22" w:rsidR="008B3178" w:rsidRPr="00AB3791" w:rsidRDefault="007B0B48" w:rsidP="007B0B48">
      <w:pPr>
        <w:ind w:left="-567"/>
        <w:jc w:val="both"/>
        <w:rPr>
          <w:rFonts w:ascii="Times New Roman" w:hAnsi="Times New Roman" w:cs="Times New Roman"/>
          <w:sz w:val="24"/>
          <w:szCs w:val="24"/>
          <w:lang w:val="x-none"/>
        </w:rPr>
      </w:pPr>
      <w:r w:rsidRPr="00AB3791">
        <w:rPr>
          <w:rFonts w:ascii="Times New Roman" w:hAnsi="Times New Roman" w:cs="Times New Roman"/>
          <w:sz w:val="24"/>
          <w:szCs w:val="24"/>
          <w:lang w:val="es-419"/>
        </w:rPr>
        <w:tab/>
      </w:r>
      <w:r w:rsidR="008B3178" w:rsidRPr="00AB3791">
        <w:rPr>
          <w:rFonts w:ascii="Times New Roman" w:hAnsi="Times New Roman" w:cs="Times New Roman"/>
          <w:sz w:val="24"/>
          <w:szCs w:val="24"/>
          <w:lang w:val="es-419"/>
        </w:rPr>
        <w:t>De este modo, la pregunta que da el puntapié inicial a esta investigación es la siguiente ¿qué es específicamente lo que produce este efecto del nivel cultural de los padres sobre el conocimiento cívico y las disposiciones a participar de los estudiantes?</w:t>
      </w:r>
      <w:r w:rsidR="008B3178" w:rsidRPr="00AB3791">
        <w:rPr>
          <w:rFonts w:ascii="Times New Roman" w:hAnsi="Times New Roman" w:cs="Times New Roman"/>
          <w:sz w:val="24"/>
          <w:szCs w:val="24"/>
          <w:lang w:val="x-none"/>
        </w:rPr>
        <w:t xml:space="preserve">   </w:t>
      </w:r>
    </w:p>
    <w:p w14:paraId="65125A6F" w14:textId="77777777" w:rsidR="007B0B48" w:rsidRPr="00AB3791" w:rsidRDefault="007B0B48" w:rsidP="00710956">
      <w:pPr>
        <w:ind w:left="-567" w:firstLine="567"/>
        <w:jc w:val="both"/>
        <w:rPr>
          <w:rFonts w:ascii="Times New Roman" w:hAnsi="Times New Roman" w:cs="Times New Roman"/>
          <w:sz w:val="24"/>
          <w:szCs w:val="24"/>
          <w:lang w:val="es-419"/>
        </w:rPr>
      </w:pPr>
    </w:p>
    <w:p w14:paraId="492FBA17" w14:textId="77777777" w:rsidR="008B3178" w:rsidRPr="00AB3791" w:rsidRDefault="008B3178" w:rsidP="00710956">
      <w:pPr>
        <w:ind w:left="-567" w:firstLine="567"/>
        <w:jc w:val="both"/>
        <w:rPr>
          <w:rFonts w:ascii="Times New Roman" w:hAnsi="Times New Roman" w:cs="Times New Roman"/>
          <w:sz w:val="24"/>
          <w:szCs w:val="24"/>
          <w:lang w:val="x-none"/>
        </w:rPr>
      </w:pPr>
    </w:p>
    <w:p w14:paraId="4C7E09EE" w14:textId="203FB4F7" w:rsidR="00710956" w:rsidRPr="00AB3791" w:rsidRDefault="008B3178" w:rsidP="00710956">
      <w:pPr>
        <w:ind w:left="-567" w:firstLine="567"/>
        <w:jc w:val="both"/>
        <w:rPr>
          <w:rFonts w:ascii="Times New Roman" w:hAnsi="Times New Roman" w:cs="Times New Roman"/>
          <w:color w:val="000000"/>
          <w:sz w:val="24"/>
          <w:szCs w:val="24"/>
        </w:rPr>
      </w:pPr>
      <w:r w:rsidRPr="00AB3791">
        <w:rPr>
          <w:rFonts w:ascii="Times New Roman" w:hAnsi="Times New Roman" w:cs="Times New Roman"/>
          <w:sz w:val="24"/>
          <w:szCs w:val="24"/>
          <w:lang w:val="es-419"/>
        </w:rPr>
        <w:lastRenderedPageBreak/>
        <w:t>Bourdieu (1979)</w:t>
      </w:r>
      <w:r w:rsidR="00B23776" w:rsidRPr="00AB3791">
        <w:rPr>
          <w:rFonts w:ascii="Times New Roman" w:hAnsi="Times New Roman" w:cs="Times New Roman"/>
          <w:sz w:val="24"/>
          <w:szCs w:val="24"/>
          <w:lang w:val="es-419"/>
        </w:rPr>
        <w:t>, desde la línea de la reproducción cultural,</w:t>
      </w:r>
      <w:r w:rsidRPr="00AB3791">
        <w:rPr>
          <w:rFonts w:ascii="Times New Roman" w:hAnsi="Times New Roman" w:cs="Times New Roman"/>
          <w:sz w:val="24"/>
          <w:szCs w:val="24"/>
          <w:lang w:val="es-419"/>
        </w:rPr>
        <w:t xml:space="preserve"> nos aporta una respuesta miscelánea a este asunto. Según el, lo que </w:t>
      </w:r>
      <w:r w:rsidRPr="00AB3791">
        <w:rPr>
          <w:rFonts w:ascii="Times New Roman" w:hAnsi="Times New Roman" w:cs="Times New Roman"/>
          <w:sz w:val="24"/>
          <w:szCs w:val="24"/>
        </w:rPr>
        <w:t>p</w:t>
      </w:r>
      <w:r w:rsidRPr="00AB3791">
        <w:rPr>
          <w:rFonts w:ascii="Times New Roman" w:hAnsi="Times New Roman" w:cs="Times New Roman"/>
          <w:sz w:val="24"/>
          <w:szCs w:val="24"/>
          <w:lang w:val="es-419"/>
        </w:rPr>
        <w:t xml:space="preserve">reduce esta relación, es la desigual distribución de, por un lado, habilidades y, por otro, de intereses para participar en la política, siendo la no posesión de la primera causante de una frustración e influyendo por ello en la segunda. </w:t>
      </w:r>
      <w:r w:rsidRPr="00AB3791">
        <w:rPr>
          <w:rFonts w:ascii="Times New Roman" w:hAnsi="Times New Roman" w:cs="Times New Roman"/>
          <w:sz w:val="24"/>
          <w:szCs w:val="24"/>
          <w:lang w:val="x-none"/>
        </w:rPr>
        <w:t>En función de esto</w:t>
      </w:r>
      <w:r w:rsidRPr="00AB3791">
        <w:rPr>
          <w:rFonts w:ascii="Times New Roman" w:hAnsi="Times New Roman" w:cs="Times New Roman"/>
          <w:sz w:val="24"/>
          <w:szCs w:val="24"/>
        </w:rPr>
        <w:t>,</w:t>
      </w:r>
      <w:r w:rsidRPr="00AB3791">
        <w:rPr>
          <w:rFonts w:ascii="Times New Roman" w:hAnsi="Times New Roman" w:cs="Times New Roman"/>
          <w:sz w:val="24"/>
          <w:szCs w:val="24"/>
          <w:lang w:val="x-none"/>
        </w:rPr>
        <w:t xml:space="preserve"> algunos autores han destacado </w:t>
      </w:r>
      <w:r w:rsidRPr="00AB3791">
        <w:rPr>
          <w:rFonts w:ascii="Times New Roman" w:hAnsi="Times New Roman" w:cs="Times New Roman"/>
          <w:sz w:val="24"/>
          <w:szCs w:val="24"/>
        </w:rPr>
        <w:t>en la teoría de Bourdieu</w:t>
      </w:r>
      <w:r w:rsidRPr="00AB3791">
        <w:rPr>
          <w:rFonts w:ascii="Times New Roman" w:hAnsi="Times New Roman" w:cs="Times New Roman"/>
          <w:sz w:val="24"/>
          <w:szCs w:val="24"/>
          <w:lang w:val="x-none"/>
        </w:rPr>
        <w:t xml:space="preserve"> el papel que posee la</w:t>
      </w:r>
      <w:r w:rsidRPr="00AB3791">
        <w:rPr>
          <w:rFonts w:ascii="Times New Roman" w:hAnsi="Times New Roman" w:cs="Times New Roman"/>
          <w:sz w:val="24"/>
          <w:szCs w:val="24"/>
        </w:rPr>
        <w:t xml:space="preserve"> socialización relacionada con el </w:t>
      </w:r>
      <w:r w:rsidRPr="00AB3791">
        <w:rPr>
          <w:rFonts w:ascii="Times New Roman" w:hAnsi="Times New Roman" w:cs="Times New Roman"/>
          <w:i/>
          <w:sz w:val="24"/>
          <w:szCs w:val="24"/>
        </w:rPr>
        <w:t xml:space="preserve">interés </w:t>
      </w:r>
      <w:r w:rsidRPr="00AB3791">
        <w:rPr>
          <w:rFonts w:ascii="Times New Roman" w:hAnsi="Times New Roman" w:cs="Times New Roman"/>
          <w:sz w:val="24"/>
          <w:szCs w:val="24"/>
          <w:lang w:val="es-419"/>
        </w:rPr>
        <w:t>(</w:t>
      </w:r>
      <w:r w:rsidRPr="00AB3791">
        <w:rPr>
          <w:rFonts w:ascii="Times New Roman" w:hAnsi="Times New Roman" w:cs="Times New Roman"/>
          <w:sz w:val="24"/>
          <w:szCs w:val="24"/>
        </w:rPr>
        <w:t>Vargas-Salfate, Oyanedel &amp; Torres-Vallejos, 2014)</w:t>
      </w:r>
      <w:r w:rsidRPr="00AB3791">
        <w:rPr>
          <w:rFonts w:ascii="Times New Roman" w:hAnsi="Times New Roman" w:cs="Times New Roman"/>
          <w:sz w:val="24"/>
          <w:szCs w:val="24"/>
          <w:lang w:val="es-419"/>
        </w:rPr>
        <w:t>, mientras otros agregan la importancia del papel de la transmisión de capacidades (</w:t>
      </w:r>
      <w:r w:rsidRPr="00AB3791">
        <w:rPr>
          <w:rFonts w:ascii="Times New Roman" w:hAnsi="Times New Roman" w:cs="Times New Roman"/>
          <w:color w:val="000000"/>
          <w:sz w:val="24"/>
          <w:szCs w:val="24"/>
        </w:rPr>
        <w:t>Dukuen,</w:t>
      </w:r>
      <w:r w:rsidR="00412E80">
        <w:rPr>
          <w:rFonts w:ascii="Times New Roman" w:hAnsi="Times New Roman" w:cs="Times New Roman"/>
          <w:color w:val="000000"/>
          <w:sz w:val="24"/>
          <w:szCs w:val="24"/>
        </w:rPr>
        <w:t xml:space="preserve"> </w:t>
      </w:r>
      <w:r w:rsidRPr="00AB3791">
        <w:rPr>
          <w:rFonts w:ascii="Times New Roman" w:hAnsi="Times New Roman" w:cs="Times New Roman"/>
          <w:color w:val="000000"/>
          <w:sz w:val="24"/>
          <w:szCs w:val="24"/>
        </w:rPr>
        <w:t xml:space="preserve">2015). </w:t>
      </w:r>
    </w:p>
    <w:p w14:paraId="29DB6DEA" w14:textId="77777777" w:rsidR="00280302" w:rsidRPr="00AB3791" w:rsidRDefault="00280302" w:rsidP="00710956">
      <w:pPr>
        <w:ind w:left="-567" w:firstLine="567"/>
        <w:jc w:val="both"/>
        <w:rPr>
          <w:rFonts w:ascii="Times New Roman" w:hAnsi="Times New Roman" w:cs="Times New Roman"/>
          <w:color w:val="000000"/>
          <w:sz w:val="24"/>
          <w:szCs w:val="24"/>
        </w:rPr>
      </w:pPr>
    </w:p>
    <w:p w14:paraId="3068C6A8" w14:textId="244A4BB7"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En relación a la transmisión del interés por la política, Vargas-Salfate et. Al. (2014) plantean desde la línea de Bourdieu, que la socialización cumple un papel fundamental sobre el interés y las actitudes políticas de los jóvenes, siendo primordial la socialización primaria en la familia y, bastante relevante, la socialización escolar. En función de lo evidenciado por estos autores, parece pertinente proponer que la socialización en familias de alto capital cultural fomenta en los jóvenes el interés por la política, lo que puede </w:t>
      </w:r>
      <w:r w:rsidR="00EF4E81" w:rsidRPr="00AB3791">
        <w:rPr>
          <w:rFonts w:ascii="Times New Roman" w:hAnsi="Times New Roman" w:cs="Times New Roman"/>
          <w:sz w:val="24"/>
          <w:szCs w:val="24"/>
          <w:lang w:val="es-419"/>
        </w:rPr>
        <w:t>llevarlos</w:t>
      </w:r>
      <w:r w:rsidRPr="00AB3791">
        <w:rPr>
          <w:rFonts w:ascii="Times New Roman" w:hAnsi="Times New Roman" w:cs="Times New Roman"/>
          <w:sz w:val="24"/>
          <w:szCs w:val="24"/>
          <w:lang w:val="es-419"/>
        </w:rPr>
        <w:t xml:space="preserve"> a estar más atentos sobre estos temas, y aprendiendo de ellos en la enseñanza transversal que se hace de los mismos, motivados por su interés. También, es plausible hipotetizar a partir de los hallazgos de los autores, que la socialización constante con los compañeros puede tener un efecto sobre el conocimiento cívico y las predisposiciones a participar, si es que los compañeros poseen en una amplia mayoría alto conocimiento cívico e intereses por la política.  Para hacer honor a esta reflexión, se plantea desde ya la necesidad de un análisis multinivel, que nos permita ver el efecto de pertenecer a un colegio donde los estudiantes tienen interés por la política. En suma, en función de estas reflexiones, cabe introducir al modelo el interés por la política del estudiante, como aquellas variables que nos sirvan para evaluar el efecto par en temas políticos a nivel colegio.  </w:t>
      </w:r>
    </w:p>
    <w:p w14:paraId="42B5A4E8" w14:textId="77777777" w:rsidR="007B0B48" w:rsidRPr="00AB3791" w:rsidRDefault="007B0B48" w:rsidP="00710956">
      <w:pPr>
        <w:ind w:left="-567" w:firstLine="567"/>
        <w:jc w:val="both"/>
        <w:rPr>
          <w:rFonts w:ascii="Times New Roman" w:hAnsi="Times New Roman" w:cs="Times New Roman"/>
          <w:sz w:val="24"/>
          <w:szCs w:val="24"/>
          <w:lang w:val="es-419"/>
        </w:rPr>
      </w:pPr>
    </w:p>
    <w:p w14:paraId="3E99F578" w14:textId="77777777"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En relación a la transmisión de las habilidades necesarias para incorporar conocimientos cívicos y comprender las cuestiones políticas, Duken (2015) destaca de la teoría de Bourdieu la critica que realiza al </w:t>
      </w:r>
    </w:p>
    <w:p w14:paraId="336ADFA6" w14:textId="7C39D189" w:rsidR="008B3178" w:rsidRPr="00AB3791" w:rsidRDefault="008B3178" w:rsidP="007B0B48">
      <w:pPr>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w:t>
      </w:r>
      <w:r w:rsidRPr="00AB3791">
        <w:rPr>
          <w:rFonts w:ascii="Times New Roman" w:hAnsi="Times New Roman" w:cs="Times New Roman"/>
          <w:sz w:val="24"/>
          <w:szCs w:val="24"/>
        </w:rPr>
        <w:t>supuesto constitutivo de esas encuestas sobre la igualdad de todos los ciudadanos para producir y expresar opiniones políticas, el cual oculta un mecanismo censatario apoyado en la distribución desigual de la competencia social y técnica hacia “la política” entre las clases, cuyo fundamento se encuentra en la distribución desigual de los capitales, pero especialmente del capital cultural de tipo escolar</w:t>
      </w:r>
      <w:r w:rsidR="007B0B48" w:rsidRPr="00AB3791">
        <w:rPr>
          <w:rFonts w:ascii="Times New Roman" w:hAnsi="Times New Roman" w:cs="Times New Roman"/>
          <w:sz w:val="24"/>
          <w:szCs w:val="24"/>
        </w:rPr>
        <w:t>”</w:t>
      </w:r>
      <w:r w:rsidRPr="00AB3791">
        <w:rPr>
          <w:rFonts w:ascii="Times New Roman" w:hAnsi="Times New Roman" w:cs="Times New Roman"/>
          <w:sz w:val="24"/>
          <w:szCs w:val="24"/>
        </w:rPr>
        <w:t xml:space="preserve"> (Bourdieu, 1979; 1980, en Duken, 2015)</w:t>
      </w:r>
    </w:p>
    <w:p w14:paraId="2612C217" w14:textId="77777777" w:rsidR="008B3178" w:rsidRPr="00AB3791" w:rsidRDefault="008B3178" w:rsidP="00710956">
      <w:pPr>
        <w:ind w:left="-567" w:firstLine="567"/>
        <w:jc w:val="both"/>
        <w:rPr>
          <w:rFonts w:ascii="Times New Roman" w:hAnsi="Times New Roman" w:cs="Times New Roman"/>
          <w:sz w:val="24"/>
          <w:szCs w:val="24"/>
          <w:lang w:val="es-419"/>
        </w:rPr>
      </w:pPr>
    </w:p>
    <w:p w14:paraId="38ACBD94" w14:textId="1A082C35"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A este planteamiento </w:t>
      </w:r>
      <w:r w:rsidR="007B0B48" w:rsidRPr="00AB3791">
        <w:rPr>
          <w:rFonts w:ascii="Times New Roman" w:hAnsi="Times New Roman" w:cs="Times New Roman"/>
          <w:sz w:val="24"/>
          <w:szCs w:val="24"/>
          <w:lang w:val="es-419"/>
        </w:rPr>
        <w:t xml:space="preserve">de Bourdieu </w:t>
      </w:r>
      <w:r w:rsidRPr="00AB3791">
        <w:rPr>
          <w:rFonts w:ascii="Times New Roman" w:hAnsi="Times New Roman" w:cs="Times New Roman"/>
          <w:sz w:val="24"/>
          <w:szCs w:val="24"/>
          <w:lang w:val="es-419"/>
        </w:rPr>
        <w:t xml:space="preserve">sobre el efecto del capital cultural de tipo escolar sobre la capacidad de emitir opinión política, pueden agregarse múltiples teorías que reflexionan al respecto.  Por ejemplo, desde Bernstein (1977), puede comprenderse que el lenguaje juega un rol fundamental en torno a esto, en tanto, este es un medio de aprehender la realidad, lo cual es </w:t>
      </w:r>
      <w:r w:rsidR="007065AA" w:rsidRPr="00AB3791">
        <w:rPr>
          <w:rFonts w:ascii="Times New Roman" w:hAnsi="Times New Roman" w:cs="Times New Roman"/>
          <w:sz w:val="24"/>
          <w:szCs w:val="24"/>
          <w:lang w:val="es-419"/>
        </w:rPr>
        <w:t>más</w:t>
      </w:r>
      <w:r w:rsidRPr="00AB3791">
        <w:rPr>
          <w:rFonts w:ascii="Times New Roman" w:hAnsi="Times New Roman" w:cs="Times New Roman"/>
          <w:sz w:val="24"/>
          <w:szCs w:val="24"/>
          <w:lang w:val="es-419"/>
        </w:rPr>
        <w:t xml:space="preserve"> difícil si se cuenta con un lenguaje básico, que suele encontrarse presente en estratos bajos.  Autores un poco más actuales como </w:t>
      </w:r>
      <w:proofErr w:type="spellStart"/>
      <w:r w:rsidRPr="00AB3791">
        <w:rPr>
          <w:rFonts w:ascii="Times New Roman" w:hAnsi="Times New Roman" w:cs="Times New Roman"/>
          <w:sz w:val="24"/>
          <w:szCs w:val="24"/>
          <w:lang w:val="es-419"/>
        </w:rPr>
        <w:t>Nie</w:t>
      </w:r>
      <w:proofErr w:type="spellEnd"/>
      <w:r w:rsidRPr="00AB3791">
        <w:rPr>
          <w:rFonts w:ascii="Times New Roman" w:hAnsi="Times New Roman" w:cs="Times New Roman"/>
          <w:sz w:val="24"/>
          <w:szCs w:val="24"/>
          <w:lang w:val="es-419"/>
        </w:rPr>
        <w:t xml:space="preserve"> (1996) dan énfasis en las capacidades verbales, como un aspecto fundamental que permite comprender el mundo político.  Así mismo, Álvarez (2003) en su tesis magistral, expone un recorrido teórico que clasifica la relación de distintas vertientes con la lectura como elemento fundamental para la </w:t>
      </w:r>
      <w:r w:rsidR="00412E80">
        <w:rPr>
          <w:rFonts w:ascii="Times New Roman" w:hAnsi="Times New Roman" w:cs="Times New Roman"/>
          <w:sz w:val="24"/>
          <w:szCs w:val="24"/>
          <w:lang w:val="es-419"/>
        </w:rPr>
        <w:t>vida política</w:t>
      </w:r>
      <w:r w:rsidRPr="00AB3791">
        <w:rPr>
          <w:rFonts w:ascii="Times New Roman" w:hAnsi="Times New Roman" w:cs="Times New Roman"/>
          <w:sz w:val="24"/>
          <w:szCs w:val="24"/>
          <w:lang w:val="es-419"/>
        </w:rPr>
        <w:t xml:space="preserve">, señalando que renombrados autores como Gramsci y Paolo Freire, destacan el papel de la lectura, como un medio por el cual el sujeto se emancipa políticamente, pudiendo con ello interactuar con su comunidad y buscar cambios en ella. </w:t>
      </w:r>
    </w:p>
    <w:p w14:paraId="55F1ACB5" w14:textId="77777777" w:rsidR="008B3178" w:rsidRPr="00AB3791" w:rsidRDefault="008B3178" w:rsidP="00710956">
      <w:pPr>
        <w:ind w:left="-567" w:firstLine="567"/>
        <w:jc w:val="both"/>
        <w:rPr>
          <w:rFonts w:ascii="Times New Roman" w:hAnsi="Times New Roman" w:cs="Times New Roman"/>
          <w:sz w:val="24"/>
          <w:szCs w:val="24"/>
          <w:lang w:val="es-419"/>
        </w:rPr>
      </w:pPr>
    </w:p>
    <w:p w14:paraId="337B82B5" w14:textId="42C8A586"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lastRenderedPageBreak/>
        <w:t xml:space="preserve">En consideración de lo planteado por estos autores, este trabajo propone que uno de los </w:t>
      </w:r>
      <w:r w:rsidR="007065AA" w:rsidRPr="00AB3791">
        <w:rPr>
          <w:rFonts w:ascii="Times New Roman" w:hAnsi="Times New Roman" w:cs="Times New Roman"/>
          <w:sz w:val="24"/>
          <w:szCs w:val="24"/>
          <w:lang w:val="es-419"/>
        </w:rPr>
        <w:t>constructos que</w:t>
      </w:r>
      <w:r w:rsidRPr="00AB3791">
        <w:rPr>
          <w:rFonts w:ascii="Times New Roman" w:hAnsi="Times New Roman" w:cs="Times New Roman"/>
          <w:sz w:val="24"/>
          <w:szCs w:val="24"/>
          <w:lang w:val="es-419"/>
        </w:rPr>
        <w:t xml:space="preserve"> puede mediar la relación entre capital cultural de los padres y conocimiento cívico de los hijos, así como las expectativas de participación de </w:t>
      </w:r>
      <w:r w:rsidR="007065AA" w:rsidRPr="00AB3791">
        <w:rPr>
          <w:rFonts w:ascii="Times New Roman" w:hAnsi="Times New Roman" w:cs="Times New Roman"/>
          <w:sz w:val="24"/>
          <w:szCs w:val="24"/>
          <w:lang w:val="es-419"/>
        </w:rPr>
        <w:t>estos</w:t>
      </w:r>
      <w:r w:rsidRPr="00AB3791">
        <w:rPr>
          <w:rFonts w:ascii="Times New Roman" w:hAnsi="Times New Roman" w:cs="Times New Roman"/>
          <w:sz w:val="24"/>
          <w:szCs w:val="24"/>
          <w:lang w:val="es-419"/>
        </w:rPr>
        <w:t xml:space="preserve">, son las habilidades </w:t>
      </w:r>
      <w:r w:rsidR="007065AA" w:rsidRPr="00AB3791">
        <w:rPr>
          <w:rFonts w:ascii="Times New Roman" w:hAnsi="Times New Roman" w:cs="Times New Roman"/>
          <w:sz w:val="24"/>
          <w:szCs w:val="24"/>
          <w:lang w:val="es-419"/>
        </w:rPr>
        <w:t>del lenguaje</w:t>
      </w:r>
      <w:r w:rsidRPr="00AB3791">
        <w:rPr>
          <w:rFonts w:ascii="Times New Roman" w:hAnsi="Times New Roman" w:cs="Times New Roman"/>
          <w:sz w:val="24"/>
          <w:szCs w:val="24"/>
          <w:lang w:val="es-419"/>
        </w:rPr>
        <w:t>, las cuales pueden evaluarse a partir de los resultados de la comprensión lectora del</w:t>
      </w:r>
      <w:r w:rsidR="00A42B41" w:rsidRPr="00AB3791">
        <w:rPr>
          <w:rFonts w:ascii="Times New Roman" w:hAnsi="Times New Roman" w:cs="Times New Roman"/>
          <w:sz w:val="24"/>
          <w:szCs w:val="24"/>
          <w:lang w:val="es-419"/>
        </w:rPr>
        <w:t xml:space="preserve"> SIMCE</w:t>
      </w:r>
      <w:r w:rsidRPr="00AB3791">
        <w:rPr>
          <w:rFonts w:ascii="Times New Roman" w:hAnsi="Times New Roman" w:cs="Times New Roman"/>
          <w:sz w:val="24"/>
          <w:szCs w:val="24"/>
          <w:lang w:val="es-419"/>
        </w:rPr>
        <w:t>.  Una evidencia preliminar que da cuenta de la relación entre comprensión lectora y conocimiento c</w:t>
      </w:r>
      <w:r w:rsidR="00EF4E81" w:rsidRPr="00AB3791">
        <w:rPr>
          <w:rFonts w:ascii="Times New Roman" w:hAnsi="Times New Roman" w:cs="Times New Roman"/>
          <w:sz w:val="24"/>
          <w:szCs w:val="24"/>
          <w:lang w:val="es-419"/>
        </w:rPr>
        <w:t xml:space="preserve">ívico es </w:t>
      </w:r>
      <w:r w:rsidRPr="00AB3791">
        <w:rPr>
          <w:rFonts w:ascii="Times New Roman" w:hAnsi="Times New Roman" w:cs="Times New Roman"/>
          <w:sz w:val="24"/>
          <w:szCs w:val="24"/>
          <w:lang w:val="es-419"/>
        </w:rPr>
        <w:t xml:space="preserve">el siguiente gráfico que presenta </w:t>
      </w:r>
      <w:r w:rsidR="00EF4E81" w:rsidRPr="00AB3791">
        <w:rPr>
          <w:rFonts w:ascii="Times New Roman" w:hAnsi="Times New Roman" w:cs="Times New Roman"/>
          <w:sz w:val="24"/>
          <w:szCs w:val="24"/>
          <w:lang w:val="es-419"/>
        </w:rPr>
        <w:t>l</w:t>
      </w:r>
      <w:r w:rsidRPr="00AB3791">
        <w:rPr>
          <w:rFonts w:ascii="Times New Roman" w:hAnsi="Times New Roman" w:cs="Times New Roman"/>
          <w:sz w:val="24"/>
          <w:szCs w:val="24"/>
          <w:lang w:val="es-419"/>
        </w:rPr>
        <w:t xml:space="preserve">a </w:t>
      </w:r>
      <w:r w:rsidR="007065AA" w:rsidRPr="00AB3791">
        <w:rPr>
          <w:rFonts w:ascii="Times New Roman" w:hAnsi="Times New Roman" w:cs="Times New Roman"/>
          <w:sz w:val="24"/>
          <w:szCs w:val="24"/>
          <w:lang w:val="es-419"/>
        </w:rPr>
        <w:t>distribución</w:t>
      </w:r>
      <w:r w:rsidRPr="00AB3791">
        <w:rPr>
          <w:rFonts w:ascii="Times New Roman" w:hAnsi="Times New Roman" w:cs="Times New Roman"/>
          <w:sz w:val="24"/>
          <w:szCs w:val="24"/>
          <w:lang w:val="es-419"/>
        </w:rPr>
        <w:t xml:space="preserve"> de los </w:t>
      </w:r>
      <w:r w:rsidR="007065AA" w:rsidRPr="00AB3791">
        <w:rPr>
          <w:rFonts w:ascii="Times New Roman" w:hAnsi="Times New Roman" w:cs="Times New Roman"/>
          <w:sz w:val="24"/>
          <w:szCs w:val="24"/>
          <w:lang w:val="es-419"/>
        </w:rPr>
        <w:t>países</w:t>
      </w:r>
      <w:r w:rsidRPr="00AB3791">
        <w:rPr>
          <w:rFonts w:ascii="Times New Roman" w:hAnsi="Times New Roman" w:cs="Times New Roman"/>
          <w:sz w:val="24"/>
          <w:szCs w:val="24"/>
          <w:lang w:val="es-419"/>
        </w:rPr>
        <w:t xml:space="preserve"> según puntaje promedio de la prueba pisa de lectura y el puntaje promedio del conocimiento </w:t>
      </w:r>
      <w:r w:rsidR="007065AA" w:rsidRPr="00AB3791">
        <w:rPr>
          <w:rFonts w:ascii="Times New Roman" w:hAnsi="Times New Roman" w:cs="Times New Roman"/>
          <w:sz w:val="24"/>
          <w:szCs w:val="24"/>
          <w:lang w:val="es-419"/>
        </w:rPr>
        <w:t>cívico</w:t>
      </w:r>
      <w:r w:rsidRPr="00AB3791">
        <w:rPr>
          <w:rFonts w:ascii="Times New Roman" w:hAnsi="Times New Roman" w:cs="Times New Roman"/>
          <w:sz w:val="24"/>
          <w:szCs w:val="24"/>
          <w:lang w:val="es-419"/>
        </w:rPr>
        <w:t>.</w:t>
      </w:r>
    </w:p>
    <w:p w14:paraId="7E1F7C15" w14:textId="0FB214FD" w:rsidR="008B3178" w:rsidRPr="00AB3791" w:rsidRDefault="005C6BE3" w:rsidP="00280302">
      <w:pPr>
        <w:pStyle w:val="Ttulo1"/>
        <w:ind w:hanging="426"/>
        <w:rPr>
          <w:u w:val="thick" w:color="C45911"/>
        </w:rPr>
      </w:pPr>
      <w:r w:rsidRPr="00AB3791">
        <w:rPr>
          <w:u w:color="C45911"/>
        </w:rPr>
        <w:tab/>
      </w:r>
      <w:r w:rsidR="00584159" w:rsidRPr="00AB3791">
        <w:rPr>
          <w:u w:val="thick" w:color="C45911"/>
        </w:rPr>
        <w:t>Gráfico</w:t>
      </w:r>
      <w:r w:rsidR="00280302" w:rsidRPr="00AB3791">
        <w:rPr>
          <w:u w:val="thick" w:color="C45911"/>
        </w:rPr>
        <w:t xml:space="preserve"> </w:t>
      </w:r>
      <w:r w:rsidR="00E80C81" w:rsidRPr="00AB3791">
        <w:rPr>
          <w:u w:val="thick" w:color="C45911"/>
        </w:rPr>
        <w:t>1</w:t>
      </w:r>
      <w:r w:rsidR="00280302" w:rsidRPr="00AB3791">
        <w:rPr>
          <w:u w:val="thick" w:color="C45911"/>
        </w:rPr>
        <w:t xml:space="preserve">                                                                          </w:t>
      </w:r>
      <w:r w:rsidR="00E80C81" w:rsidRPr="00AB3791">
        <w:rPr>
          <w:u w:val="thick" w:color="C45911"/>
        </w:rPr>
        <w:t xml:space="preserve">                     </w:t>
      </w:r>
      <w:proofErr w:type="gramStart"/>
      <w:r w:rsidR="00E80C81" w:rsidRPr="00AB3791">
        <w:rPr>
          <w:u w:val="thick" w:color="C45911"/>
        </w:rPr>
        <w:t xml:space="preserve">  </w:t>
      </w:r>
      <w:r w:rsidR="002D46A9" w:rsidRPr="00AB3791">
        <w:rPr>
          <w:u w:val="thick" w:color="C45911"/>
        </w:rPr>
        <w:t>.</w:t>
      </w:r>
      <w:proofErr w:type="gramEnd"/>
    </w:p>
    <w:p w14:paraId="3D371135" w14:textId="303BFEAA" w:rsidR="00280302" w:rsidRPr="00AB3791" w:rsidRDefault="00710956"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noProof/>
          <w:sz w:val="24"/>
          <w:szCs w:val="24"/>
        </w:rPr>
        <w:drawing>
          <wp:inline distT="0" distB="0" distL="0" distR="0" wp14:anchorId="5A72A7EC" wp14:editId="784CE320">
            <wp:extent cx="5071745" cy="3038475"/>
            <wp:effectExtent l="0" t="0" r="14605" b="9525"/>
            <wp:docPr id="10" name="Gráfico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CB7E5BA" w14:textId="65F4F499" w:rsidR="00280302" w:rsidRPr="00AB3791" w:rsidRDefault="00280302" w:rsidP="00710956">
      <w:pPr>
        <w:ind w:left="-567" w:firstLine="567"/>
        <w:jc w:val="both"/>
        <w:rPr>
          <w:rFonts w:ascii="Times New Roman" w:hAnsi="Times New Roman" w:cs="Times New Roman"/>
          <w:sz w:val="24"/>
          <w:szCs w:val="24"/>
          <w:lang w:val="es-419"/>
        </w:rPr>
      </w:pPr>
    </w:p>
    <w:p w14:paraId="01587E4F" w14:textId="0516A7B7" w:rsidR="00280302" w:rsidRPr="00AB3791" w:rsidRDefault="005C6BE3"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Este grafico</w:t>
      </w:r>
      <w:r w:rsidR="00563567" w:rsidRPr="00AB3791">
        <w:rPr>
          <w:rFonts w:ascii="Times New Roman" w:hAnsi="Times New Roman" w:cs="Times New Roman"/>
          <w:sz w:val="24"/>
          <w:szCs w:val="24"/>
          <w:lang w:val="es-419"/>
        </w:rPr>
        <w:t xml:space="preserve"> a nivel agregado</w:t>
      </w:r>
      <w:r w:rsidRPr="00AB3791">
        <w:rPr>
          <w:rFonts w:ascii="Times New Roman" w:hAnsi="Times New Roman" w:cs="Times New Roman"/>
          <w:sz w:val="24"/>
          <w:szCs w:val="24"/>
          <w:lang w:val="es-419"/>
        </w:rPr>
        <w:t xml:space="preserve"> es bastante sugerente respecto a la necesidad de contar con una adecuada comprensión lectora para </w:t>
      </w:r>
      <w:r w:rsidR="00D262D5" w:rsidRPr="00AB3791">
        <w:rPr>
          <w:rFonts w:ascii="Times New Roman" w:hAnsi="Times New Roman" w:cs="Times New Roman"/>
          <w:sz w:val="24"/>
          <w:szCs w:val="24"/>
          <w:lang w:val="es-419"/>
        </w:rPr>
        <w:t>interiorizar</w:t>
      </w:r>
      <w:r w:rsidRPr="00AB3791">
        <w:rPr>
          <w:rFonts w:ascii="Times New Roman" w:hAnsi="Times New Roman" w:cs="Times New Roman"/>
          <w:sz w:val="24"/>
          <w:szCs w:val="24"/>
          <w:lang w:val="es-419"/>
        </w:rPr>
        <w:t xml:space="preserve"> los conocimientos cívicos.</w:t>
      </w:r>
      <w:r w:rsidR="00D262D5" w:rsidRPr="00AB3791">
        <w:rPr>
          <w:rFonts w:ascii="Times New Roman" w:hAnsi="Times New Roman" w:cs="Times New Roman"/>
          <w:sz w:val="24"/>
          <w:szCs w:val="24"/>
          <w:lang w:val="es-419"/>
        </w:rPr>
        <w:t xml:space="preserve"> Así,</w:t>
      </w:r>
      <w:r w:rsidRPr="00AB3791">
        <w:rPr>
          <w:rFonts w:ascii="Times New Roman" w:hAnsi="Times New Roman" w:cs="Times New Roman"/>
          <w:sz w:val="24"/>
          <w:szCs w:val="24"/>
          <w:lang w:val="es-419"/>
        </w:rPr>
        <w:t xml:space="preserve"> </w:t>
      </w:r>
      <w:r w:rsidR="00D262D5" w:rsidRPr="00AB3791">
        <w:rPr>
          <w:rFonts w:ascii="Times New Roman" w:hAnsi="Times New Roman" w:cs="Times New Roman"/>
          <w:sz w:val="24"/>
          <w:szCs w:val="24"/>
          <w:lang w:val="es-419"/>
        </w:rPr>
        <w:t>p</w:t>
      </w:r>
      <w:r w:rsidRPr="00AB3791">
        <w:rPr>
          <w:rFonts w:ascii="Times New Roman" w:hAnsi="Times New Roman" w:cs="Times New Roman"/>
          <w:sz w:val="24"/>
          <w:szCs w:val="24"/>
          <w:lang w:val="es-419"/>
        </w:rPr>
        <w:t xml:space="preserve">or ejemplo, Republica Dominicana, que </w:t>
      </w:r>
      <w:r w:rsidR="00D262D5" w:rsidRPr="00AB3791">
        <w:rPr>
          <w:rFonts w:ascii="Times New Roman" w:hAnsi="Times New Roman" w:cs="Times New Roman"/>
          <w:sz w:val="24"/>
          <w:szCs w:val="24"/>
          <w:lang w:val="es-419"/>
        </w:rPr>
        <w:t>está representado por el caso de menor valor para ambas variables,</w:t>
      </w:r>
      <w:r w:rsidRPr="00AB3791">
        <w:rPr>
          <w:rFonts w:ascii="Times New Roman" w:hAnsi="Times New Roman" w:cs="Times New Roman"/>
          <w:sz w:val="24"/>
          <w:szCs w:val="24"/>
          <w:lang w:val="es-419"/>
        </w:rPr>
        <w:t xml:space="preserve"> </w:t>
      </w:r>
      <w:r w:rsidR="00D262D5" w:rsidRPr="00AB3791">
        <w:rPr>
          <w:rFonts w:ascii="Times New Roman" w:hAnsi="Times New Roman" w:cs="Times New Roman"/>
          <w:sz w:val="24"/>
          <w:szCs w:val="24"/>
          <w:lang w:val="es-419"/>
        </w:rPr>
        <w:t xml:space="preserve">es un caso bastante enigmático, </w:t>
      </w:r>
      <w:r w:rsidR="00563567" w:rsidRPr="00AB3791">
        <w:rPr>
          <w:rFonts w:ascii="Times New Roman" w:hAnsi="Times New Roman" w:cs="Times New Roman"/>
          <w:sz w:val="24"/>
          <w:szCs w:val="24"/>
          <w:lang w:val="es-419"/>
        </w:rPr>
        <w:t xml:space="preserve">ya que este pais, pese a contar </w:t>
      </w:r>
      <w:r w:rsidR="001F5BE9" w:rsidRPr="00AB3791">
        <w:rPr>
          <w:rFonts w:ascii="Times New Roman" w:hAnsi="Times New Roman" w:cs="Times New Roman"/>
          <w:sz w:val="24"/>
          <w:szCs w:val="24"/>
          <w:lang w:val="es-419"/>
        </w:rPr>
        <w:t xml:space="preserve">con educación cívica y ciudadana en un ramo abocado exclusivamente a ello, es el pais con menor puntaje cívico en la región (ICCS, 2016). Este hecho, puede ser explicado por la </w:t>
      </w:r>
      <w:r w:rsidR="002E7ECB" w:rsidRPr="00AB3791">
        <w:rPr>
          <w:rFonts w:ascii="Times New Roman" w:hAnsi="Times New Roman" w:cs="Times New Roman"/>
          <w:sz w:val="24"/>
          <w:szCs w:val="24"/>
          <w:lang w:val="es-419"/>
        </w:rPr>
        <w:t>propuesta de este trabajo,</w:t>
      </w:r>
      <w:r w:rsidR="001F5BE9" w:rsidRPr="00AB3791">
        <w:rPr>
          <w:rFonts w:ascii="Times New Roman" w:hAnsi="Times New Roman" w:cs="Times New Roman"/>
          <w:sz w:val="24"/>
          <w:szCs w:val="24"/>
          <w:lang w:val="es-419"/>
        </w:rPr>
        <w:t xml:space="preserve"> es decir, puede que los bajos niveles de </w:t>
      </w:r>
      <w:r w:rsidR="002E7ECB" w:rsidRPr="00AB3791">
        <w:rPr>
          <w:rFonts w:ascii="Times New Roman" w:hAnsi="Times New Roman" w:cs="Times New Roman"/>
          <w:sz w:val="24"/>
          <w:szCs w:val="24"/>
          <w:lang w:val="es-419"/>
        </w:rPr>
        <w:t>comprensión</w:t>
      </w:r>
      <w:r w:rsidR="001F5BE9" w:rsidRPr="00AB3791">
        <w:rPr>
          <w:rFonts w:ascii="Times New Roman" w:hAnsi="Times New Roman" w:cs="Times New Roman"/>
          <w:sz w:val="24"/>
          <w:szCs w:val="24"/>
          <w:lang w:val="es-419"/>
        </w:rPr>
        <w:t xml:space="preserve"> lectora de los </w:t>
      </w:r>
      <w:r w:rsidR="002E7ECB" w:rsidRPr="00AB3791">
        <w:rPr>
          <w:rFonts w:ascii="Times New Roman" w:hAnsi="Times New Roman" w:cs="Times New Roman"/>
          <w:sz w:val="24"/>
          <w:szCs w:val="24"/>
          <w:lang w:val="es-419"/>
        </w:rPr>
        <w:t>dominicanos</w:t>
      </w:r>
      <w:r w:rsidR="001F5BE9" w:rsidRPr="00AB3791">
        <w:rPr>
          <w:rFonts w:ascii="Times New Roman" w:hAnsi="Times New Roman" w:cs="Times New Roman"/>
          <w:sz w:val="24"/>
          <w:szCs w:val="24"/>
          <w:lang w:val="es-419"/>
        </w:rPr>
        <w:t xml:space="preserve"> les dificulte </w:t>
      </w:r>
      <w:r w:rsidR="002E7ECB" w:rsidRPr="00AB3791">
        <w:rPr>
          <w:rFonts w:ascii="Times New Roman" w:hAnsi="Times New Roman" w:cs="Times New Roman"/>
          <w:sz w:val="24"/>
          <w:szCs w:val="24"/>
          <w:lang w:val="es-419"/>
        </w:rPr>
        <w:t>interiorizar</w:t>
      </w:r>
      <w:r w:rsidR="001F5BE9" w:rsidRPr="00AB3791">
        <w:rPr>
          <w:rFonts w:ascii="Times New Roman" w:hAnsi="Times New Roman" w:cs="Times New Roman"/>
          <w:sz w:val="24"/>
          <w:szCs w:val="24"/>
          <w:lang w:val="es-419"/>
        </w:rPr>
        <w:t xml:space="preserve"> los contenidos</w:t>
      </w:r>
      <w:r w:rsidR="002E7ECB" w:rsidRPr="00AB3791">
        <w:rPr>
          <w:rFonts w:ascii="Times New Roman" w:hAnsi="Times New Roman" w:cs="Times New Roman"/>
          <w:sz w:val="24"/>
          <w:szCs w:val="24"/>
          <w:lang w:val="es-419"/>
        </w:rPr>
        <w:t xml:space="preserve"> cívicos y ciudadanos enseñados en la asignatura respectiva. </w:t>
      </w:r>
    </w:p>
    <w:p w14:paraId="512CBF44" w14:textId="2C0ABAC1" w:rsidR="002E7ECB" w:rsidRPr="00AB3791" w:rsidRDefault="002E7ECB" w:rsidP="00710956">
      <w:pPr>
        <w:ind w:left="-567" w:firstLine="567"/>
        <w:jc w:val="both"/>
        <w:rPr>
          <w:rFonts w:ascii="Times New Roman" w:hAnsi="Times New Roman" w:cs="Times New Roman"/>
          <w:sz w:val="24"/>
          <w:szCs w:val="24"/>
          <w:lang w:val="es-419"/>
        </w:rPr>
      </w:pPr>
    </w:p>
    <w:p w14:paraId="2130DB0A" w14:textId="44C6FAE8" w:rsidR="002D46A9" w:rsidRPr="00AB3791" w:rsidRDefault="002E7ECB"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Otro aspecto que parece interesante del </w:t>
      </w:r>
      <w:r w:rsidR="00B91CE3" w:rsidRPr="00AB3791">
        <w:rPr>
          <w:rFonts w:ascii="Times New Roman" w:hAnsi="Times New Roman" w:cs="Times New Roman"/>
          <w:sz w:val="24"/>
          <w:szCs w:val="24"/>
          <w:lang w:val="es-419"/>
        </w:rPr>
        <w:t>gráfico</w:t>
      </w:r>
      <w:r w:rsidRPr="00AB3791">
        <w:rPr>
          <w:rFonts w:ascii="Times New Roman" w:hAnsi="Times New Roman" w:cs="Times New Roman"/>
          <w:sz w:val="24"/>
          <w:szCs w:val="24"/>
          <w:lang w:val="es-419"/>
        </w:rPr>
        <w:t xml:space="preserve"> es que la linealidad que parece bastante </w:t>
      </w:r>
      <w:r w:rsidR="00B91CE3" w:rsidRPr="00AB3791">
        <w:rPr>
          <w:rFonts w:ascii="Times New Roman" w:hAnsi="Times New Roman" w:cs="Times New Roman"/>
          <w:sz w:val="24"/>
          <w:szCs w:val="24"/>
          <w:lang w:val="es-419"/>
        </w:rPr>
        <w:t>marcada</w:t>
      </w:r>
      <w:r w:rsidRPr="00AB3791">
        <w:rPr>
          <w:rFonts w:ascii="Times New Roman" w:hAnsi="Times New Roman" w:cs="Times New Roman"/>
          <w:sz w:val="24"/>
          <w:szCs w:val="24"/>
          <w:lang w:val="es-419"/>
        </w:rPr>
        <w:t xml:space="preserve"> pasa a ser imprecisa para la predicción del conocimiento cívico en los puntajes más altos de comprensión lectora</w:t>
      </w:r>
      <w:r w:rsidR="00B91CE3" w:rsidRPr="00AB3791">
        <w:rPr>
          <w:rFonts w:ascii="Times New Roman" w:hAnsi="Times New Roman" w:cs="Times New Roman"/>
          <w:sz w:val="24"/>
          <w:szCs w:val="24"/>
          <w:lang w:val="es-419"/>
        </w:rPr>
        <w:t xml:space="preserve">, incluso si uno solo considera los países que tienen más de 500 puntos en la prueba PISA de comprensión lectora, la distribución de los puntos parece dar cuenta de una relación entre variables menos marcada. En consideracion de esto, puede suponerse, aunque de manera un poco apresurada, </w:t>
      </w:r>
      <w:r w:rsidR="002D46A9" w:rsidRPr="00AB3791">
        <w:rPr>
          <w:rFonts w:ascii="Times New Roman" w:hAnsi="Times New Roman" w:cs="Times New Roman"/>
          <w:sz w:val="24"/>
          <w:szCs w:val="24"/>
          <w:lang w:val="es-419"/>
        </w:rPr>
        <w:t>que,</w:t>
      </w:r>
      <w:r w:rsidR="00B91CE3" w:rsidRPr="00AB3791">
        <w:rPr>
          <w:rFonts w:ascii="Times New Roman" w:hAnsi="Times New Roman" w:cs="Times New Roman"/>
          <w:sz w:val="24"/>
          <w:szCs w:val="24"/>
          <w:lang w:val="es-419"/>
        </w:rPr>
        <w:t xml:space="preserve"> a partir de cierto nivel de </w:t>
      </w:r>
      <w:r w:rsidR="00B4288C" w:rsidRPr="00AB3791">
        <w:rPr>
          <w:rFonts w:ascii="Times New Roman" w:hAnsi="Times New Roman" w:cs="Times New Roman"/>
          <w:sz w:val="24"/>
          <w:szCs w:val="24"/>
          <w:lang w:val="es-419"/>
        </w:rPr>
        <w:t>comprensión</w:t>
      </w:r>
      <w:r w:rsidR="00B91CE3" w:rsidRPr="00AB3791">
        <w:rPr>
          <w:rFonts w:ascii="Times New Roman" w:hAnsi="Times New Roman" w:cs="Times New Roman"/>
          <w:sz w:val="24"/>
          <w:szCs w:val="24"/>
          <w:lang w:val="es-419"/>
        </w:rPr>
        <w:t xml:space="preserve"> lectora, se hacen </w:t>
      </w:r>
      <w:r w:rsidR="00B4288C" w:rsidRPr="00AB3791">
        <w:rPr>
          <w:rFonts w:ascii="Times New Roman" w:hAnsi="Times New Roman" w:cs="Times New Roman"/>
          <w:sz w:val="24"/>
          <w:szCs w:val="24"/>
          <w:lang w:val="es-419"/>
        </w:rPr>
        <w:t>más</w:t>
      </w:r>
      <w:r w:rsidR="00B91CE3" w:rsidRPr="00AB3791">
        <w:rPr>
          <w:rFonts w:ascii="Times New Roman" w:hAnsi="Times New Roman" w:cs="Times New Roman"/>
          <w:sz w:val="24"/>
          <w:szCs w:val="24"/>
          <w:lang w:val="es-419"/>
        </w:rPr>
        <w:t xml:space="preserve"> influyentes otras variables contextuales, como el </w:t>
      </w:r>
      <w:r w:rsidR="00B4288C" w:rsidRPr="00AB3791">
        <w:rPr>
          <w:rFonts w:ascii="Times New Roman" w:hAnsi="Times New Roman" w:cs="Times New Roman"/>
          <w:sz w:val="24"/>
          <w:szCs w:val="24"/>
          <w:lang w:val="es-419"/>
        </w:rPr>
        <w:t>interés</w:t>
      </w:r>
      <w:r w:rsidR="00B91CE3" w:rsidRPr="00AB3791">
        <w:rPr>
          <w:rFonts w:ascii="Times New Roman" w:hAnsi="Times New Roman" w:cs="Times New Roman"/>
          <w:sz w:val="24"/>
          <w:szCs w:val="24"/>
          <w:lang w:val="es-419"/>
        </w:rPr>
        <w:t xml:space="preserve"> de los gobiernos y establecimientos educativos de</w:t>
      </w:r>
      <w:r w:rsidR="00B4288C" w:rsidRPr="00AB3791">
        <w:rPr>
          <w:rFonts w:ascii="Times New Roman" w:hAnsi="Times New Roman" w:cs="Times New Roman"/>
          <w:sz w:val="24"/>
          <w:szCs w:val="24"/>
          <w:lang w:val="es-419"/>
        </w:rPr>
        <w:t xml:space="preserve"> enseñar y fomentar el conocimiento cívico. En esta línea, por ejemplo, Dinamarca, que es el pais con mejor conocimiento cívico dentro de los casos del gráfico, es, a su vez, el 6to </w:t>
      </w:r>
      <w:r w:rsidR="007E14DB" w:rsidRPr="00AB3791">
        <w:rPr>
          <w:rFonts w:ascii="Times New Roman" w:hAnsi="Times New Roman" w:cs="Times New Roman"/>
          <w:sz w:val="24"/>
          <w:szCs w:val="24"/>
          <w:lang w:val="es-419"/>
        </w:rPr>
        <w:t>lugar</w:t>
      </w:r>
      <w:r w:rsidR="00B4288C" w:rsidRPr="00AB3791">
        <w:rPr>
          <w:rFonts w:ascii="Times New Roman" w:hAnsi="Times New Roman" w:cs="Times New Roman"/>
          <w:sz w:val="24"/>
          <w:szCs w:val="24"/>
          <w:lang w:val="es-419"/>
        </w:rPr>
        <w:t xml:space="preserve"> en términos de comprensión lectora, siendo el conocimiento cívico fomentado por políticas particulares enfocadas en ello, las cuales no solo se basan en asignaturas abocadas a la temática, sino que incluye, además </w:t>
      </w:r>
      <w:r w:rsidR="007E14DB" w:rsidRPr="00AB3791">
        <w:rPr>
          <w:rFonts w:ascii="Times New Roman" w:hAnsi="Times New Roman" w:cs="Times New Roman"/>
          <w:sz w:val="24"/>
          <w:szCs w:val="24"/>
          <w:lang w:val="es-419"/>
        </w:rPr>
        <w:t xml:space="preserve">la participación </w:t>
      </w:r>
      <w:r w:rsidR="002D46A9" w:rsidRPr="00AB3791">
        <w:rPr>
          <w:rFonts w:ascii="Times New Roman" w:hAnsi="Times New Roman" w:cs="Times New Roman"/>
          <w:sz w:val="24"/>
          <w:szCs w:val="24"/>
          <w:lang w:val="es-419"/>
        </w:rPr>
        <w:t>en decisiones con implicancias concretas dentro de los establecimientos</w:t>
      </w:r>
      <w:r w:rsidR="00412E80">
        <w:rPr>
          <w:rFonts w:ascii="Times New Roman" w:hAnsi="Times New Roman" w:cs="Times New Roman"/>
          <w:sz w:val="24"/>
          <w:szCs w:val="24"/>
          <w:lang w:val="es-419"/>
        </w:rPr>
        <w:t xml:space="preserve"> educativos</w:t>
      </w:r>
      <w:r w:rsidR="002D46A9" w:rsidRPr="00AB3791">
        <w:rPr>
          <w:rFonts w:ascii="Times New Roman" w:hAnsi="Times New Roman" w:cs="Times New Roman"/>
          <w:sz w:val="24"/>
          <w:szCs w:val="24"/>
          <w:lang w:val="es-419"/>
        </w:rPr>
        <w:t xml:space="preserve"> (</w:t>
      </w:r>
      <w:r w:rsidR="00EF4E81" w:rsidRPr="00AB3791">
        <w:rPr>
          <w:rFonts w:ascii="Times New Roman" w:hAnsi="Times New Roman" w:cs="Times New Roman"/>
          <w:sz w:val="24"/>
          <w:szCs w:val="24"/>
          <w:lang w:val="es-419"/>
        </w:rPr>
        <w:t xml:space="preserve">Naval, </w:t>
      </w:r>
      <w:proofErr w:type="spellStart"/>
      <w:r w:rsidR="00EF4E81" w:rsidRPr="00AB3791">
        <w:rPr>
          <w:rFonts w:ascii="Times New Roman" w:hAnsi="Times New Roman" w:cs="Times New Roman"/>
          <w:sz w:val="24"/>
          <w:szCs w:val="24"/>
          <w:lang w:val="es-419"/>
        </w:rPr>
        <w:t>Print</w:t>
      </w:r>
      <w:proofErr w:type="spellEnd"/>
      <w:r w:rsidR="00EF4E81" w:rsidRPr="00AB3791">
        <w:rPr>
          <w:rFonts w:ascii="Times New Roman" w:hAnsi="Times New Roman" w:cs="Times New Roman"/>
          <w:sz w:val="24"/>
          <w:szCs w:val="24"/>
          <w:lang w:val="es-419"/>
        </w:rPr>
        <w:t xml:space="preserve">, &amp; </w:t>
      </w:r>
      <w:proofErr w:type="spellStart"/>
      <w:r w:rsidR="00EF4E81" w:rsidRPr="00AB3791">
        <w:rPr>
          <w:rFonts w:ascii="Times New Roman" w:hAnsi="Times New Roman" w:cs="Times New Roman"/>
          <w:sz w:val="24"/>
          <w:szCs w:val="24"/>
          <w:lang w:val="es-419"/>
        </w:rPr>
        <w:t>Veldhuis</w:t>
      </w:r>
      <w:proofErr w:type="spellEnd"/>
      <w:r w:rsidR="00EF4E81" w:rsidRPr="00AB3791">
        <w:rPr>
          <w:rFonts w:ascii="Times New Roman" w:hAnsi="Times New Roman" w:cs="Times New Roman"/>
          <w:sz w:val="24"/>
          <w:szCs w:val="24"/>
          <w:lang w:val="es-419"/>
        </w:rPr>
        <w:t xml:space="preserve">, </w:t>
      </w:r>
      <w:r w:rsidR="00EF4E81" w:rsidRPr="00AB3791">
        <w:rPr>
          <w:rFonts w:ascii="Times New Roman" w:hAnsi="Times New Roman" w:cs="Times New Roman"/>
          <w:sz w:val="24"/>
          <w:szCs w:val="24"/>
          <w:lang w:val="es-419"/>
        </w:rPr>
        <w:lastRenderedPageBreak/>
        <w:t>2002</w:t>
      </w:r>
      <w:r w:rsidR="002D46A9" w:rsidRPr="00AB3791">
        <w:rPr>
          <w:rFonts w:ascii="Times New Roman" w:hAnsi="Times New Roman" w:cs="Times New Roman"/>
          <w:sz w:val="24"/>
          <w:szCs w:val="24"/>
          <w:lang w:val="es-419"/>
        </w:rPr>
        <w:t>). En función de esto, se pueden plantear dos ideas: La primera, es que la comprensión lectora, si bien es necesaria como una base, no es definitoria para el conocimiento cívico, sino que son de crucial relevancia las políticas de los países al respecto</w:t>
      </w:r>
      <w:r w:rsidR="00FC78B2" w:rsidRPr="00AB3791">
        <w:rPr>
          <w:rFonts w:ascii="Times New Roman" w:hAnsi="Times New Roman" w:cs="Times New Roman"/>
          <w:sz w:val="24"/>
          <w:szCs w:val="24"/>
          <w:lang w:val="es-419"/>
        </w:rPr>
        <w:t>. La segunda, es que parece interesante evaluar el efecto que pueden tener las políticas escolares</w:t>
      </w:r>
      <w:r w:rsidR="00412E80">
        <w:rPr>
          <w:rFonts w:ascii="Times New Roman" w:hAnsi="Times New Roman" w:cs="Times New Roman"/>
          <w:sz w:val="24"/>
          <w:szCs w:val="24"/>
          <w:lang w:val="es-419"/>
        </w:rPr>
        <w:t xml:space="preserve"> que busquen mejorar el conocimiento cívico de los estudiantes</w:t>
      </w:r>
      <w:r w:rsidR="00FC78B2" w:rsidRPr="00AB3791">
        <w:rPr>
          <w:rFonts w:ascii="Times New Roman" w:hAnsi="Times New Roman" w:cs="Times New Roman"/>
          <w:sz w:val="24"/>
          <w:szCs w:val="24"/>
          <w:lang w:val="es-419"/>
        </w:rPr>
        <w:t xml:space="preserve">, en </w:t>
      </w:r>
      <w:r w:rsidR="00412E80" w:rsidRPr="00AB3791">
        <w:rPr>
          <w:rFonts w:ascii="Times New Roman" w:hAnsi="Times New Roman" w:cs="Times New Roman"/>
          <w:sz w:val="24"/>
          <w:szCs w:val="24"/>
          <w:lang w:val="es-419"/>
        </w:rPr>
        <w:t>consideración</w:t>
      </w:r>
      <w:r w:rsidR="00FC78B2" w:rsidRPr="00AB3791">
        <w:rPr>
          <w:rFonts w:ascii="Times New Roman" w:hAnsi="Times New Roman" w:cs="Times New Roman"/>
          <w:sz w:val="24"/>
          <w:szCs w:val="24"/>
          <w:lang w:val="es-419"/>
        </w:rPr>
        <w:t xml:space="preserve"> de la interacción de estas</w:t>
      </w:r>
      <w:r w:rsidR="00412E80">
        <w:rPr>
          <w:rFonts w:ascii="Times New Roman" w:hAnsi="Times New Roman" w:cs="Times New Roman"/>
          <w:sz w:val="24"/>
          <w:szCs w:val="24"/>
          <w:lang w:val="es-419"/>
        </w:rPr>
        <w:t xml:space="preserve"> </w:t>
      </w:r>
      <w:r w:rsidR="008B032C">
        <w:rPr>
          <w:rFonts w:ascii="Times New Roman" w:hAnsi="Times New Roman" w:cs="Times New Roman"/>
          <w:sz w:val="24"/>
          <w:szCs w:val="24"/>
          <w:lang w:val="es-419"/>
        </w:rPr>
        <w:t>políticas</w:t>
      </w:r>
      <w:r w:rsidR="00FC78B2" w:rsidRPr="00AB3791">
        <w:rPr>
          <w:rFonts w:ascii="Times New Roman" w:hAnsi="Times New Roman" w:cs="Times New Roman"/>
          <w:sz w:val="24"/>
          <w:szCs w:val="24"/>
          <w:lang w:val="es-419"/>
        </w:rPr>
        <w:t xml:space="preserve"> con los niveles de comprensión </w:t>
      </w:r>
      <w:r w:rsidR="008B032C">
        <w:rPr>
          <w:rFonts w:ascii="Times New Roman" w:hAnsi="Times New Roman" w:cs="Times New Roman"/>
          <w:sz w:val="24"/>
          <w:szCs w:val="24"/>
          <w:lang w:val="es-419"/>
        </w:rPr>
        <w:t xml:space="preserve">lectora </w:t>
      </w:r>
      <w:r w:rsidR="00FC78B2" w:rsidRPr="00AB3791">
        <w:rPr>
          <w:rFonts w:ascii="Times New Roman" w:hAnsi="Times New Roman" w:cs="Times New Roman"/>
          <w:sz w:val="24"/>
          <w:szCs w:val="24"/>
          <w:lang w:val="es-419"/>
        </w:rPr>
        <w:t>de los estudiantes,</w:t>
      </w:r>
      <w:r w:rsidR="008B032C">
        <w:rPr>
          <w:rFonts w:ascii="Times New Roman" w:hAnsi="Times New Roman" w:cs="Times New Roman"/>
          <w:sz w:val="24"/>
          <w:szCs w:val="24"/>
          <w:lang w:val="es-419"/>
        </w:rPr>
        <w:t xml:space="preserve"> lo que podría generar evidencia muy interesante respecto a la utilidad de políticas de educación cívica en contextos de bajos niveles de comprensión lectora. </w:t>
      </w:r>
      <w:r w:rsidR="00FC78B2" w:rsidRPr="00AB3791">
        <w:rPr>
          <w:rFonts w:ascii="Times New Roman" w:hAnsi="Times New Roman" w:cs="Times New Roman"/>
          <w:sz w:val="24"/>
          <w:szCs w:val="24"/>
          <w:lang w:val="es-419"/>
        </w:rPr>
        <w:t xml:space="preserve"> </w:t>
      </w:r>
      <w:r w:rsidR="008B032C">
        <w:rPr>
          <w:rFonts w:ascii="Times New Roman" w:hAnsi="Times New Roman" w:cs="Times New Roman"/>
          <w:sz w:val="24"/>
          <w:szCs w:val="24"/>
          <w:lang w:val="es-419"/>
        </w:rPr>
        <w:t>S</w:t>
      </w:r>
      <w:r w:rsidR="00FC78B2" w:rsidRPr="00AB3791">
        <w:rPr>
          <w:rFonts w:ascii="Times New Roman" w:hAnsi="Times New Roman" w:cs="Times New Roman"/>
          <w:sz w:val="24"/>
          <w:szCs w:val="24"/>
          <w:lang w:val="es-419"/>
        </w:rPr>
        <w:t xml:space="preserve">e </w:t>
      </w:r>
      <w:r w:rsidR="008B032C" w:rsidRPr="00AB3791">
        <w:rPr>
          <w:rFonts w:ascii="Times New Roman" w:hAnsi="Times New Roman" w:cs="Times New Roman"/>
          <w:sz w:val="24"/>
          <w:szCs w:val="24"/>
          <w:lang w:val="es-419"/>
        </w:rPr>
        <w:t>evaluará</w:t>
      </w:r>
      <w:r w:rsidR="00FC78B2" w:rsidRPr="00AB3791">
        <w:rPr>
          <w:rFonts w:ascii="Times New Roman" w:hAnsi="Times New Roman" w:cs="Times New Roman"/>
          <w:sz w:val="24"/>
          <w:szCs w:val="24"/>
          <w:lang w:val="es-419"/>
        </w:rPr>
        <w:t xml:space="preserve"> incluir esto en siguientes entregas. </w:t>
      </w:r>
    </w:p>
    <w:p w14:paraId="4BDAC902" w14:textId="051EED58" w:rsidR="008B3178" w:rsidRPr="00AB3791" w:rsidRDefault="00FC78B2"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Dicho sea de paso,</w:t>
      </w:r>
      <w:r w:rsidR="008B3178" w:rsidRPr="00AB3791">
        <w:rPr>
          <w:rFonts w:ascii="Times New Roman" w:hAnsi="Times New Roman" w:cs="Times New Roman"/>
          <w:sz w:val="24"/>
          <w:szCs w:val="24"/>
          <w:lang w:val="es-419"/>
        </w:rPr>
        <w:t xml:space="preserve"> esta propuesta de tesis </w:t>
      </w:r>
      <w:r w:rsidRPr="00AB3791">
        <w:rPr>
          <w:rFonts w:ascii="Times New Roman" w:hAnsi="Times New Roman" w:cs="Times New Roman"/>
          <w:sz w:val="24"/>
          <w:szCs w:val="24"/>
          <w:lang w:val="es-419"/>
        </w:rPr>
        <w:t>hipotetiza</w:t>
      </w:r>
      <w:r w:rsidR="008B3178" w:rsidRPr="00AB3791">
        <w:rPr>
          <w:rFonts w:ascii="Times New Roman" w:hAnsi="Times New Roman" w:cs="Times New Roman"/>
          <w:sz w:val="24"/>
          <w:szCs w:val="24"/>
          <w:lang w:val="es-419"/>
        </w:rPr>
        <w:t xml:space="preserve"> un efecto interacción entre </w:t>
      </w:r>
      <w:r w:rsidRPr="00AB3791">
        <w:rPr>
          <w:rFonts w:ascii="Times New Roman" w:hAnsi="Times New Roman" w:cs="Times New Roman"/>
          <w:sz w:val="24"/>
          <w:szCs w:val="24"/>
          <w:lang w:val="es-419"/>
        </w:rPr>
        <w:t xml:space="preserve">la comprensión lectora y el interés político, </w:t>
      </w:r>
      <w:r w:rsidR="008B3178" w:rsidRPr="00AB3791">
        <w:rPr>
          <w:rFonts w:ascii="Times New Roman" w:hAnsi="Times New Roman" w:cs="Times New Roman"/>
          <w:sz w:val="24"/>
          <w:szCs w:val="24"/>
          <w:lang w:val="es-419"/>
        </w:rPr>
        <w:t xml:space="preserve">para explicar tanto conocimiento cívico como participación. Esto se deduce del hecho de </w:t>
      </w:r>
      <w:r w:rsidRPr="00AB3791">
        <w:rPr>
          <w:rFonts w:ascii="Times New Roman" w:hAnsi="Times New Roman" w:cs="Times New Roman"/>
          <w:sz w:val="24"/>
          <w:szCs w:val="24"/>
          <w:lang w:val="es-419"/>
        </w:rPr>
        <w:t>que,</w:t>
      </w:r>
      <w:r w:rsidR="008B3178" w:rsidRPr="00AB3791">
        <w:rPr>
          <w:rFonts w:ascii="Times New Roman" w:hAnsi="Times New Roman" w:cs="Times New Roman"/>
          <w:sz w:val="24"/>
          <w:szCs w:val="24"/>
          <w:lang w:val="es-419"/>
        </w:rPr>
        <w:t xml:space="preserve"> según la bibliografía</w:t>
      </w:r>
      <w:r w:rsidRPr="00AB3791">
        <w:rPr>
          <w:rFonts w:ascii="Times New Roman" w:hAnsi="Times New Roman" w:cs="Times New Roman"/>
          <w:sz w:val="24"/>
          <w:szCs w:val="24"/>
          <w:lang w:val="es-419"/>
        </w:rPr>
        <w:t xml:space="preserve"> y las reflexiones de este trabajo,</w:t>
      </w:r>
      <w:r w:rsidR="008B3178" w:rsidRPr="00AB3791">
        <w:rPr>
          <w:rFonts w:ascii="Times New Roman" w:hAnsi="Times New Roman" w:cs="Times New Roman"/>
          <w:sz w:val="24"/>
          <w:szCs w:val="24"/>
          <w:lang w:val="es-419"/>
        </w:rPr>
        <w:t xml:space="preserve"> es necesario cierto manejo del lenguaje para participar en la política. En función de esto puede plantearse que personas con algún interés en la política, que no posean habilidades de comprensión lectora, tendrán un menor conocimiento cívico, aunque posean interés de participar, del mismo modo suena razonable que personas con alta comprensión lectora </w:t>
      </w:r>
      <w:r w:rsidRPr="00AB3791">
        <w:rPr>
          <w:rFonts w:ascii="Times New Roman" w:hAnsi="Times New Roman" w:cs="Times New Roman"/>
          <w:sz w:val="24"/>
          <w:szCs w:val="24"/>
          <w:lang w:val="es-419"/>
        </w:rPr>
        <w:t xml:space="preserve">( </w:t>
      </w:r>
      <w:r w:rsidR="008B3178" w:rsidRPr="00AB3791">
        <w:rPr>
          <w:rFonts w:ascii="Times New Roman" w:hAnsi="Times New Roman" w:cs="Times New Roman"/>
          <w:sz w:val="24"/>
          <w:szCs w:val="24"/>
          <w:lang w:val="es-419"/>
        </w:rPr>
        <w:t>y</w:t>
      </w:r>
      <w:r w:rsidRPr="00AB3791">
        <w:rPr>
          <w:rFonts w:ascii="Times New Roman" w:hAnsi="Times New Roman" w:cs="Times New Roman"/>
          <w:sz w:val="24"/>
          <w:szCs w:val="24"/>
          <w:lang w:val="es-419"/>
        </w:rPr>
        <w:t xml:space="preserve"> que</w:t>
      </w:r>
      <w:r w:rsidR="008B3178" w:rsidRPr="00AB3791">
        <w:rPr>
          <w:rFonts w:ascii="Times New Roman" w:hAnsi="Times New Roman" w:cs="Times New Roman"/>
          <w:sz w:val="24"/>
          <w:szCs w:val="24"/>
          <w:lang w:val="es-419"/>
        </w:rPr>
        <w:t xml:space="preserve"> por ende son capaces de </w:t>
      </w:r>
      <w:r w:rsidR="007065AA" w:rsidRPr="00AB3791">
        <w:rPr>
          <w:rFonts w:ascii="Times New Roman" w:hAnsi="Times New Roman" w:cs="Times New Roman"/>
          <w:sz w:val="24"/>
          <w:szCs w:val="24"/>
          <w:lang w:val="es-419"/>
        </w:rPr>
        <w:t>interiorizar</w:t>
      </w:r>
      <w:r w:rsidR="008B3178" w:rsidRPr="00AB3791">
        <w:rPr>
          <w:rFonts w:ascii="Times New Roman" w:hAnsi="Times New Roman" w:cs="Times New Roman"/>
          <w:sz w:val="24"/>
          <w:szCs w:val="24"/>
          <w:lang w:val="es-419"/>
        </w:rPr>
        <w:t xml:space="preserve"> discursos y conocimientos políticos</w:t>
      </w:r>
      <w:r w:rsidRPr="00AB3791">
        <w:rPr>
          <w:rFonts w:ascii="Times New Roman" w:hAnsi="Times New Roman" w:cs="Times New Roman"/>
          <w:sz w:val="24"/>
          <w:szCs w:val="24"/>
          <w:lang w:val="es-419"/>
        </w:rPr>
        <w:t xml:space="preserve"> enseñados transversalmente en asignaturas como Historia y Lenguaje)</w:t>
      </w:r>
      <w:r w:rsidR="008B3178" w:rsidRPr="00AB3791">
        <w:rPr>
          <w:rFonts w:ascii="Times New Roman" w:hAnsi="Times New Roman" w:cs="Times New Roman"/>
          <w:sz w:val="24"/>
          <w:szCs w:val="24"/>
          <w:lang w:val="es-419"/>
        </w:rPr>
        <w:t xml:space="preserve">, pueden poseer un conocimiento </w:t>
      </w:r>
      <w:r w:rsidR="007065AA" w:rsidRPr="00AB3791">
        <w:rPr>
          <w:rFonts w:ascii="Times New Roman" w:hAnsi="Times New Roman" w:cs="Times New Roman"/>
          <w:sz w:val="24"/>
          <w:szCs w:val="24"/>
          <w:lang w:val="es-419"/>
        </w:rPr>
        <w:t>cívico</w:t>
      </w:r>
      <w:r w:rsidR="008B3178" w:rsidRPr="00AB3791">
        <w:rPr>
          <w:rFonts w:ascii="Times New Roman" w:hAnsi="Times New Roman" w:cs="Times New Roman"/>
          <w:sz w:val="24"/>
          <w:szCs w:val="24"/>
          <w:lang w:val="es-419"/>
        </w:rPr>
        <w:t xml:space="preserve"> moderado, aunque una baja expectativa de participació</w:t>
      </w:r>
      <w:r w:rsidRPr="00AB3791">
        <w:rPr>
          <w:rFonts w:ascii="Times New Roman" w:hAnsi="Times New Roman" w:cs="Times New Roman"/>
          <w:sz w:val="24"/>
          <w:szCs w:val="24"/>
          <w:lang w:val="es-419"/>
        </w:rPr>
        <w:t xml:space="preserve">n. </w:t>
      </w:r>
      <w:r w:rsidR="008B3178" w:rsidRPr="00AB3791">
        <w:rPr>
          <w:rFonts w:ascii="Times New Roman" w:hAnsi="Times New Roman" w:cs="Times New Roman"/>
          <w:sz w:val="24"/>
          <w:szCs w:val="24"/>
          <w:lang w:val="es-419"/>
        </w:rPr>
        <w:t xml:space="preserve"> </w:t>
      </w:r>
    </w:p>
    <w:p w14:paraId="50040307" w14:textId="77777777" w:rsidR="00280302" w:rsidRPr="00AB3791" w:rsidRDefault="00280302" w:rsidP="00710956">
      <w:pPr>
        <w:ind w:left="-567" w:firstLine="567"/>
        <w:jc w:val="both"/>
        <w:rPr>
          <w:rFonts w:ascii="Times New Roman" w:hAnsi="Times New Roman" w:cs="Times New Roman"/>
          <w:sz w:val="24"/>
          <w:szCs w:val="24"/>
          <w:lang w:val="es-419"/>
        </w:rPr>
      </w:pPr>
    </w:p>
    <w:p w14:paraId="2434A1B8" w14:textId="43F051AC" w:rsidR="007065AA" w:rsidRPr="00AB3791" w:rsidRDefault="007065AA"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En consideración de todo lo anterior, el modelo propuesto por este trabajo </w:t>
      </w:r>
      <w:r w:rsidR="00710956" w:rsidRPr="00AB3791">
        <w:rPr>
          <w:rFonts w:ascii="Times New Roman" w:hAnsi="Times New Roman" w:cs="Times New Roman"/>
          <w:sz w:val="24"/>
          <w:szCs w:val="24"/>
          <w:lang w:val="es-419"/>
        </w:rPr>
        <w:t>se presenta en el siguiente esquema</w:t>
      </w:r>
      <w:r w:rsidR="00AB3791" w:rsidRPr="00AB3791">
        <w:rPr>
          <w:rFonts w:ascii="Times New Roman" w:hAnsi="Times New Roman" w:cs="Times New Roman"/>
          <w:sz w:val="24"/>
          <w:szCs w:val="24"/>
          <w:lang w:val="es-419"/>
        </w:rPr>
        <w:t>:</w:t>
      </w:r>
    </w:p>
    <w:p w14:paraId="142BC6BD" w14:textId="6E74007F" w:rsidR="00584159" w:rsidRPr="00AB3791" w:rsidRDefault="00584159" w:rsidP="00710956">
      <w:pPr>
        <w:ind w:left="-567" w:firstLine="567"/>
        <w:jc w:val="both"/>
        <w:rPr>
          <w:rFonts w:ascii="Times New Roman" w:hAnsi="Times New Roman" w:cs="Times New Roman"/>
          <w:sz w:val="24"/>
          <w:szCs w:val="24"/>
          <w:lang w:val="es-419"/>
        </w:rPr>
      </w:pPr>
    </w:p>
    <w:p w14:paraId="1237E9B0" w14:textId="7C7AA09C" w:rsidR="00584159" w:rsidRPr="00AB3791" w:rsidRDefault="00584159" w:rsidP="00710956">
      <w:pPr>
        <w:ind w:left="-567" w:firstLine="567"/>
        <w:jc w:val="both"/>
        <w:rPr>
          <w:rFonts w:ascii="Times New Roman" w:hAnsi="Times New Roman" w:cs="Times New Roman"/>
          <w:sz w:val="24"/>
          <w:szCs w:val="24"/>
          <w:lang w:val="es-419"/>
        </w:rPr>
      </w:pPr>
    </w:p>
    <w:p w14:paraId="4E1696DC" w14:textId="528BAF4E" w:rsidR="00280302" w:rsidRPr="00AB3791" w:rsidRDefault="00584159" w:rsidP="00280302">
      <w:pPr>
        <w:ind w:left="-567"/>
        <w:jc w:val="both"/>
        <w:rPr>
          <w:lang w:val="es-419"/>
        </w:rPr>
      </w:pPr>
      <w:r w:rsidRPr="00AB3791">
        <w:rPr>
          <w:rFonts w:ascii="Calibri Light" w:eastAsia="SimSun" w:hAnsi="Calibri Light" w:cs="Times New Roman"/>
          <w:color w:val="2E74B5"/>
          <w:sz w:val="32"/>
          <w:szCs w:val="32"/>
          <w:u w:val="thick" w:color="C45911"/>
          <w:lang w:eastAsia="es-CL"/>
        </w:rPr>
        <w:t xml:space="preserve">Esquema </w:t>
      </w:r>
      <w:bookmarkStart w:id="0" w:name="_GoBack"/>
      <w:bookmarkEnd w:id="0"/>
      <w:r w:rsidRPr="00AB3791">
        <w:rPr>
          <w:rFonts w:ascii="Calibri Light" w:eastAsia="SimSun" w:hAnsi="Calibri Light" w:cs="Times New Roman"/>
          <w:color w:val="2E74B5"/>
          <w:sz w:val="32"/>
          <w:szCs w:val="32"/>
          <w:u w:val="thick" w:color="C45911"/>
          <w:lang w:eastAsia="es-CL"/>
        </w:rPr>
        <w:t xml:space="preserve">1                                                                                               </w:t>
      </w:r>
      <w:proofErr w:type="gramStart"/>
      <w:r w:rsidRPr="00AB3791">
        <w:rPr>
          <w:rFonts w:ascii="Calibri Light" w:eastAsia="SimSun" w:hAnsi="Calibri Light" w:cs="Times New Roman"/>
          <w:color w:val="2E74B5"/>
          <w:sz w:val="32"/>
          <w:szCs w:val="32"/>
          <w:u w:val="thick" w:color="C45911"/>
          <w:lang w:eastAsia="es-CL"/>
        </w:rPr>
        <w:t xml:space="preserve">  .</w:t>
      </w:r>
      <w:proofErr w:type="gramEnd"/>
      <w:r w:rsidR="00280302" w:rsidRPr="00AB3791">
        <w:rPr>
          <w:noProof/>
          <w:lang w:val="es-419"/>
        </w:rPr>
        <w:drawing>
          <wp:inline distT="0" distB="0" distL="0" distR="0" wp14:anchorId="6A205DAF" wp14:editId="582D3550">
            <wp:extent cx="5705475" cy="3247390"/>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3247390"/>
                    </a:xfrm>
                    <a:prstGeom prst="rect">
                      <a:avLst/>
                    </a:prstGeom>
                    <a:noFill/>
                    <a:ln>
                      <a:noFill/>
                    </a:ln>
                  </pic:spPr>
                </pic:pic>
              </a:graphicData>
            </a:graphic>
          </wp:inline>
        </w:drawing>
      </w:r>
    </w:p>
    <w:p w14:paraId="3EA3A642" w14:textId="49E1B445" w:rsidR="007065AA" w:rsidRPr="00AB3791" w:rsidRDefault="007065AA" w:rsidP="00710956">
      <w:pPr>
        <w:ind w:left="-567"/>
        <w:jc w:val="both"/>
        <w:rPr>
          <w:lang w:val="es-419"/>
        </w:rPr>
      </w:pPr>
    </w:p>
    <w:p w14:paraId="29ED409A" w14:textId="0DD42A57" w:rsidR="007065AA" w:rsidRPr="00AB3791" w:rsidRDefault="007065AA" w:rsidP="00710956">
      <w:pPr>
        <w:ind w:left="-567" w:firstLine="567"/>
        <w:jc w:val="both"/>
        <w:rPr>
          <w:lang w:val="es-419"/>
        </w:rPr>
      </w:pPr>
    </w:p>
    <w:p w14:paraId="1F690FA5" w14:textId="77777777" w:rsidR="007065AA" w:rsidRPr="00AB3791" w:rsidRDefault="007065AA" w:rsidP="00710956">
      <w:pPr>
        <w:ind w:left="-567" w:firstLine="567"/>
        <w:jc w:val="both"/>
        <w:rPr>
          <w:lang w:val="es-419"/>
        </w:rPr>
      </w:pPr>
    </w:p>
    <w:p w14:paraId="235E409F" w14:textId="09624211" w:rsidR="008B3178" w:rsidRPr="00AB3791" w:rsidRDefault="008B3178" w:rsidP="00710956">
      <w:pPr>
        <w:ind w:left="-567" w:firstLine="567"/>
        <w:jc w:val="both"/>
        <w:rPr>
          <w:lang w:val="es-419"/>
        </w:rPr>
      </w:pPr>
    </w:p>
    <w:p w14:paraId="71E1E701" w14:textId="77777777" w:rsidR="008B3178" w:rsidRPr="00AB3791" w:rsidRDefault="008B3178" w:rsidP="00710956">
      <w:pPr>
        <w:ind w:left="-567" w:firstLine="567"/>
        <w:jc w:val="both"/>
        <w:rPr>
          <w:lang w:val="es-419"/>
        </w:rPr>
      </w:pPr>
    </w:p>
    <w:p w14:paraId="02680A00" w14:textId="77777777" w:rsidR="008B3178" w:rsidRPr="00AB3791" w:rsidRDefault="008B3178" w:rsidP="00710956">
      <w:pPr>
        <w:ind w:left="-567" w:firstLine="567"/>
        <w:jc w:val="both"/>
        <w:rPr>
          <w:lang w:val="es-419"/>
        </w:rPr>
      </w:pPr>
    </w:p>
    <w:p w14:paraId="6C54668F" w14:textId="77777777" w:rsidR="008B3178" w:rsidRPr="00AB3791" w:rsidRDefault="008B3178" w:rsidP="00710956">
      <w:pPr>
        <w:ind w:left="-567" w:firstLine="567"/>
        <w:jc w:val="both"/>
        <w:rPr>
          <w:lang w:val="es-419"/>
        </w:rPr>
      </w:pPr>
    </w:p>
    <w:p w14:paraId="7CEF5D81" w14:textId="77777777" w:rsidR="008B3178" w:rsidRPr="00AB3791" w:rsidRDefault="008B3178" w:rsidP="00710956">
      <w:pPr>
        <w:ind w:left="-567" w:firstLine="567"/>
        <w:jc w:val="both"/>
        <w:rPr>
          <w:lang w:val="es-419"/>
        </w:rPr>
      </w:pPr>
      <w:r w:rsidRPr="00AB3791">
        <w:rPr>
          <w:lang w:val="es-419"/>
        </w:rPr>
        <w:lastRenderedPageBreak/>
        <w:tab/>
      </w:r>
    </w:p>
    <w:p w14:paraId="05E321D1" w14:textId="77777777" w:rsidR="008B3178" w:rsidRPr="00AB3791" w:rsidRDefault="008B3178" w:rsidP="00710956">
      <w:pPr>
        <w:ind w:left="-567" w:firstLine="567"/>
        <w:jc w:val="both"/>
        <w:rPr>
          <w:lang w:val="es-419"/>
        </w:rPr>
      </w:pPr>
      <w:r w:rsidRPr="00AB3791">
        <w:rPr>
          <w:lang w:val="es-419"/>
        </w:rPr>
        <w:t xml:space="preserve"> </w:t>
      </w:r>
    </w:p>
    <w:p w14:paraId="7594FD74" w14:textId="77777777" w:rsidR="008B3178" w:rsidRPr="00AB3791" w:rsidRDefault="008B3178" w:rsidP="00710956">
      <w:pPr>
        <w:ind w:left="-567" w:firstLine="567"/>
        <w:jc w:val="both"/>
        <w:rPr>
          <w:lang w:val="es-419"/>
        </w:rPr>
      </w:pPr>
    </w:p>
    <w:p w14:paraId="1182654C" w14:textId="3167954F" w:rsidR="00047CA2" w:rsidRPr="00AB3791" w:rsidRDefault="00047CA2" w:rsidP="00AB3791">
      <w:pPr>
        <w:pStyle w:val="Ttulo1"/>
        <w:ind w:hanging="567"/>
        <w:rPr>
          <w:u w:val="thick" w:color="C45911" w:themeColor="accent2" w:themeShade="BF"/>
        </w:rPr>
      </w:pPr>
      <w:r w:rsidRPr="00AB3791">
        <w:rPr>
          <w:rFonts w:ascii="Times New Roman" w:hAnsi="Times New Roman"/>
          <w:u w:val="thick" w:color="C45911" w:themeColor="accent2" w:themeShade="BF"/>
        </w:rPr>
        <w:t>Bibliografía</w:t>
      </w:r>
      <w:r w:rsidRPr="00AB3791">
        <w:rPr>
          <w:rFonts w:ascii="Times New Roman" w:hAnsi="Times New Roman"/>
          <w:u w:val="thick" w:color="C45911" w:themeColor="accent2" w:themeShade="BF"/>
        </w:rPr>
        <w:t xml:space="preserve">                                                                                     </w:t>
      </w:r>
      <w:r w:rsidR="00AB3791" w:rsidRPr="00AB3791">
        <w:rPr>
          <w:rFonts w:ascii="Times New Roman" w:hAnsi="Times New Roman"/>
          <w:u w:val="thick" w:color="C45911" w:themeColor="accent2" w:themeShade="BF"/>
        </w:rPr>
        <w:t xml:space="preserve">     </w:t>
      </w:r>
      <w:proofErr w:type="gramStart"/>
      <w:r w:rsidR="00AB3791" w:rsidRPr="00AB3791">
        <w:rPr>
          <w:rFonts w:ascii="Times New Roman" w:hAnsi="Times New Roman"/>
          <w:u w:val="thick" w:color="C45911" w:themeColor="accent2" w:themeShade="BF"/>
        </w:rPr>
        <w:t xml:space="preserve">  </w:t>
      </w:r>
      <w:r w:rsidRPr="00AB3791">
        <w:rPr>
          <w:u w:val="thick" w:color="C45911" w:themeColor="accent2" w:themeShade="BF"/>
        </w:rPr>
        <w:t>.</w:t>
      </w:r>
      <w:proofErr w:type="gramEnd"/>
      <w:r w:rsidRPr="00AB3791">
        <w:rPr>
          <w:u w:val="thick" w:color="C45911" w:themeColor="accent2" w:themeShade="BF"/>
        </w:rPr>
        <w:t xml:space="preserve">                                              </w:t>
      </w:r>
    </w:p>
    <w:p w14:paraId="3A08BFF7" w14:textId="77777777" w:rsidR="00047CA2" w:rsidRPr="00AB3791" w:rsidRDefault="00047CA2" w:rsidP="00047CA2">
      <w:pPr>
        <w:ind w:left="-567" w:firstLine="567"/>
        <w:jc w:val="both"/>
      </w:pPr>
    </w:p>
    <w:p w14:paraId="1F7D02AD" w14:textId="06B47104" w:rsidR="00047CA2" w:rsidRPr="00AB3791" w:rsidRDefault="00047CA2" w:rsidP="00047CA2">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Agencia de Calidad de la Educación, (2017) Estudio internacional de </w:t>
      </w:r>
      <w:proofErr w:type="spellStart"/>
      <w:r w:rsidRPr="00AB3791">
        <w:rPr>
          <w:rFonts w:ascii="Times New Roman" w:hAnsi="Times New Roman" w:cs="Times New Roman"/>
          <w:sz w:val="24"/>
          <w:szCs w:val="24"/>
          <w:lang w:val="es-419"/>
        </w:rPr>
        <w:t>Educacion</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Civica</w:t>
      </w:r>
      <w:proofErr w:type="spellEnd"/>
      <w:r w:rsidRPr="00AB3791">
        <w:rPr>
          <w:rFonts w:ascii="Times New Roman" w:hAnsi="Times New Roman" w:cs="Times New Roman"/>
          <w:sz w:val="24"/>
          <w:szCs w:val="24"/>
          <w:lang w:val="es-419"/>
        </w:rPr>
        <w:t xml:space="preserve"> y Ciudadana, </w:t>
      </w:r>
      <w:proofErr w:type="spellStart"/>
      <w:r w:rsidRPr="00AB3791">
        <w:rPr>
          <w:rFonts w:ascii="Times New Roman" w:hAnsi="Times New Roman" w:cs="Times New Roman"/>
          <w:sz w:val="24"/>
          <w:szCs w:val="24"/>
          <w:lang w:val="es-419"/>
        </w:rPr>
        <w:t>Presentacion</w:t>
      </w:r>
      <w:proofErr w:type="spellEnd"/>
      <w:r w:rsidRPr="00AB3791">
        <w:rPr>
          <w:rFonts w:ascii="Times New Roman" w:hAnsi="Times New Roman" w:cs="Times New Roman"/>
          <w:sz w:val="24"/>
          <w:szCs w:val="24"/>
          <w:lang w:val="es-419"/>
        </w:rPr>
        <w:t xml:space="preserve"> de resultados. Recuperado el 24 de julio de </w:t>
      </w:r>
      <w:hyperlink r:id="rId8" w:history="1">
        <w:r w:rsidRPr="00AB3791">
          <w:rPr>
            <w:rFonts w:ascii="Times New Roman" w:hAnsi="Times New Roman" w:cs="Times New Roman"/>
            <w:sz w:val="24"/>
            <w:szCs w:val="24"/>
            <w:lang w:val="es-419"/>
          </w:rPr>
          <w:t>http://archivos.agenciaeducacion.cl/PRESENTACION_EDUCACION_CIVICA.pdf</w:t>
        </w:r>
      </w:hyperlink>
    </w:p>
    <w:p w14:paraId="53604FBD" w14:textId="77777777" w:rsidR="00AB3791" w:rsidRPr="00AB3791" w:rsidRDefault="00AB3791" w:rsidP="00047CA2">
      <w:pPr>
        <w:ind w:hanging="567"/>
        <w:jc w:val="both"/>
        <w:rPr>
          <w:rFonts w:ascii="Times New Roman" w:hAnsi="Times New Roman" w:cs="Times New Roman"/>
          <w:sz w:val="24"/>
          <w:szCs w:val="24"/>
          <w:lang w:val="es-419"/>
        </w:rPr>
      </w:pPr>
    </w:p>
    <w:p w14:paraId="1935B463" w14:textId="0A351BE7" w:rsidR="00A2728F" w:rsidRPr="00AB3791" w:rsidRDefault="00047CA2" w:rsidP="00047CA2">
      <w:pPr>
        <w:spacing w:after="240"/>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Ben </w:t>
      </w:r>
      <w:proofErr w:type="spellStart"/>
      <w:r w:rsidRPr="00AB3791">
        <w:rPr>
          <w:rFonts w:ascii="Times New Roman" w:hAnsi="Times New Roman" w:cs="Times New Roman"/>
          <w:sz w:val="24"/>
          <w:szCs w:val="24"/>
          <w:lang w:val="es-419"/>
        </w:rPr>
        <w:t>Porath</w:t>
      </w:r>
      <w:proofErr w:type="spellEnd"/>
      <w:r w:rsidRPr="00AB3791">
        <w:rPr>
          <w:rFonts w:ascii="Times New Roman" w:hAnsi="Times New Roman" w:cs="Times New Roman"/>
          <w:sz w:val="24"/>
          <w:szCs w:val="24"/>
          <w:lang w:val="es-419"/>
        </w:rPr>
        <w:t xml:space="preserve">, S. R. (2006). </w:t>
      </w:r>
      <w:proofErr w:type="spellStart"/>
      <w:r w:rsidRPr="00AB3791">
        <w:rPr>
          <w:rFonts w:ascii="Times New Roman" w:hAnsi="Times New Roman" w:cs="Times New Roman"/>
          <w:sz w:val="24"/>
          <w:szCs w:val="24"/>
          <w:lang w:val="es-419"/>
        </w:rPr>
        <w:t>Citizenship</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under</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fire</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Democratic</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education</w:t>
      </w:r>
      <w:proofErr w:type="spellEnd"/>
      <w:r w:rsidRPr="00AB3791">
        <w:rPr>
          <w:rFonts w:ascii="Times New Roman" w:hAnsi="Times New Roman" w:cs="Times New Roman"/>
          <w:sz w:val="24"/>
          <w:szCs w:val="24"/>
          <w:lang w:val="es-419"/>
        </w:rPr>
        <w:t xml:space="preserve"> </w:t>
      </w:r>
      <w:proofErr w:type="gramStart"/>
      <w:r w:rsidRPr="00AB3791">
        <w:rPr>
          <w:rFonts w:ascii="Times New Roman" w:hAnsi="Times New Roman" w:cs="Times New Roman"/>
          <w:sz w:val="24"/>
          <w:szCs w:val="24"/>
          <w:lang w:val="es-419"/>
        </w:rPr>
        <w:t>in times</w:t>
      </w:r>
      <w:proofErr w:type="gram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of</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conflict</w:t>
      </w:r>
      <w:proofErr w:type="spellEnd"/>
      <w:r w:rsidRPr="00AB3791">
        <w:rPr>
          <w:rFonts w:ascii="Times New Roman" w:hAnsi="Times New Roman" w:cs="Times New Roman"/>
          <w:sz w:val="24"/>
          <w:szCs w:val="24"/>
          <w:lang w:val="es-419"/>
        </w:rPr>
        <w:t xml:space="preserve">. Princeton, NJ: Princeton </w:t>
      </w:r>
      <w:proofErr w:type="spellStart"/>
      <w:r w:rsidRPr="00AB3791">
        <w:rPr>
          <w:rFonts w:ascii="Times New Roman" w:hAnsi="Times New Roman" w:cs="Times New Roman"/>
          <w:sz w:val="24"/>
          <w:szCs w:val="24"/>
          <w:lang w:val="es-419"/>
        </w:rPr>
        <w:t>University</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Press</w:t>
      </w:r>
      <w:proofErr w:type="spellEnd"/>
      <w:r w:rsidRPr="00AB3791">
        <w:rPr>
          <w:rFonts w:ascii="Times New Roman" w:hAnsi="Times New Roman" w:cs="Times New Roman"/>
          <w:sz w:val="24"/>
          <w:szCs w:val="24"/>
          <w:lang w:val="es-419"/>
        </w:rPr>
        <w:t>.</w:t>
      </w:r>
      <w:r w:rsidRPr="00AB3791">
        <w:rPr>
          <w:rFonts w:ascii="Times New Roman" w:hAnsi="Times New Roman" w:cs="Times New Roman"/>
          <w:sz w:val="24"/>
          <w:szCs w:val="24"/>
          <w:lang w:val="es-419"/>
        </w:rPr>
        <w:tab/>
      </w:r>
    </w:p>
    <w:p w14:paraId="5D612678" w14:textId="77777777" w:rsidR="00047CA2" w:rsidRPr="00AB3791" w:rsidRDefault="00047CA2" w:rsidP="00047CA2">
      <w:pPr>
        <w:pStyle w:val="NormalWeb"/>
        <w:spacing w:before="0" w:beforeAutospacing="0" w:after="240" w:afterAutospacing="0"/>
        <w:ind w:hanging="567"/>
        <w:jc w:val="both"/>
        <w:rPr>
          <w:lang w:val="es-419" w:eastAsia="es-ES"/>
        </w:rPr>
      </w:pPr>
      <w:r w:rsidRPr="00AB3791">
        <w:rPr>
          <w:lang w:val="es-419" w:eastAsia="es-ES"/>
        </w:rPr>
        <w:t>BERNSTEIN, B. (1977), «</w:t>
      </w:r>
      <w:proofErr w:type="spellStart"/>
      <w:r w:rsidRPr="00AB3791">
        <w:rPr>
          <w:lang w:val="es-419" w:eastAsia="es-ES"/>
        </w:rPr>
        <w:t>Sources</w:t>
      </w:r>
      <w:proofErr w:type="spellEnd"/>
      <w:r w:rsidRPr="00AB3791">
        <w:rPr>
          <w:lang w:val="es-419" w:eastAsia="es-ES"/>
        </w:rPr>
        <w:t xml:space="preserve"> </w:t>
      </w:r>
      <w:proofErr w:type="spellStart"/>
      <w:r w:rsidRPr="00AB3791">
        <w:rPr>
          <w:lang w:val="es-419" w:eastAsia="es-ES"/>
        </w:rPr>
        <w:t>of</w:t>
      </w:r>
      <w:proofErr w:type="spellEnd"/>
      <w:r w:rsidRPr="00AB3791">
        <w:rPr>
          <w:lang w:val="es-419" w:eastAsia="es-ES"/>
        </w:rPr>
        <w:t xml:space="preserve"> </w:t>
      </w:r>
      <w:proofErr w:type="spellStart"/>
      <w:r w:rsidRPr="00AB3791">
        <w:rPr>
          <w:lang w:val="es-419" w:eastAsia="es-ES"/>
        </w:rPr>
        <w:t>consensus</w:t>
      </w:r>
      <w:proofErr w:type="spellEnd"/>
      <w:r w:rsidRPr="00AB3791">
        <w:rPr>
          <w:lang w:val="es-419" w:eastAsia="es-ES"/>
        </w:rPr>
        <w:t xml:space="preserve"> and </w:t>
      </w:r>
      <w:proofErr w:type="spellStart"/>
      <w:r w:rsidRPr="00AB3791">
        <w:rPr>
          <w:lang w:val="es-419" w:eastAsia="es-ES"/>
        </w:rPr>
        <w:t>disaffection</w:t>
      </w:r>
      <w:proofErr w:type="spellEnd"/>
      <w:r w:rsidRPr="00AB3791">
        <w:rPr>
          <w:lang w:val="es-419" w:eastAsia="es-ES"/>
        </w:rPr>
        <w:t xml:space="preserve"> in </w:t>
      </w:r>
      <w:proofErr w:type="spellStart"/>
      <w:r w:rsidRPr="00AB3791">
        <w:rPr>
          <w:lang w:val="es-419" w:eastAsia="es-ES"/>
        </w:rPr>
        <w:t>education</w:t>
      </w:r>
      <w:proofErr w:type="spellEnd"/>
      <w:r w:rsidRPr="00AB3791">
        <w:rPr>
          <w:lang w:val="es-419" w:eastAsia="es-ES"/>
        </w:rPr>
        <w:t>» (</w:t>
      </w:r>
      <w:proofErr w:type="spellStart"/>
      <w:r w:rsidRPr="00AB3791">
        <w:rPr>
          <w:lang w:val="es-419" w:eastAsia="es-ES"/>
        </w:rPr>
        <w:t>comp.</w:t>
      </w:r>
      <w:proofErr w:type="spellEnd"/>
      <w:r w:rsidRPr="00AB3791">
        <w:rPr>
          <w:lang w:val="es-419" w:eastAsia="es-ES"/>
        </w:rPr>
        <w:t xml:space="preserve">), en </w:t>
      </w:r>
      <w:proofErr w:type="spellStart"/>
      <w:r w:rsidRPr="00AB3791">
        <w:rPr>
          <w:lang w:val="es-419" w:eastAsia="es-ES"/>
        </w:rPr>
        <w:t>Class</w:t>
      </w:r>
      <w:proofErr w:type="spellEnd"/>
      <w:r w:rsidRPr="00AB3791">
        <w:rPr>
          <w:lang w:val="es-419" w:eastAsia="es-ES"/>
        </w:rPr>
        <w:t xml:space="preserve">, </w:t>
      </w:r>
      <w:r w:rsidRPr="00AB3791">
        <w:rPr>
          <w:lang w:val="es-419" w:eastAsia="es-ES"/>
        </w:rPr>
        <w:tab/>
        <w:t xml:space="preserve">Codes and Control, </w:t>
      </w:r>
      <w:proofErr w:type="spellStart"/>
      <w:r w:rsidRPr="00AB3791">
        <w:rPr>
          <w:lang w:val="es-419" w:eastAsia="es-ES"/>
        </w:rPr>
        <w:t>vol</w:t>
      </w:r>
      <w:proofErr w:type="spellEnd"/>
      <w:r w:rsidRPr="00AB3791">
        <w:rPr>
          <w:lang w:val="es-419" w:eastAsia="es-ES"/>
        </w:rPr>
        <w:t xml:space="preserve"> 3, Londres, RKP.</w:t>
      </w:r>
    </w:p>
    <w:p w14:paraId="327C15E8" w14:textId="4889826E" w:rsidR="00047CA2" w:rsidRPr="00AB3791" w:rsidRDefault="00047CA2" w:rsidP="00047CA2">
      <w:pPr>
        <w:ind w:hanging="567"/>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Bourdieu, P. (1979). La Distinción: Critique </w:t>
      </w:r>
      <w:proofErr w:type="spellStart"/>
      <w:r w:rsidRPr="00AB3791">
        <w:rPr>
          <w:rFonts w:ascii="Times New Roman" w:hAnsi="Times New Roman" w:cs="Times New Roman"/>
          <w:sz w:val="24"/>
          <w:szCs w:val="24"/>
          <w:lang w:val="es-419"/>
        </w:rPr>
        <w:t>Sociake</w:t>
      </w:r>
      <w:proofErr w:type="spellEnd"/>
      <w:r w:rsidRPr="00AB3791">
        <w:rPr>
          <w:rFonts w:ascii="Times New Roman" w:hAnsi="Times New Roman" w:cs="Times New Roman"/>
          <w:sz w:val="24"/>
          <w:szCs w:val="24"/>
          <w:lang w:val="es-419"/>
        </w:rPr>
        <w:t xml:space="preserve"> du </w:t>
      </w:r>
      <w:proofErr w:type="spellStart"/>
      <w:r w:rsidRPr="00AB3791">
        <w:rPr>
          <w:rFonts w:ascii="Times New Roman" w:hAnsi="Times New Roman" w:cs="Times New Roman"/>
          <w:sz w:val="24"/>
          <w:szCs w:val="24"/>
          <w:lang w:val="es-419"/>
        </w:rPr>
        <w:t>jugement</w:t>
      </w:r>
      <w:proofErr w:type="spellEnd"/>
      <w:r w:rsidRPr="00AB3791">
        <w:rPr>
          <w:rFonts w:ascii="Times New Roman" w:hAnsi="Times New Roman" w:cs="Times New Roman"/>
          <w:sz w:val="24"/>
          <w:szCs w:val="24"/>
          <w:lang w:val="es-419"/>
        </w:rPr>
        <w:t xml:space="preserve">. París: Les </w:t>
      </w:r>
      <w:proofErr w:type="spellStart"/>
      <w:r w:rsidRPr="00AB3791">
        <w:rPr>
          <w:rFonts w:ascii="Times New Roman" w:hAnsi="Times New Roman" w:cs="Times New Roman"/>
          <w:sz w:val="24"/>
          <w:szCs w:val="24"/>
          <w:lang w:val="es-419"/>
        </w:rPr>
        <w:t>Editions</w:t>
      </w:r>
      <w:proofErr w:type="spellEnd"/>
      <w:r w:rsidRPr="00AB3791">
        <w:rPr>
          <w:rFonts w:ascii="Times New Roman" w:hAnsi="Times New Roman" w:cs="Times New Roman"/>
          <w:sz w:val="24"/>
          <w:szCs w:val="24"/>
          <w:lang w:val="es-419"/>
        </w:rPr>
        <w:t xml:space="preserve"> de </w:t>
      </w:r>
      <w:proofErr w:type="spellStart"/>
      <w:r w:rsidRPr="00AB3791">
        <w:rPr>
          <w:rFonts w:ascii="Times New Roman" w:hAnsi="Times New Roman" w:cs="Times New Roman"/>
          <w:sz w:val="24"/>
          <w:szCs w:val="24"/>
          <w:lang w:val="es-419"/>
        </w:rPr>
        <w:t>Minuit</w:t>
      </w:r>
      <w:proofErr w:type="spellEnd"/>
      <w:r w:rsidRPr="00AB3791">
        <w:rPr>
          <w:rFonts w:ascii="Times New Roman" w:hAnsi="Times New Roman" w:cs="Times New Roman"/>
          <w:sz w:val="24"/>
          <w:szCs w:val="24"/>
          <w:lang w:val="es-419"/>
        </w:rPr>
        <w:t xml:space="preserve"> </w:t>
      </w:r>
    </w:p>
    <w:p w14:paraId="5E5D94AB" w14:textId="17B10ADC" w:rsidR="00047CA2" w:rsidRPr="00AB3791" w:rsidRDefault="00047CA2" w:rsidP="00AB3791">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Browne, J., </w:t>
      </w:r>
      <w:proofErr w:type="spellStart"/>
      <w:r w:rsidRPr="00AB3791">
        <w:rPr>
          <w:rFonts w:ascii="Times New Roman" w:hAnsi="Times New Roman" w:cs="Times New Roman"/>
          <w:sz w:val="24"/>
          <w:szCs w:val="24"/>
          <w:lang w:val="es-419"/>
        </w:rPr>
        <w:t>Elming</w:t>
      </w:r>
      <w:proofErr w:type="spellEnd"/>
      <w:r w:rsidRPr="00AB3791">
        <w:rPr>
          <w:rFonts w:ascii="Times New Roman" w:hAnsi="Times New Roman" w:cs="Times New Roman"/>
          <w:sz w:val="24"/>
          <w:szCs w:val="24"/>
          <w:lang w:val="es-419"/>
        </w:rPr>
        <w:t xml:space="preserve">, W., 2015. </w:t>
      </w:r>
      <w:proofErr w:type="spellStart"/>
      <w:r w:rsidRPr="00AB3791">
        <w:rPr>
          <w:rFonts w:ascii="Times New Roman" w:hAnsi="Times New Roman" w:cs="Times New Roman"/>
          <w:sz w:val="24"/>
          <w:szCs w:val="24"/>
          <w:lang w:val="es-419"/>
        </w:rPr>
        <w:t>The</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Effect</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of</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the</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Coalition's</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Tax</w:t>
      </w:r>
      <w:proofErr w:type="spellEnd"/>
      <w:r w:rsidRPr="00AB3791">
        <w:rPr>
          <w:rFonts w:ascii="Times New Roman" w:hAnsi="Times New Roman" w:cs="Times New Roman"/>
          <w:sz w:val="24"/>
          <w:szCs w:val="24"/>
          <w:lang w:val="es-419"/>
        </w:rPr>
        <w:t xml:space="preserve"> and Benefit </w:t>
      </w:r>
      <w:proofErr w:type="spellStart"/>
      <w:r w:rsidRPr="00AB3791">
        <w:rPr>
          <w:rFonts w:ascii="Times New Roman" w:hAnsi="Times New Roman" w:cs="Times New Roman"/>
          <w:sz w:val="24"/>
          <w:szCs w:val="24"/>
          <w:lang w:val="es-419"/>
        </w:rPr>
        <w:t>Changes</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on</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Household</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Incomes</w:t>
      </w:r>
      <w:proofErr w:type="spellEnd"/>
      <w:r w:rsidRPr="00AB3791">
        <w:rPr>
          <w:rFonts w:ascii="Times New Roman" w:hAnsi="Times New Roman" w:cs="Times New Roman"/>
          <w:sz w:val="24"/>
          <w:szCs w:val="24"/>
          <w:lang w:val="es-419"/>
        </w:rPr>
        <w:t xml:space="preserve"> and </w:t>
      </w:r>
      <w:proofErr w:type="spellStart"/>
      <w:r w:rsidRPr="00AB3791">
        <w:rPr>
          <w:rFonts w:ascii="Times New Roman" w:hAnsi="Times New Roman" w:cs="Times New Roman"/>
          <w:sz w:val="24"/>
          <w:szCs w:val="24"/>
          <w:lang w:val="es-419"/>
        </w:rPr>
        <w:t>Work</w:t>
      </w:r>
      <w:proofErr w:type="spellEnd"/>
      <w:r w:rsidRPr="00AB3791">
        <w:rPr>
          <w:rFonts w:ascii="Times New Roman" w:hAnsi="Times New Roman" w:cs="Times New Roman"/>
          <w:sz w:val="24"/>
          <w:szCs w:val="24"/>
          <w:lang w:val="es-419"/>
        </w:rPr>
        <w:t xml:space="preserve"> Incentives. </w:t>
      </w:r>
      <w:proofErr w:type="spellStart"/>
      <w:r w:rsidRPr="00AB3791">
        <w:rPr>
          <w:rFonts w:ascii="Times New Roman" w:hAnsi="Times New Roman" w:cs="Times New Roman"/>
          <w:sz w:val="24"/>
          <w:szCs w:val="24"/>
          <w:lang w:val="es-419"/>
        </w:rPr>
        <w:t>Institute</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for</w:t>
      </w:r>
      <w:proofErr w:type="spellEnd"/>
      <w:r w:rsidRPr="00AB3791">
        <w:rPr>
          <w:rFonts w:ascii="Times New Roman" w:hAnsi="Times New Roman" w:cs="Times New Roman"/>
          <w:sz w:val="24"/>
          <w:szCs w:val="24"/>
          <w:lang w:val="es-419"/>
        </w:rPr>
        <w:t xml:space="preserve"> Fiscal </w:t>
      </w:r>
      <w:proofErr w:type="spellStart"/>
      <w:r w:rsidRPr="00AB3791">
        <w:rPr>
          <w:rFonts w:ascii="Times New Roman" w:hAnsi="Times New Roman" w:cs="Times New Roman"/>
          <w:sz w:val="24"/>
          <w:szCs w:val="24"/>
          <w:lang w:val="es-419"/>
        </w:rPr>
        <w:t>Studies</w:t>
      </w:r>
      <w:proofErr w:type="spellEnd"/>
      <w:r w:rsidRPr="00AB3791">
        <w:rPr>
          <w:rFonts w:ascii="Times New Roman" w:hAnsi="Times New Roman" w:cs="Times New Roman"/>
          <w:sz w:val="24"/>
          <w:szCs w:val="24"/>
          <w:lang w:val="es-419"/>
        </w:rPr>
        <w:t>, London.</w:t>
      </w:r>
    </w:p>
    <w:p w14:paraId="6E173F6D" w14:textId="77777777" w:rsidR="00EF4E81" w:rsidRPr="00AB3791" w:rsidRDefault="00EF4E81" w:rsidP="00047CA2">
      <w:pPr>
        <w:ind w:hanging="567"/>
        <w:jc w:val="both"/>
        <w:rPr>
          <w:rFonts w:ascii="Times New Roman" w:hAnsi="Times New Roman" w:cs="Times New Roman"/>
          <w:sz w:val="24"/>
          <w:szCs w:val="24"/>
          <w:lang w:val="es-419"/>
        </w:rPr>
      </w:pPr>
    </w:p>
    <w:p w14:paraId="79160922" w14:textId="34AB91D2" w:rsidR="00A2728F" w:rsidRPr="00AB3791" w:rsidRDefault="00A2728F" w:rsidP="00047CA2">
      <w:pPr>
        <w:spacing w:after="240"/>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Castillo, J., Miranda D., &amp; </w:t>
      </w:r>
      <w:proofErr w:type="spellStart"/>
      <w:r w:rsidRPr="00AB3791">
        <w:rPr>
          <w:rFonts w:ascii="Times New Roman" w:hAnsi="Times New Roman" w:cs="Times New Roman"/>
          <w:sz w:val="24"/>
          <w:szCs w:val="24"/>
          <w:lang w:val="es-419"/>
        </w:rPr>
        <w:t>Bonhomme</w:t>
      </w:r>
      <w:proofErr w:type="spellEnd"/>
      <w:r w:rsidRPr="00AB3791">
        <w:rPr>
          <w:rFonts w:ascii="Times New Roman" w:hAnsi="Times New Roman" w:cs="Times New Roman"/>
          <w:sz w:val="24"/>
          <w:szCs w:val="24"/>
          <w:lang w:val="es-419"/>
        </w:rPr>
        <w:t xml:space="preserve"> M. (2015). Desigualdad social y cambios en las expectativas de participación política de los estudiantes en chile. En Cox, C. &amp; Castillo (Eds.</w:t>
      </w:r>
      <w:proofErr w:type="gramStart"/>
      <w:r w:rsidRPr="00AB3791">
        <w:rPr>
          <w:rFonts w:ascii="Times New Roman" w:hAnsi="Times New Roman" w:cs="Times New Roman"/>
          <w:sz w:val="24"/>
          <w:szCs w:val="24"/>
          <w:lang w:val="es-419"/>
        </w:rPr>
        <w:t>).Aprendizaje</w:t>
      </w:r>
      <w:proofErr w:type="gramEnd"/>
      <w:r w:rsidRPr="00AB3791">
        <w:rPr>
          <w:rFonts w:ascii="Times New Roman" w:hAnsi="Times New Roman" w:cs="Times New Roman"/>
          <w:sz w:val="24"/>
          <w:szCs w:val="24"/>
          <w:lang w:val="es-419"/>
        </w:rPr>
        <w:t xml:space="preserve"> de la ciudadanía Contextos Experiencias y Resultados. </w:t>
      </w:r>
    </w:p>
    <w:p w14:paraId="3505F41D" w14:textId="4B48B0B9" w:rsidR="00047CA2" w:rsidRPr="00AB3791" w:rsidRDefault="00047CA2" w:rsidP="00047CA2">
      <w:pPr>
        <w:spacing w:after="240"/>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Cox, C., Jaramillo, R., &amp; </w:t>
      </w:r>
      <w:proofErr w:type="spellStart"/>
      <w:r w:rsidRPr="00AB3791">
        <w:rPr>
          <w:rFonts w:ascii="Times New Roman" w:hAnsi="Times New Roman" w:cs="Times New Roman"/>
          <w:sz w:val="24"/>
          <w:szCs w:val="24"/>
          <w:lang w:val="es-419"/>
        </w:rPr>
        <w:t>Reimers</w:t>
      </w:r>
      <w:proofErr w:type="spellEnd"/>
      <w:r w:rsidRPr="00AB3791">
        <w:rPr>
          <w:rFonts w:ascii="Times New Roman" w:hAnsi="Times New Roman" w:cs="Times New Roman"/>
          <w:sz w:val="24"/>
          <w:szCs w:val="24"/>
          <w:lang w:val="es-419"/>
        </w:rPr>
        <w:t xml:space="preserve">, F. (2005). </w:t>
      </w:r>
      <w:proofErr w:type="spellStart"/>
      <w:r w:rsidRPr="00AB3791">
        <w:rPr>
          <w:rFonts w:ascii="Times New Roman" w:hAnsi="Times New Roman" w:cs="Times New Roman"/>
          <w:sz w:val="24"/>
          <w:szCs w:val="24"/>
          <w:lang w:val="es-419"/>
        </w:rPr>
        <w:t>Education</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for</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citizenship</w:t>
      </w:r>
      <w:proofErr w:type="spellEnd"/>
      <w:r w:rsidRPr="00AB3791">
        <w:rPr>
          <w:rFonts w:ascii="Times New Roman" w:hAnsi="Times New Roman" w:cs="Times New Roman"/>
          <w:sz w:val="24"/>
          <w:szCs w:val="24"/>
          <w:lang w:val="es-419"/>
        </w:rPr>
        <w:t xml:space="preserve"> and </w:t>
      </w:r>
      <w:proofErr w:type="spellStart"/>
      <w:r w:rsidRPr="00AB3791">
        <w:rPr>
          <w:rFonts w:ascii="Times New Roman" w:hAnsi="Times New Roman" w:cs="Times New Roman"/>
          <w:sz w:val="24"/>
          <w:szCs w:val="24"/>
          <w:lang w:val="es-419"/>
        </w:rPr>
        <w:t>democracy</w:t>
      </w:r>
      <w:proofErr w:type="spellEnd"/>
      <w:r w:rsidRPr="00AB3791">
        <w:rPr>
          <w:rFonts w:ascii="Times New Roman" w:hAnsi="Times New Roman" w:cs="Times New Roman"/>
          <w:sz w:val="24"/>
          <w:szCs w:val="24"/>
          <w:lang w:val="es-419"/>
        </w:rPr>
        <w:t xml:space="preserve"> in </w:t>
      </w:r>
      <w:proofErr w:type="spellStart"/>
      <w:r w:rsidRPr="00AB3791">
        <w:rPr>
          <w:rFonts w:ascii="Times New Roman" w:hAnsi="Times New Roman" w:cs="Times New Roman"/>
          <w:sz w:val="24"/>
          <w:szCs w:val="24"/>
          <w:lang w:val="es-419"/>
        </w:rPr>
        <w:t>the</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Americas</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An</w:t>
      </w:r>
      <w:proofErr w:type="spellEnd"/>
      <w:r w:rsidRPr="00AB3791">
        <w:rPr>
          <w:rFonts w:ascii="Times New Roman" w:hAnsi="Times New Roman" w:cs="Times New Roman"/>
          <w:sz w:val="24"/>
          <w:szCs w:val="24"/>
          <w:lang w:val="es-419"/>
        </w:rPr>
        <w:t xml:space="preserve"> agenda </w:t>
      </w:r>
      <w:proofErr w:type="spellStart"/>
      <w:r w:rsidRPr="00AB3791">
        <w:rPr>
          <w:rFonts w:ascii="Times New Roman" w:hAnsi="Times New Roman" w:cs="Times New Roman"/>
          <w:sz w:val="24"/>
          <w:szCs w:val="24"/>
          <w:lang w:val="es-419"/>
        </w:rPr>
        <w:t>for</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action</w:t>
      </w:r>
      <w:proofErr w:type="spellEnd"/>
      <w:r w:rsidRPr="00AB3791">
        <w:rPr>
          <w:rFonts w:ascii="Times New Roman" w:hAnsi="Times New Roman" w:cs="Times New Roman"/>
          <w:sz w:val="24"/>
          <w:szCs w:val="24"/>
          <w:lang w:val="es-419"/>
        </w:rPr>
        <w:t xml:space="preserve">. Washington DC: Inter-American </w:t>
      </w:r>
      <w:proofErr w:type="spellStart"/>
      <w:r w:rsidRPr="00AB3791">
        <w:rPr>
          <w:rFonts w:ascii="Times New Roman" w:hAnsi="Times New Roman" w:cs="Times New Roman"/>
          <w:sz w:val="24"/>
          <w:szCs w:val="24"/>
          <w:lang w:val="es-419"/>
        </w:rPr>
        <w:t>Development</w:t>
      </w:r>
      <w:proofErr w:type="spellEnd"/>
      <w:r w:rsidRPr="00AB3791">
        <w:rPr>
          <w:rFonts w:ascii="Times New Roman" w:hAnsi="Times New Roman" w:cs="Times New Roman"/>
          <w:sz w:val="24"/>
          <w:szCs w:val="24"/>
          <w:lang w:val="es-419"/>
        </w:rPr>
        <w:t xml:space="preserve"> Bank. </w:t>
      </w:r>
    </w:p>
    <w:p w14:paraId="11156CDC" w14:textId="1688DF0C" w:rsidR="00047CA2" w:rsidRPr="00AB3791" w:rsidRDefault="00047CA2" w:rsidP="00047CA2">
      <w:pPr>
        <w:ind w:hanging="567"/>
        <w:jc w:val="both"/>
        <w:rPr>
          <w:rFonts w:ascii="Times New Roman" w:hAnsi="Times New Roman" w:cs="Times New Roman"/>
          <w:sz w:val="24"/>
          <w:szCs w:val="24"/>
          <w:lang w:val="es-419"/>
        </w:rPr>
      </w:pPr>
      <w:proofErr w:type="spellStart"/>
      <w:r w:rsidRPr="00AB3791">
        <w:rPr>
          <w:rFonts w:ascii="Times New Roman" w:hAnsi="Times New Roman" w:cs="Times New Roman"/>
          <w:sz w:val="24"/>
          <w:szCs w:val="24"/>
          <w:lang w:val="es-419"/>
        </w:rPr>
        <w:t>Diazgranados</w:t>
      </w:r>
      <w:proofErr w:type="spellEnd"/>
      <w:r w:rsidRPr="00AB3791">
        <w:rPr>
          <w:rFonts w:ascii="Times New Roman" w:hAnsi="Times New Roman" w:cs="Times New Roman"/>
          <w:sz w:val="24"/>
          <w:szCs w:val="24"/>
          <w:lang w:val="es-419"/>
        </w:rPr>
        <w:t xml:space="preserve">, S., &amp; Sandoval-Hernández, A. (2017). </w:t>
      </w:r>
      <w:proofErr w:type="spellStart"/>
      <w:r w:rsidRPr="00AB3791">
        <w:rPr>
          <w:rFonts w:ascii="Times New Roman" w:hAnsi="Times New Roman" w:cs="Times New Roman"/>
          <w:sz w:val="24"/>
          <w:szCs w:val="24"/>
          <w:lang w:val="es-419"/>
        </w:rPr>
        <w:t>The</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civic</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competence</w:t>
      </w:r>
      <w:proofErr w:type="spellEnd"/>
      <w:r w:rsidRPr="00AB3791">
        <w:rPr>
          <w:rFonts w:ascii="Times New Roman" w:hAnsi="Times New Roman" w:cs="Times New Roman"/>
          <w:sz w:val="24"/>
          <w:szCs w:val="24"/>
          <w:lang w:val="es-419"/>
        </w:rPr>
        <w:t xml:space="preserve"> gaps in Chile, Colombia and México and </w:t>
      </w:r>
      <w:proofErr w:type="spellStart"/>
      <w:r w:rsidRPr="00AB3791">
        <w:rPr>
          <w:rFonts w:ascii="Times New Roman" w:hAnsi="Times New Roman" w:cs="Times New Roman"/>
          <w:sz w:val="24"/>
          <w:szCs w:val="24"/>
          <w:lang w:val="es-419"/>
        </w:rPr>
        <w:t>the</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factors</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that</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account</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for</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the</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civic</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knowledge</w:t>
      </w:r>
      <w:proofErr w:type="spellEnd"/>
      <w:r w:rsidRPr="00AB3791">
        <w:rPr>
          <w:rFonts w:ascii="Times New Roman" w:hAnsi="Times New Roman" w:cs="Times New Roman"/>
          <w:sz w:val="24"/>
          <w:szCs w:val="24"/>
          <w:lang w:val="es-419"/>
        </w:rPr>
        <w:t xml:space="preserve"> gap: </w:t>
      </w:r>
      <w:proofErr w:type="spellStart"/>
      <w:r w:rsidRPr="00AB3791">
        <w:rPr>
          <w:rFonts w:ascii="Times New Roman" w:hAnsi="Times New Roman" w:cs="Times New Roman"/>
          <w:sz w:val="24"/>
          <w:szCs w:val="24"/>
          <w:lang w:val="es-419"/>
        </w:rPr>
        <w:t>Evidence</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from</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the</w:t>
      </w:r>
      <w:proofErr w:type="spellEnd"/>
      <w:r w:rsidRPr="00AB3791">
        <w:rPr>
          <w:rFonts w:ascii="Times New Roman" w:hAnsi="Times New Roman" w:cs="Times New Roman"/>
          <w:sz w:val="24"/>
          <w:szCs w:val="24"/>
          <w:lang w:val="es-419"/>
        </w:rPr>
        <w:t xml:space="preserve"> 2009 International </w:t>
      </w:r>
      <w:proofErr w:type="spellStart"/>
      <w:r w:rsidRPr="00AB3791">
        <w:rPr>
          <w:rFonts w:ascii="Times New Roman" w:hAnsi="Times New Roman" w:cs="Times New Roman"/>
          <w:sz w:val="24"/>
          <w:szCs w:val="24"/>
          <w:lang w:val="es-419"/>
        </w:rPr>
        <w:t>Civic</w:t>
      </w:r>
      <w:proofErr w:type="spellEnd"/>
      <w:r w:rsidRPr="00AB3791">
        <w:rPr>
          <w:rFonts w:ascii="Times New Roman" w:hAnsi="Times New Roman" w:cs="Times New Roman"/>
          <w:sz w:val="24"/>
          <w:szCs w:val="24"/>
          <w:lang w:val="es-419"/>
        </w:rPr>
        <w:t xml:space="preserve"> and </w:t>
      </w:r>
      <w:proofErr w:type="spellStart"/>
      <w:r w:rsidRPr="00AB3791">
        <w:rPr>
          <w:rFonts w:ascii="Times New Roman" w:hAnsi="Times New Roman" w:cs="Times New Roman"/>
          <w:sz w:val="24"/>
          <w:szCs w:val="24"/>
          <w:lang w:val="es-419"/>
        </w:rPr>
        <w:t>Citizenship</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Education</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Study</w:t>
      </w:r>
      <w:proofErr w:type="spellEnd"/>
      <w:r w:rsidRPr="00AB3791">
        <w:rPr>
          <w:rFonts w:ascii="Times New Roman" w:hAnsi="Times New Roman" w:cs="Times New Roman"/>
          <w:sz w:val="24"/>
          <w:szCs w:val="24"/>
          <w:lang w:val="es-419"/>
        </w:rPr>
        <w:t xml:space="preserve"> (ICCS). In B. García-Cabrero, A. Sandoval-Hernández, E. </w:t>
      </w:r>
      <w:proofErr w:type="spellStart"/>
      <w:r w:rsidRPr="00AB3791">
        <w:rPr>
          <w:rFonts w:ascii="Times New Roman" w:hAnsi="Times New Roman" w:cs="Times New Roman"/>
          <w:sz w:val="24"/>
          <w:szCs w:val="24"/>
          <w:lang w:val="es-419"/>
        </w:rPr>
        <w:t>TreviñoVillarreal</w:t>
      </w:r>
      <w:proofErr w:type="spellEnd"/>
      <w:r w:rsidRPr="00AB3791">
        <w:rPr>
          <w:rFonts w:ascii="Times New Roman" w:hAnsi="Times New Roman" w:cs="Times New Roman"/>
          <w:sz w:val="24"/>
          <w:szCs w:val="24"/>
          <w:lang w:val="es-419"/>
        </w:rPr>
        <w:t xml:space="preserve">, S. </w:t>
      </w:r>
      <w:proofErr w:type="spellStart"/>
      <w:r w:rsidRPr="00AB3791">
        <w:rPr>
          <w:rFonts w:ascii="Times New Roman" w:hAnsi="Times New Roman" w:cs="Times New Roman"/>
          <w:sz w:val="24"/>
          <w:szCs w:val="24"/>
          <w:lang w:val="es-419"/>
        </w:rPr>
        <w:t>Diazgranados</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Férrans</w:t>
      </w:r>
      <w:proofErr w:type="spellEnd"/>
      <w:r w:rsidRPr="00AB3791">
        <w:rPr>
          <w:rFonts w:ascii="Times New Roman" w:hAnsi="Times New Roman" w:cs="Times New Roman"/>
          <w:sz w:val="24"/>
          <w:szCs w:val="24"/>
          <w:lang w:val="es-419"/>
        </w:rPr>
        <w:t xml:space="preserve">, &amp; G. Pérez Martínez (Eds.), </w:t>
      </w:r>
      <w:proofErr w:type="spellStart"/>
      <w:r w:rsidRPr="00AB3791">
        <w:rPr>
          <w:rFonts w:ascii="Times New Roman" w:hAnsi="Times New Roman" w:cs="Times New Roman"/>
          <w:sz w:val="24"/>
          <w:szCs w:val="24"/>
          <w:lang w:val="es-419"/>
        </w:rPr>
        <w:t>Civics</w:t>
      </w:r>
      <w:proofErr w:type="spellEnd"/>
      <w:r w:rsidRPr="00AB3791">
        <w:rPr>
          <w:rFonts w:ascii="Times New Roman" w:hAnsi="Times New Roman" w:cs="Times New Roman"/>
          <w:sz w:val="24"/>
          <w:szCs w:val="24"/>
          <w:lang w:val="es-419"/>
        </w:rPr>
        <w:t xml:space="preserve"> and </w:t>
      </w:r>
      <w:proofErr w:type="spellStart"/>
      <w:r w:rsidRPr="00AB3791">
        <w:rPr>
          <w:rFonts w:ascii="Times New Roman" w:hAnsi="Times New Roman" w:cs="Times New Roman"/>
          <w:sz w:val="24"/>
          <w:szCs w:val="24"/>
          <w:lang w:val="es-419"/>
        </w:rPr>
        <w:t>citizenship</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Theoretical</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models</w:t>
      </w:r>
      <w:proofErr w:type="spellEnd"/>
      <w:r w:rsidRPr="00AB3791">
        <w:rPr>
          <w:rFonts w:ascii="Times New Roman" w:hAnsi="Times New Roman" w:cs="Times New Roman"/>
          <w:sz w:val="24"/>
          <w:szCs w:val="24"/>
          <w:lang w:val="es-419"/>
        </w:rPr>
        <w:t xml:space="preserve"> and </w:t>
      </w:r>
      <w:proofErr w:type="spellStart"/>
      <w:r w:rsidRPr="00AB3791">
        <w:rPr>
          <w:rFonts w:ascii="Times New Roman" w:hAnsi="Times New Roman" w:cs="Times New Roman"/>
          <w:sz w:val="24"/>
          <w:szCs w:val="24"/>
          <w:lang w:val="es-419"/>
        </w:rPr>
        <w:t>experiences</w:t>
      </w:r>
      <w:proofErr w:type="spellEnd"/>
      <w:r w:rsidRPr="00AB3791">
        <w:rPr>
          <w:rFonts w:ascii="Times New Roman" w:hAnsi="Times New Roman" w:cs="Times New Roman"/>
          <w:sz w:val="24"/>
          <w:szCs w:val="24"/>
          <w:lang w:val="es-419"/>
        </w:rPr>
        <w:t xml:space="preserve"> in </w:t>
      </w:r>
      <w:proofErr w:type="spellStart"/>
      <w:r w:rsidRPr="00AB3791">
        <w:rPr>
          <w:rFonts w:ascii="Times New Roman" w:hAnsi="Times New Roman" w:cs="Times New Roman"/>
          <w:sz w:val="24"/>
          <w:szCs w:val="24"/>
          <w:lang w:val="es-419"/>
        </w:rPr>
        <w:t>Latin</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America</w:t>
      </w:r>
      <w:proofErr w:type="spellEnd"/>
      <w:r w:rsidRPr="00AB3791">
        <w:rPr>
          <w:rFonts w:ascii="Times New Roman" w:hAnsi="Times New Roman" w:cs="Times New Roman"/>
          <w:sz w:val="24"/>
          <w:szCs w:val="24"/>
          <w:lang w:val="es-419"/>
        </w:rPr>
        <w:t xml:space="preserve">. Rotterdam, </w:t>
      </w:r>
      <w:proofErr w:type="spellStart"/>
      <w:r w:rsidRPr="00AB3791">
        <w:rPr>
          <w:rFonts w:ascii="Times New Roman" w:hAnsi="Times New Roman" w:cs="Times New Roman"/>
          <w:sz w:val="24"/>
          <w:szCs w:val="24"/>
          <w:lang w:val="es-419"/>
        </w:rPr>
        <w:t>the</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Netherlands</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Sense</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Publications</w:t>
      </w:r>
      <w:proofErr w:type="spellEnd"/>
      <w:r w:rsidRPr="00AB3791">
        <w:rPr>
          <w:rFonts w:ascii="Times New Roman" w:hAnsi="Times New Roman" w:cs="Times New Roman"/>
          <w:sz w:val="24"/>
          <w:szCs w:val="24"/>
          <w:lang w:val="es-419"/>
        </w:rPr>
        <w:t>.</w:t>
      </w:r>
    </w:p>
    <w:p w14:paraId="1BE19EB6" w14:textId="77777777" w:rsidR="00047CA2" w:rsidRPr="00AB3791" w:rsidRDefault="00047CA2" w:rsidP="00047CA2">
      <w:pPr>
        <w:ind w:hanging="567"/>
        <w:jc w:val="both"/>
        <w:rPr>
          <w:rFonts w:ascii="Times New Roman" w:hAnsi="Times New Roman" w:cs="Times New Roman"/>
          <w:sz w:val="24"/>
          <w:szCs w:val="24"/>
          <w:lang w:val="es-419"/>
        </w:rPr>
      </w:pPr>
    </w:p>
    <w:p w14:paraId="317B152B" w14:textId="0AA689CE" w:rsidR="00E518CE" w:rsidRPr="00AB3791" w:rsidRDefault="00E518CE" w:rsidP="00047CA2">
      <w:pPr>
        <w:spacing w:after="240"/>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Miranda, D., Castillo, J. &amp; </w:t>
      </w:r>
      <w:r w:rsidR="007D2943" w:rsidRPr="00AB3791">
        <w:rPr>
          <w:rFonts w:ascii="Times New Roman" w:hAnsi="Times New Roman" w:cs="Times New Roman"/>
          <w:sz w:val="24"/>
          <w:szCs w:val="24"/>
          <w:lang w:val="es-419"/>
        </w:rPr>
        <w:t>Sandoval-Hernández,</w:t>
      </w:r>
      <w:r w:rsidRPr="00AB3791">
        <w:rPr>
          <w:rFonts w:ascii="Times New Roman" w:hAnsi="Times New Roman" w:cs="Times New Roman"/>
          <w:sz w:val="24"/>
          <w:szCs w:val="24"/>
          <w:lang w:val="es-419"/>
        </w:rPr>
        <w:t xml:space="preserve"> </w:t>
      </w:r>
      <w:r w:rsidR="007D2943" w:rsidRPr="00AB3791">
        <w:rPr>
          <w:rFonts w:ascii="Times New Roman" w:hAnsi="Times New Roman" w:cs="Times New Roman"/>
          <w:sz w:val="24"/>
          <w:szCs w:val="24"/>
          <w:lang w:val="es-419"/>
        </w:rPr>
        <w:t>A</w:t>
      </w:r>
      <w:r w:rsidRPr="00AB3791">
        <w:rPr>
          <w:rFonts w:ascii="Times New Roman" w:hAnsi="Times New Roman" w:cs="Times New Roman"/>
          <w:sz w:val="24"/>
          <w:szCs w:val="24"/>
          <w:lang w:val="es-419"/>
        </w:rPr>
        <w:t>. (2015).</w:t>
      </w:r>
      <w:r w:rsidR="007D2943" w:rsidRPr="00AB3791">
        <w:rPr>
          <w:rFonts w:ascii="Times New Roman" w:hAnsi="Times New Roman" w:cs="Times New Roman"/>
          <w:sz w:val="24"/>
          <w:szCs w:val="24"/>
          <w:lang w:val="es-419"/>
        </w:rPr>
        <w:t xml:space="preserve"> Desigualdad y Conocimiento Cívico: Chile en </w:t>
      </w:r>
      <w:proofErr w:type="spellStart"/>
      <w:r w:rsidR="007D2943" w:rsidRPr="00AB3791">
        <w:rPr>
          <w:rFonts w:ascii="Times New Roman" w:hAnsi="Times New Roman" w:cs="Times New Roman"/>
          <w:sz w:val="24"/>
          <w:szCs w:val="24"/>
          <w:lang w:val="es-419"/>
        </w:rPr>
        <w:t>compracion</w:t>
      </w:r>
      <w:proofErr w:type="spellEnd"/>
      <w:r w:rsidR="007D2943" w:rsidRPr="00AB3791">
        <w:rPr>
          <w:rFonts w:ascii="Times New Roman" w:hAnsi="Times New Roman" w:cs="Times New Roman"/>
          <w:sz w:val="24"/>
          <w:szCs w:val="24"/>
          <w:lang w:val="es-419"/>
        </w:rPr>
        <w:t xml:space="preserve"> internacional</w:t>
      </w:r>
      <w:r w:rsidRPr="00AB3791">
        <w:rPr>
          <w:rFonts w:ascii="Times New Roman" w:hAnsi="Times New Roman" w:cs="Times New Roman"/>
          <w:sz w:val="24"/>
          <w:szCs w:val="24"/>
          <w:lang w:val="es-419"/>
        </w:rPr>
        <w:t xml:space="preserve">. En Cox, C. &amp; Castillo (Eds.). Aprendizaje de la ciudadanía Contextos Experiencias y Resultados. </w:t>
      </w:r>
    </w:p>
    <w:p w14:paraId="4909C822" w14:textId="699C58C6" w:rsidR="00A2728F" w:rsidRPr="00AB3791" w:rsidRDefault="00A2728F" w:rsidP="00047CA2">
      <w:pPr>
        <w:ind w:hanging="567"/>
        <w:jc w:val="both"/>
        <w:rPr>
          <w:rFonts w:ascii="Times New Roman" w:hAnsi="Times New Roman" w:cs="Times New Roman"/>
          <w:sz w:val="24"/>
          <w:szCs w:val="24"/>
          <w:lang w:val="es-419"/>
        </w:rPr>
      </w:pPr>
    </w:p>
    <w:p w14:paraId="6608C262" w14:textId="39926D4E" w:rsidR="00A2728F" w:rsidRPr="00AB3791" w:rsidRDefault="00A2728F" w:rsidP="00047CA2">
      <w:pPr>
        <w:pStyle w:val="NormalWeb"/>
        <w:spacing w:before="0" w:beforeAutospacing="0" w:after="240" w:afterAutospacing="0"/>
        <w:ind w:hanging="567"/>
        <w:jc w:val="both"/>
        <w:rPr>
          <w:lang w:val="es-419" w:eastAsia="es-ES"/>
        </w:rPr>
      </w:pPr>
      <w:r w:rsidRPr="00AB3791">
        <w:rPr>
          <w:lang w:val="es-419" w:eastAsia="es-ES"/>
        </w:rPr>
        <w:t xml:space="preserve">Schulz, W., </w:t>
      </w:r>
      <w:proofErr w:type="spellStart"/>
      <w:r w:rsidRPr="00AB3791">
        <w:rPr>
          <w:lang w:val="es-419" w:eastAsia="es-ES"/>
        </w:rPr>
        <w:t>Ainely</w:t>
      </w:r>
      <w:proofErr w:type="spellEnd"/>
      <w:r w:rsidRPr="00AB3791">
        <w:rPr>
          <w:lang w:val="es-419" w:eastAsia="es-ES"/>
        </w:rPr>
        <w:t xml:space="preserve">, J., </w:t>
      </w:r>
      <w:proofErr w:type="spellStart"/>
      <w:r w:rsidRPr="00AB3791">
        <w:rPr>
          <w:lang w:val="es-419" w:eastAsia="es-ES"/>
        </w:rPr>
        <w:t>Fraillon</w:t>
      </w:r>
      <w:proofErr w:type="spellEnd"/>
      <w:r w:rsidRPr="00AB3791">
        <w:rPr>
          <w:lang w:val="es-419" w:eastAsia="es-ES"/>
        </w:rPr>
        <w:t xml:space="preserve">, J., Kerr, D. y </w:t>
      </w:r>
      <w:proofErr w:type="spellStart"/>
      <w:r w:rsidRPr="00AB3791">
        <w:rPr>
          <w:lang w:val="es-419" w:eastAsia="es-ES"/>
        </w:rPr>
        <w:t>Losito</w:t>
      </w:r>
      <w:proofErr w:type="spellEnd"/>
      <w:r w:rsidRPr="00AB3791">
        <w:rPr>
          <w:lang w:val="es-419" w:eastAsia="es-ES"/>
        </w:rPr>
        <w:t xml:space="preserve">, B. (2011). ICCS 2009 </w:t>
      </w:r>
      <w:proofErr w:type="spellStart"/>
      <w:r w:rsidRPr="00AB3791">
        <w:rPr>
          <w:lang w:val="es-419" w:eastAsia="es-ES"/>
        </w:rPr>
        <w:t>international</w:t>
      </w:r>
      <w:proofErr w:type="spellEnd"/>
      <w:r w:rsidRPr="00AB3791">
        <w:rPr>
          <w:lang w:val="es-419" w:eastAsia="es-ES"/>
        </w:rPr>
        <w:t xml:space="preserve"> </w:t>
      </w:r>
      <w:proofErr w:type="spellStart"/>
      <w:r w:rsidRPr="00AB3791">
        <w:rPr>
          <w:lang w:val="es-419" w:eastAsia="es-ES"/>
        </w:rPr>
        <w:t>Report</w:t>
      </w:r>
      <w:proofErr w:type="spellEnd"/>
      <w:r w:rsidRPr="00AB3791">
        <w:rPr>
          <w:lang w:val="es-419" w:eastAsia="es-ES"/>
        </w:rPr>
        <w:t xml:space="preserve">: </w:t>
      </w:r>
      <w:proofErr w:type="spellStart"/>
      <w:r w:rsidRPr="00AB3791">
        <w:rPr>
          <w:lang w:val="es-419" w:eastAsia="es-ES"/>
        </w:rPr>
        <w:t>Civic</w:t>
      </w:r>
      <w:proofErr w:type="spellEnd"/>
      <w:r w:rsidRPr="00AB3791">
        <w:rPr>
          <w:lang w:val="es-419" w:eastAsia="es-ES"/>
        </w:rPr>
        <w:t xml:space="preserve">. </w:t>
      </w:r>
      <w:r w:rsidRPr="00AB3791">
        <w:rPr>
          <w:lang w:val="es-419" w:eastAsia="es-ES"/>
        </w:rPr>
        <w:tab/>
      </w:r>
      <w:proofErr w:type="spellStart"/>
      <w:r w:rsidRPr="00AB3791">
        <w:rPr>
          <w:lang w:val="es-419" w:eastAsia="es-ES"/>
        </w:rPr>
        <w:t>Knowledge</w:t>
      </w:r>
      <w:proofErr w:type="spellEnd"/>
      <w:r w:rsidRPr="00AB3791">
        <w:rPr>
          <w:lang w:val="es-419" w:eastAsia="es-ES"/>
        </w:rPr>
        <w:t xml:space="preserve">, </w:t>
      </w:r>
      <w:proofErr w:type="spellStart"/>
      <w:r w:rsidRPr="00AB3791">
        <w:rPr>
          <w:lang w:val="es-419" w:eastAsia="es-ES"/>
        </w:rPr>
        <w:t>attitudes</w:t>
      </w:r>
      <w:proofErr w:type="spellEnd"/>
      <w:r w:rsidRPr="00AB3791">
        <w:rPr>
          <w:lang w:val="es-419" w:eastAsia="es-ES"/>
        </w:rPr>
        <w:t xml:space="preserve">, and </w:t>
      </w:r>
      <w:proofErr w:type="spellStart"/>
      <w:r w:rsidRPr="00AB3791">
        <w:rPr>
          <w:lang w:val="es-419" w:eastAsia="es-ES"/>
        </w:rPr>
        <w:t>engagement</w:t>
      </w:r>
      <w:proofErr w:type="spellEnd"/>
      <w:r w:rsidRPr="00AB3791">
        <w:rPr>
          <w:lang w:val="es-419" w:eastAsia="es-ES"/>
        </w:rPr>
        <w:t xml:space="preserve"> </w:t>
      </w:r>
      <w:proofErr w:type="spellStart"/>
      <w:r w:rsidRPr="00AB3791">
        <w:rPr>
          <w:lang w:val="es-419" w:eastAsia="es-ES"/>
        </w:rPr>
        <w:t>among</w:t>
      </w:r>
      <w:proofErr w:type="spellEnd"/>
      <w:r w:rsidRPr="00AB3791">
        <w:rPr>
          <w:lang w:val="es-419" w:eastAsia="es-ES"/>
        </w:rPr>
        <w:t xml:space="preserve"> </w:t>
      </w:r>
      <w:proofErr w:type="spellStart"/>
      <w:r w:rsidRPr="00AB3791">
        <w:rPr>
          <w:lang w:val="es-419" w:eastAsia="es-ES"/>
        </w:rPr>
        <w:t>lower</w:t>
      </w:r>
      <w:proofErr w:type="spellEnd"/>
      <w:r w:rsidRPr="00AB3791">
        <w:rPr>
          <w:lang w:val="es-419" w:eastAsia="es-ES"/>
        </w:rPr>
        <w:t xml:space="preserve"> </w:t>
      </w:r>
      <w:proofErr w:type="spellStart"/>
      <w:r w:rsidRPr="00AB3791">
        <w:rPr>
          <w:lang w:val="es-419" w:eastAsia="es-ES"/>
        </w:rPr>
        <w:t>secondary</w:t>
      </w:r>
      <w:proofErr w:type="spellEnd"/>
      <w:r w:rsidRPr="00AB3791">
        <w:rPr>
          <w:lang w:val="es-419" w:eastAsia="es-ES"/>
        </w:rPr>
        <w:t xml:space="preserve"> </w:t>
      </w:r>
      <w:proofErr w:type="spellStart"/>
      <w:r w:rsidRPr="00AB3791">
        <w:rPr>
          <w:lang w:val="es-419" w:eastAsia="es-ES"/>
        </w:rPr>
        <w:t>school</w:t>
      </w:r>
      <w:proofErr w:type="spellEnd"/>
      <w:r w:rsidRPr="00AB3791">
        <w:rPr>
          <w:lang w:val="es-419" w:eastAsia="es-ES"/>
        </w:rPr>
        <w:t xml:space="preserve"> </w:t>
      </w:r>
      <w:proofErr w:type="spellStart"/>
      <w:r w:rsidRPr="00AB3791">
        <w:rPr>
          <w:lang w:val="es-419" w:eastAsia="es-ES"/>
        </w:rPr>
        <w:t>students</w:t>
      </w:r>
      <w:proofErr w:type="spellEnd"/>
      <w:r w:rsidRPr="00AB3791">
        <w:rPr>
          <w:lang w:val="es-419" w:eastAsia="es-ES"/>
        </w:rPr>
        <w:t xml:space="preserve"> in 38 </w:t>
      </w:r>
      <w:r w:rsidRPr="00AB3791">
        <w:rPr>
          <w:lang w:val="es-419" w:eastAsia="es-ES"/>
        </w:rPr>
        <w:tab/>
      </w:r>
      <w:proofErr w:type="spellStart"/>
      <w:r w:rsidRPr="00AB3791">
        <w:rPr>
          <w:lang w:val="es-419" w:eastAsia="es-ES"/>
        </w:rPr>
        <w:t>countries</w:t>
      </w:r>
      <w:proofErr w:type="spellEnd"/>
      <w:r w:rsidRPr="00AB3791">
        <w:rPr>
          <w:lang w:val="es-419" w:eastAsia="es-ES"/>
        </w:rPr>
        <w:t xml:space="preserve">. </w:t>
      </w:r>
      <w:proofErr w:type="spellStart"/>
      <w:r w:rsidRPr="00AB3791">
        <w:rPr>
          <w:lang w:val="es-419" w:eastAsia="es-ES"/>
        </w:rPr>
        <w:t>Ámstendam</w:t>
      </w:r>
      <w:proofErr w:type="spellEnd"/>
      <w:r w:rsidRPr="00AB3791">
        <w:rPr>
          <w:lang w:val="es-419" w:eastAsia="es-ES"/>
        </w:rPr>
        <w:t xml:space="preserve">: Internacional </w:t>
      </w:r>
      <w:proofErr w:type="spellStart"/>
      <w:r w:rsidRPr="00AB3791">
        <w:rPr>
          <w:lang w:val="es-419" w:eastAsia="es-ES"/>
        </w:rPr>
        <w:t>Association</w:t>
      </w:r>
      <w:proofErr w:type="spellEnd"/>
      <w:r w:rsidRPr="00AB3791">
        <w:rPr>
          <w:lang w:val="es-419" w:eastAsia="es-ES"/>
        </w:rPr>
        <w:t xml:space="preserve"> </w:t>
      </w:r>
      <w:proofErr w:type="spellStart"/>
      <w:r w:rsidRPr="00AB3791">
        <w:rPr>
          <w:lang w:val="es-419" w:eastAsia="es-ES"/>
        </w:rPr>
        <w:t>for</w:t>
      </w:r>
      <w:proofErr w:type="spellEnd"/>
      <w:r w:rsidRPr="00AB3791">
        <w:rPr>
          <w:lang w:val="es-419" w:eastAsia="es-ES"/>
        </w:rPr>
        <w:t xml:space="preserve"> </w:t>
      </w:r>
      <w:proofErr w:type="spellStart"/>
      <w:r w:rsidRPr="00AB3791">
        <w:rPr>
          <w:lang w:val="es-419" w:eastAsia="es-ES"/>
        </w:rPr>
        <w:t>the</w:t>
      </w:r>
      <w:proofErr w:type="spellEnd"/>
      <w:r w:rsidRPr="00AB3791">
        <w:rPr>
          <w:lang w:val="es-419" w:eastAsia="es-ES"/>
        </w:rPr>
        <w:t xml:space="preserve"> </w:t>
      </w:r>
      <w:proofErr w:type="spellStart"/>
      <w:proofErr w:type="gramStart"/>
      <w:r w:rsidRPr="00AB3791">
        <w:rPr>
          <w:lang w:val="es-419" w:eastAsia="es-ES"/>
        </w:rPr>
        <w:t>Evaluation</w:t>
      </w:r>
      <w:proofErr w:type="spellEnd"/>
      <w:r w:rsidRPr="00AB3791">
        <w:rPr>
          <w:lang w:val="es-419" w:eastAsia="es-ES"/>
        </w:rPr>
        <w:t xml:space="preserve">  </w:t>
      </w:r>
      <w:proofErr w:type="spellStart"/>
      <w:r w:rsidRPr="00AB3791">
        <w:rPr>
          <w:lang w:val="es-419" w:eastAsia="es-ES"/>
        </w:rPr>
        <w:t>of</w:t>
      </w:r>
      <w:proofErr w:type="spellEnd"/>
      <w:proofErr w:type="gramEnd"/>
      <w:r w:rsidRPr="00AB3791">
        <w:rPr>
          <w:lang w:val="es-419" w:eastAsia="es-ES"/>
        </w:rPr>
        <w:t xml:space="preserve"> </w:t>
      </w:r>
      <w:proofErr w:type="spellStart"/>
      <w:r w:rsidRPr="00AB3791">
        <w:rPr>
          <w:lang w:val="es-419" w:eastAsia="es-ES"/>
        </w:rPr>
        <w:t>Educational</w:t>
      </w:r>
      <w:proofErr w:type="spellEnd"/>
      <w:r w:rsidRPr="00AB3791">
        <w:rPr>
          <w:lang w:val="es-419" w:eastAsia="es-ES"/>
        </w:rPr>
        <w:t xml:space="preserve"> </w:t>
      </w:r>
      <w:r w:rsidRPr="00AB3791">
        <w:rPr>
          <w:lang w:val="es-419" w:eastAsia="es-ES"/>
        </w:rPr>
        <w:tab/>
      </w:r>
      <w:proofErr w:type="spellStart"/>
      <w:r w:rsidRPr="00AB3791">
        <w:rPr>
          <w:lang w:val="es-419" w:eastAsia="es-ES"/>
        </w:rPr>
        <w:t>Achievement</w:t>
      </w:r>
      <w:proofErr w:type="spellEnd"/>
      <w:r w:rsidRPr="00AB3791">
        <w:rPr>
          <w:lang w:val="es-419" w:eastAsia="es-ES"/>
        </w:rPr>
        <w:t xml:space="preserve"> (IEA).</w:t>
      </w:r>
    </w:p>
    <w:p w14:paraId="069C7D27" w14:textId="77777777" w:rsidR="00A42B41" w:rsidRPr="00AB3791" w:rsidRDefault="00A42B41" w:rsidP="00047CA2">
      <w:pPr>
        <w:ind w:hanging="567"/>
        <w:jc w:val="both"/>
        <w:rPr>
          <w:rFonts w:ascii="Times New Roman" w:hAnsi="Times New Roman" w:cs="Times New Roman"/>
          <w:sz w:val="24"/>
          <w:szCs w:val="24"/>
          <w:lang w:val="es-419"/>
        </w:rPr>
      </w:pPr>
    </w:p>
    <w:p w14:paraId="03C8CA27" w14:textId="174FA8BB" w:rsidR="00AD308A" w:rsidRPr="00AB3791" w:rsidRDefault="00AD308A" w:rsidP="00047CA2">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CONTRERAS, GONZALO, &amp; NAVIA, PATRICIO. (2013). DIFERENCIAS GENERACIONALES EN LA PARTICIPACIÓN ELECTORAL EN CHILE, 1988-2010. Revista de ciencia política (Santiago), 33(2), 419-441. </w:t>
      </w:r>
      <w:hyperlink r:id="rId9" w:history="1">
        <w:r w:rsidRPr="00AB3791">
          <w:rPr>
            <w:rFonts w:ascii="Times New Roman" w:hAnsi="Times New Roman" w:cs="Times New Roman"/>
            <w:sz w:val="24"/>
            <w:szCs w:val="24"/>
            <w:lang w:val="es-419"/>
          </w:rPr>
          <w:t>https://dx.doi.org/10.4067/S0718-090X2013000200001</w:t>
        </w:r>
      </w:hyperlink>
    </w:p>
    <w:p w14:paraId="48FFDF55" w14:textId="77777777" w:rsidR="00CF346A" w:rsidRPr="00AB3791" w:rsidRDefault="00CF346A" w:rsidP="00047CA2">
      <w:pPr>
        <w:ind w:hanging="567"/>
        <w:jc w:val="both"/>
        <w:rPr>
          <w:rFonts w:ascii="Times New Roman" w:hAnsi="Times New Roman" w:cs="Times New Roman"/>
          <w:sz w:val="24"/>
          <w:szCs w:val="24"/>
          <w:lang w:val="es-419"/>
        </w:rPr>
      </w:pPr>
    </w:p>
    <w:p w14:paraId="1B279D51" w14:textId="5D49EE42" w:rsidR="00CF346A" w:rsidRPr="00AB3791" w:rsidRDefault="00CF346A" w:rsidP="00047CA2">
      <w:pPr>
        <w:ind w:hanging="567"/>
        <w:jc w:val="both"/>
        <w:rPr>
          <w:rFonts w:ascii="Times New Roman" w:hAnsi="Times New Roman" w:cs="Times New Roman"/>
          <w:sz w:val="24"/>
          <w:szCs w:val="24"/>
          <w:lang w:val="es-419"/>
        </w:rPr>
      </w:pPr>
      <w:proofErr w:type="spellStart"/>
      <w:r w:rsidRPr="00AB3791">
        <w:rPr>
          <w:rFonts w:ascii="Times New Roman" w:hAnsi="Times New Roman" w:cs="Times New Roman"/>
          <w:sz w:val="24"/>
          <w:szCs w:val="24"/>
          <w:lang w:val="es-419"/>
        </w:rPr>
        <w:lastRenderedPageBreak/>
        <w:t>Dukuen</w:t>
      </w:r>
      <w:proofErr w:type="spellEnd"/>
      <w:r w:rsidRPr="00AB3791">
        <w:rPr>
          <w:rFonts w:ascii="Times New Roman" w:hAnsi="Times New Roman" w:cs="Times New Roman"/>
          <w:sz w:val="24"/>
          <w:szCs w:val="24"/>
          <w:lang w:val="es-419"/>
        </w:rPr>
        <w:t xml:space="preserve">, Juan. (2015). Indagaciones sobre el vínculo entre política, moral y escolaridad en la perspectiva de Bourdieu. Folios, (41), 117-128. Recuperado em 27 de </w:t>
      </w:r>
      <w:proofErr w:type="spellStart"/>
      <w:r w:rsidRPr="00AB3791">
        <w:rPr>
          <w:rFonts w:ascii="Times New Roman" w:hAnsi="Times New Roman" w:cs="Times New Roman"/>
          <w:sz w:val="24"/>
          <w:szCs w:val="24"/>
          <w:lang w:val="es-419"/>
        </w:rPr>
        <w:t>junho</w:t>
      </w:r>
      <w:proofErr w:type="spellEnd"/>
      <w:r w:rsidRPr="00AB3791">
        <w:rPr>
          <w:rFonts w:ascii="Times New Roman" w:hAnsi="Times New Roman" w:cs="Times New Roman"/>
          <w:sz w:val="24"/>
          <w:szCs w:val="24"/>
          <w:lang w:val="es-419"/>
        </w:rPr>
        <w:t xml:space="preserve"> de 2019, de </w:t>
      </w:r>
      <w:hyperlink r:id="rId10" w:history="1">
        <w:r w:rsidR="00770F53" w:rsidRPr="00AB3791">
          <w:rPr>
            <w:rFonts w:ascii="Times New Roman" w:hAnsi="Times New Roman" w:cs="Times New Roman"/>
            <w:sz w:val="24"/>
            <w:szCs w:val="24"/>
            <w:lang w:val="es-419"/>
          </w:rPr>
          <w:t>http://www.scielo.org.co/scielo.php?script=sci_arttext&amp;pid=S0123-48702015000100008&amp;lng=pt&amp;tlng=es</w:t>
        </w:r>
      </w:hyperlink>
      <w:r w:rsidRPr="00AB3791">
        <w:rPr>
          <w:rFonts w:ascii="Times New Roman" w:hAnsi="Times New Roman" w:cs="Times New Roman"/>
          <w:sz w:val="24"/>
          <w:szCs w:val="24"/>
          <w:lang w:val="es-419"/>
        </w:rPr>
        <w:t>.</w:t>
      </w:r>
    </w:p>
    <w:p w14:paraId="5F9280ED" w14:textId="784638E8" w:rsidR="00770F53" w:rsidRPr="00AB3791" w:rsidRDefault="00770F53" w:rsidP="00047CA2">
      <w:pPr>
        <w:ind w:hanging="567"/>
        <w:jc w:val="both"/>
        <w:rPr>
          <w:rFonts w:ascii="Times New Roman" w:hAnsi="Times New Roman" w:cs="Times New Roman"/>
          <w:sz w:val="24"/>
          <w:szCs w:val="24"/>
          <w:lang w:val="es-419"/>
        </w:rPr>
      </w:pPr>
    </w:p>
    <w:p w14:paraId="0A4B4D20" w14:textId="41782439" w:rsidR="00A2728F" w:rsidRPr="00AB3791" w:rsidRDefault="00770F53" w:rsidP="00047CA2">
      <w:pPr>
        <w:ind w:hanging="567"/>
        <w:jc w:val="both"/>
        <w:rPr>
          <w:rFonts w:ascii="Times New Roman" w:hAnsi="Times New Roman" w:cs="Times New Roman"/>
          <w:sz w:val="24"/>
          <w:szCs w:val="24"/>
          <w:lang w:val="es-419"/>
        </w:rPr>
      </w:pPr>
      <w:proofErr w:type="spellStart"/>
      <w:r w:rsidRPr="00AB3791">
        <w:rPr>
          <w:rFonts w:ascii="Times New Roman" w:hAnsi="Times New Roman" w:cs="Times New Roman"/>
          <w:sz w:val="24"/>
          <w:szCs w:val="24"/>
          <w:lang w:val="es-419"/>
        </w:rPr>
        <w:t>Nie</w:t>
      </w:r>
      <w:proofErr w:type="spellEnd"/>
      <w:r w:rsidRPr="00AB3791">
        <w:rPr>
          <w:rFonts w:ascii="Times New Roman" w:hAnsi="Times New Roman" w:cs="Times New Roman"/>
          <w:sz w:val="24"/>
          <w:szCs w:val="24"/>
          <w:lang w:val="es-419"/>
        </w:rPr>
        <w:t xml:space="preserve">, N., </w:t>
      </w:r>
      <w:proofErr w:type="spellStart"/>
      <w:r w:rsidRPr="00AB3791">
        <w:rPr>
          <w:rFonts w:ascii="Times New Roman" w:hAnsi="Times New Roman" w:cs="Times New Roman"/>
          <w:sz w:val="24"/>
          <w:szCs w:val="24"/>
          <w:lang w:val="es-419"/>
        </w:rPr>
        <w:t>Junn</w:t>
      </w:r>
      <w:proofErr w:type="spellEnd"/>
      <w:r w:rsidRPr="00AB3791">
        <w:rPr>
          <w:rFonts w:ascii="Times New Roman" w:hAnsi="Times New Roman" w:cs="Times New Roman"/>
          <w:sz w:val="24"/>
          <w:szCs w:val="24"/>
          <w:lang w:val="es-419"/>
        </w:rPr>
        <w:t xml:space="preserve">, J., </w:t>
      </w:r>
      <w:proofErr w:type="spellStart"/>
      <w:r w:rsidRPr="00AB3791">
        <w:rPr>
          <w:rFonts w:ascii="Times New Roman" w:hAnsi="Times New Roman" w:cs="Times New Roman"/>
          <w:sz w:val="24"/>
          <w:szCs w:val="24"/>
          <w:lang w:val="es-419"/>
        </w:rPr>
        <w:t>Stehlik</w:t>
      </w:r>
      <w:proofErr w:type="spellEnd"/>
      <w:r w:rsidRPr="00AB3791">
        <w:rPr>
          <w:rFonts w:ascii="Times New Roman" w:hAnsi="Times New Roman" w:cs="Times New Roman"/>
          <w:sz w:val="24"/>
          <w:szCs w:val="24"/>
          <w:lang w:val="es-419"/>
        </w:rPr>
        <w:t xml:space="preserve">-Barry, K., 1996. </w:t>
      </w:r>
      <w:proofErr w:type="spellStart"/>
      <w:r w:rsidRPr="00AB3791">
        <w:rPr>
          <w:rFonts w:ascii="Times New Roman" w:hAnsi="Times New Roman" w:cs="Times New Roman"/>
          <w:sz w:val="24"/>
          <w:szCs w:val="24"/>
          <w:lang w:val="es-419"/>
        </w:rPr>
        <w:t>Education</w:t>
      </w:r>
      <w:proofErr w:type="spellEnd"/>
      <w:r w:rsidRPr="00AB3791">
        <w:rPr>
          <w:rFonts w:ascii="Times New Roman" w:hAnsi="Times New Roman" w:cs="Times New Roman"/>
          <w:sz w:val="24"/>
          <w:szCs w:val="24"/>
          <w:lang w:val="es-419"/>
        </w:rPr>
        <w:t xml:space="preserve"> and </w:t>
      </w:r>
      <w:proofErr w:type="spellStart"/>
      <w:r w:rsidRPr="00AB3791">
        <w:rPr>
          <w:rFonts w:ascii="Times New Roman" w:hAnsi="Times New Roman" w:cs="Times New Roman"/>
          <w:sz w:val="24"/>
          <w:szCs w:val="24"/>
          <w:lang w:val="es-419"/>
        </w:rPr>
        <w:t>Democratic</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Citizenship</w:t>
      </w:r>
      <w:proofErr w:type="spellEnd"/>
      <w:r w:rsidRPr="00AB3791">
        <w:rPr>
          <w:rFonts w:ascii="Times New Roman" w:hAnsi="Times New Roman" w:cs="Times New Roman"/>
          <w:sz w:val="24"/>
          <w:szCs w:val="24"/>
          <w:lang w:val="es-419"/>
        </w:rPr>
        <w:t xml:space="preserve"> in </w:t>
      </w:r>
      <w:proofErr w:type="spellStart"/>
      <w:r w:rsidRPr="00AB3791">
        <w:rPr>
          <w:rFonts w:ascii="Times New Roman" w:hAnsi="Times New Roman" w:cs="Times New Roman"/>
          <w:sz w:val="24"/>
          <w:szCs w:val="24"/>
          <w:lang w:val="es-419"/>
        </w:rPr>
        <w:t>America</w:t>
      </w:r>
      <w:proofErr w:type="spellEnd"/>
      <w:r w:rsidRPr="00AB3791">
        <w:rPr>
          <w:rFonts w:ascii="Times New Roman" w:hAnsi="Times New Roman" w:cs="Times New Roman"/>
          <w:sz w:val="24"/>
          <w:szCs w:val="24"/>
          <w:lang w:val="es-419"/>
        </w:rPr>
        <w:t xml:space="preserve">. Chicago </w:t>
      </w:r>
      <w:proofErr w:type="spellStart"/>
      <w:r w:rsidRPr="00AB3791">
        <w:rPr>
          <w:rFonts w:ascii="Times New Roman" w:hAnsi="Times New Roman" w:cs="Times New Roman"/>
          <w:sz w:val="24"/>
          <w:szCs w:val="24"/>
          <w:lang w:val="es-419"/>
        </w:rPr>
        <w:t>University</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Press</w:t>
      </w:r>
      <w:proofErr w:type="spellEnd"/>
      <w:r w:rsidRPr="00AB3791">
        <w:rPr>
          <w:rFonts w:ascii="Times New Roman" w:hAnsi="Times New Roman" w:cs="Times New Roman"/>
          <w:sz w:val="24"/>
          <w:szCs w:val="24"/>
          <w:lang w:val="es-419"/>
        </w:rPr>
        <w:t xml:space="preserve">, Chicago. </w:t>
      </w:r>
    </w:p>
    <w:p w14:paraId="0BFAABB9" w14:textId="2A9A926E" w:rsidR="00A42B41" w:rsidRPr="00AB3791" w:rsidRDefault="00A42B41" w:rsidP="00047CA2">
      <w:pPr>
        <w:ind w:hanging="567"/>
        <w:jc w:val="both"/>
        <w:rPr>
          <w:rFonts w:ascii="Times New Roman" w:hAnsi="Times New Roman" w:cs="Times New Roman"/>
          <w:sz w:val="24"/>
          <w:szCs w:val="24"/>
          <w:lang w:val="es-419"/>
        </w:rPr>
      </w:pPr>
    </w:p>
    <w:p w14:paraId="06F03E9C" w14:textId="20E94F99" w:rsidR="00A42B41" w:rsidRPr="00AB3791" w:rsidRDefault="00A42B41" w:rsidP="00047CA2">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Schulz, W., </w:t>
      </w:r>
      <w:proofErr w:type="spellStart"/>
      <w:r w:rsidRPr="00AB3791">
        <w:rPr>
          <w:rFonts w:ascii="Times New Roman" w:hAnsi="Times New Roman" w:cs="Times New Roman"/>
          <w:sz w:val="24"/>
          <w:szCs w:val="24"/>
          <w:lang w:val="es-419"/>
        </w:rPr>
        <w:t>Ainley</w:t>
      </w:r>
      <w:proofErr w:type="spellEnd"/>
      <w:r w:rsidRPr="00AB3791">
        <w:rPr>
          <w:rFonts w:ascii="Times New Roman" w:hAnsi="Times New Roman" w:cs="Times New Roman"/>
          <w:sz w:val="24"/>
          <w:szCs w:val="24"/>
          <w:lang w:val="es-419"/>
        </w:rPr>
        <w:t xml:space="preserve">, J., Cox, C. &amp; Friedman, T. (2016). Percepciones de los jóvenes acerca del gobierno, la convivencia pacífica y la diversidad en cinco países de América Latina. International </w:t>
      </w:r>
      <w:proofErr w:type="spellStart"/>
      <w:r w:rsidRPr="00AB3791">
        <w:rPr>
          <w:rFonts w:ascii="Times New Roman" w:hAnsi="Times New Roman" w:cs="Times New Roman"/>
          <w:sz w:val="24"/>
          <w:szCs w:val="24"/>
          <w:lang w:val="es-419"/>
        </w:rPr>
        <w:t>Association</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for</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the</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Evaluation</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of</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Educational</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Achievement</w:t>
      </w:r>
      <w:proofErr w:type="spellEnd"/>
      <w:r w:rsidRPr="00AB3791">
        <w:rPr>
          <w:rFonts w:ascii="Times New Roman" w:hAnsi="Times New Roman" w:cs="Times New Roman"/>
          <w:sz w:val="24"/>
          <w:szCs w:val="24"/>
          <w:lang w:val="es-419"/>
        </w:rPr>
        <w:t xml:space="preserve"> (IEA).</w:t>
      </w:r>
    </w:p>
    <w:p w14:paraId="319F6A3D" w14:textId="107BDA7C" w:rsidR="00A42B41" w:rsidRPr="00AB3791" w:rsidRDefault="00A42B41" w:rsidP="00047CA2">
      <w:pPr>
        <w:ind w:hanging="567"/>
        <w:jc w:val="both"/>
        <w:rPr>
          <w:rFonts w:ascii="Times New Roman" w:hAnsi="Times New Roman" w:cs="Times New Roman"/>
          <w:sz w:val="24"/>
          <w:szCs w:val="24"/>
          <w:lang w:val="es-419"/>
        </w:rPr>
      </w:pPr>
    </w:p>
    <w:p w14:paraId="7A798B87" w14:textId="23EABAFF" w:rsidR="00A42B41" w:rsidRPr="00AB3791" w:rsidRDefault="00A42B41" w:rsidP="00047CA2">
      <w:pPr>
        <w:ind w:hanging="567"/>
        <w:jc w:val="both"/>
        <w:rPr>
          <w:rFonts w:ascii="Times New Roman" w:hAnsi="Times New Roman" w:cs="Times New Roman"/>
          <w:sz w:val="24"/>
          <w:szCs w:val="24"/>
          <w:lang w:val="es-419"/>
        </w:rPr>
      </w:pPr>
    </w:p>
    <w:p w14:paraId="7F149356" w14:textId="7072A2BF" w:rsidR="00A42B41" w:rsidRPr="00AB3791" w:rsidRDefault="00A42B41" w:rsidP="00047CA2">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Schulz, W., </w:t>
      </w:r>
      <w:proofErr w:type="spellStart"/>
      <w:r w:rsidRPr="00AB3791">
        <w:rPr>
          <w:rFonts w:ascii="Times New Roman" w:hAnsi="Times New Roman" w:cs="Times New Roman"/>
          <w:sz w:val="24"/>
          <w:szCs w:val="24"/>
          <w:lang w:val="es-419"/>
        </w:rPr>
        <w:t>Ainely</w:t>
      </w:r>
      <w:proofErr w:type="spellEnd"/>
      <w:r w:rsidRPr="00AB3791">
        <w:rPr>
          <w:rFonts w:ascii="Times New Roman" w:hAnsi="Times New Roman" w:cs="Times New Roman"/>
          <w:sz w:val="24"/>
          <w:szCs w:val="24"/>
          <w:lang w:val="es-419"/>
        </w:rPr>
        <w:t xml:space="preserve">, J., </w:t>
      </w:r>
      <w:proofErr w:type="spellStart"/>
      <w:r w:rsidRPr="00AB3791">
        <w:rPr>
          <w:rFonts w:ascii="Times New Roman" w:hAnsi="Times New Roman" w:cs="Times New Roman"/>
          <w:sz w:val="24"/>
          <w:szCs w:val="24"/>
          <w:lang w:val="es-419"/>
        </w:rPr>
        <w:t>Fraillon</w:t>
      </w:r>
      <w:proofErr w:type="spellEnd"/>
      <w:r w:rsidRPr="00AB3791">
        <w:rPr>
          <w:rFonts w:ascii="Times New Roman" w:hAnsi="Times New Roman" w:cs="Times New Roman"/>
          <w:sz w:val="24"/>
          <w:szCs w:val="24"/>
          <w:lang w:val="es-419"/>
        </w:rPr>
        <w:t xml:space="preserve">, J., Kerr, D. y </w:t>
      </w:r>
      <w:proofErr w:type="spellStart"/>
      <w:r w:rsidRPr="00AB3791">
        <w:rPr>
          <w:rFonts w:ascii="Times New Roman" w:hAnsi="Times New Roman" w:cs="Times New Roman"/>
          <w:sz w:val="24"/>
          <w:szCs w:val="24"/>
          <w:lang w:val="es-419"/>
        </w:rPr>
        <w:t>Losito</w:t>
      </w:r>
      <w:proofErr w:type="spellEnd"/>
      <w:r w:rsidRPr="00AB3791">
        <w:rPr>
          <w:rFonts w:ascii="Times New Roman" w:hAnsi="Times New Roman" w:cs="Times New Roman"/>
          <w:sz w:val="24"/>
          <w:szCs w:val="24"/>
          <w:lang w:val="es-419"/>
        </w:rPr>
        <w:t xml:space="preserve">, B. (2011). ICCS 2009 </w:t>
      </w:r>
      <w:proofErr w:type="spellStart"/>
      <w:r w:rsidRPr="00AB3791">
        <w:rPr>
          <w:rFonts w:ascii="Times New Roman" w:hAnsi="Times New Roman" w:cs="Times New Roman"/>
          <w:sz w:val="24"/>
          <w:szCs w:val="24"/>
          <w:lang w:val="es-419"/>
        </w:rPr>
        <w:t>international</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Report</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Civic</w:t>
      </w:r>
      <w:proofErr w:type="spellEnd"/>
      <w:r w:rsidRPr="00AB3791">
        <w:rPr>
          <w:rFonts w:ascii="Times New Roman" w:hAnsi="Times New Roman" w:cs="Times New Roman"/>
          <w:sz w:val="24"/>
          <w:szCs w:val="24"/>
          <w:lang w:val="es-419"/>
        </w:rPr>
        <w:t xml:space="preserve">. </w:t>
      </w:r>
      <w:r w:rsidRPr="00AB3791">
        <w:rPr>
          <w:rFonts w:ascii="Times New Roman" w:hAnsi="Times New Roman" w:cs="Times New Roman"/>
          <w:sz w:val="24"/>
          <w:szCs w:val="24"/>
          <w:lang w:val="es-419"/>
        </w:rPr>
        <w:tab/>
      </w:r>
      <w:proofErr w:type="spellStart"/>
      <w:r w:rsidRPr="00AB3791">
        <w:rPr>
          <w:rFonts w:ascii="Times New Roman" w:hAnsi="Times New Roman" w:cs="Times New Roman"/>
          <w:sz w:val="24"/>
          <w:szCs w:val="24"/>
          <w:lang w:val="es-419"/>
        </w:rPr>
        <w:t>Knowledge</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attitudes</w:t>
      </w:r>
      <w:proofErr w:type="spellEnd"/>
      <w:r w:rsidRPr="00AB3791">
        <w:rPr>
          <w:rFonts w:ascii="Times New Roman" w:hAnsi="Times New Roman" w:cs="Times New Roman"/>
          <w:sz w:val="24"/>
          <w:szCs w:val="24"/>
          <w:lang w:val="es-419"/>
        </w:rPr>
        <w:t xml:space="preserve">, and </w:t>
      </w:r>
      <w:proofErr w:type="spellStart"/>
      <w:r w:rsidRPr="00AB3791">
        <w:rPr>
          <w:rFonts w:ascii="Times New Roman" w:hAnsi="Times New Roman" w:cs="Times New Roman"/>
          <w:sz w:val="24"/>
          <w:szCs w:val="24"/>
          <w:lang w:val="es-419"/>
        </w:rPr>
        <w:t>engagement</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among</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lower</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secondary</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school</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students</w:t>
      </w:r>
      <w:proofErr w:type="spellEnd"/>
      <w:r w:rsidRPr="00AB3791">
        <w:rPr>
          <w:rFonts w:ascii="Times New Roman" w:hAnsi="Times New Roman" w:cs="Times New Roman"/>
          <w:sz w:val="24"/>
          <w:szCs w:val="24"/>
          <w:lang w:val="es-419"/>
        </w:rPr>
        <w:t xml:space="preserve"> in 38 </w:t>
      </w:r>
      <w:r w:rsidRPr="00AB3791">
        <w:rPr>
          <w:rFonts w:ascii="Times New Roman" w:hAnsi="Times New Roman" w:cs="Times New Roman"/>
          <w:sz w:val="24"/>
          <w:szCs w:val="24"/>
          <w:lang w:val="es-419"/>
        </w:rPr>
        <w:tab/>
      </w:r>
      <w:proofErr w:type="spellStart"/>
      <w:r w:rsidRPr="00AB3791">
        <w:rPr>
          <w:rFonts w:ascii="Times New Roman" w:hAnsi="Times New Roman" w:cs="Times New Roman"/>
          <w:sz w:val="24"/>
          <w:szCs w:val="24"/>
          <w:lang w:val="es-419"/>
        </w:rPr>
        <w:t>countries</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Ámstendam</w:t>
      </w:r>
      <w:proofErr w:type="spellEnd"/>
      <w:r w:rsidRPr="00AB3791">
        <w:rPr>
          <w:rFonts w:ascii="Times New Roman" w:hAnsi="Times New Roman" w:cs="Times New Roman"/>
          <w:sz w:val="24"/>
          <w:szCs w:val="24"/>
          <w:lang w:val="es-419"/>
        </w:rPr>
        <w:t xml:space="preserve">: Internacional </w:t>
      </w:r>
      <w:proofErr w:type="spellStart"/>
      <w:r w:rsidRPr="00AB3791">
        <w:rPr>
          <w:rFonts w:ascii="Times New Roman" w:hAnsi="Times New Roman" w:cs="Times New Roman"/>
          <w:sz w:val="24"/>
          <w:szCs w:val="24"/>
          <w:lang w:val="es-419"/>
        </w:rPr>
        <w:t>Association</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for</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the</w:t>
      </w:r>
      <w:proofErr w:type="spellEnd"/>
      <w:r w:rsidRPr="00AB3791">
        <w:rPr>
          <w:rFonts w:ascii="Times New Roman" w:hAnsi="Times New Roman" w:cs="Times New Roman"/>
          <w:sz w:val="24"/>
          <w:szCs w:val="24"/>
          <w:lang w:val="es-419"/>
        </w:rPr>
        <w:t xml:space="preserve"> </w:t>
      </w:r>
      <w:proofErr w:type="spellStart"/>
      <w:proofErr w:type="gramStart"/>
      <w:r w:rsidRPr="00AB3791">
        <w:rPr>
          <w:rFonts w:ascii="Times New Roman" w:hAnsi="Times New Roman" w:cs="Times New Roman"/>
          <w:sz w:val="24"/>
          <w:szCs w:val="24"/>
          <w:lang w:val="es-419"/>
        </w:rPr>
        <w:t>Evaluation</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of</w:t>
      </w:r>
      <w:proofErr w:type="spellEnd"/>
      <w:proofErr w:type="gram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Educational</w:t>
      </w:r>
      <w:proofErr w:type="spellEnd"/>
      <w:r w:rsidRPr="00AB3791">
        <w:rPr>
          <w:rFonts w:ascii="Times New Roman" w:hAnsi="Times New Roman" w:cs="Times New Roman"/>
          <w:sz w:val="24"/>
          <w:szCs w:val="24"/>
          <w:lang w:val="es-419"/>
        </w:rPr>
        <w:t xml:space="preserve"> </w:t>
      </w:r>
      <w:r w:rsidRPr="00AB3791">
        <w:rPr>
          <w:rFonts w:ascii="Times New Roman" w:hAnsi="Times New Roman" w:cs="Times New Roman"/>
          <w:sz w:val="24"/>
          <w:szCs w:val="24"/>
          <w:lang w:val="es-419"/>
        </w:rPr>
        <w:tab/>
      </w:r>
      <w:proofErr w:type="spellStart"/>
      <w:r w:rsidRPr="00AB3791">
        <w:rPr>
          <w:rFonts w:ascii="Times New Roman" w:hAnsi="Times New Roman" w:cs="Times New Roman"/>
          <w:sz w:val="24"/>
          <w:szCs w:val="24"/>
          <w:lang w:val="es-419"/>
        </w:rPr>
        <w:t>Achievement</w:t>
      </w:r>
      <w:proofErr w:type="spellEnd"/>
      <w:r w:rsidRPr="00AB3791">
        <w:rPr>
          <w:rFonts w:ascii="Times New Roman" w:hAnsi="Times New Roman" w:cs="Times New Roman"/>
          <w:sz w:val="24"/>
          <w:szCs w:val="24"/>
          <w:lang w:val="es-419"/>
        </w:rPr>
        <w:t xml:space="preserve"> (IEA).</w:t>
      </w:r>
    </w:p>
    <w:p w14:paraId="78DA6F05" w14:textId="77777777" w:rsidR="00A42B41" w:rsidRPr="00AB3791" w:rsidRDefault="00A42B41" w:rsidP="00047CA2">
      <w:pPr>
        <w:ind w:hanging="567"/>
        <w:jc w:val="both"/>
        <w:rPr>
          <w:rFonts w:ascii="Times New Roman" w:hAnsi="Times New Roman" w:cs="Times New Roman"/>
          <w:sz w:val="24"/>
          <w:szCs w:val="24"/>
          <w:lang w:val="es-419"/>
        </w:rPr>
      </w:pPr>
    </w:p>
    <w:p w14:paraId="68779B6D" w14:textId="77777777" w:rsidR="00A42B41" w:rsidRPr="00AB3791" w:rsidRDefault="00A42B41" w:rsidP="00047CA2">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Naval, C., </w:t>
      </w:r>
      <w:proofErr w:type="spellStart"/>
      <w:r w:rsidRPr="00AB3791">
        <w:rPr>
          <w:rFonts w:ascii="Times New Roman" w:hAnsi="Times New Roman" w:cs="Times New Roman"/>
          <w:sz w:val="24"/>
          <w:szCs w:val="24"/>
          <w:lang w:val="es-419"/>
        </w:rPr>
        <w:t>Print</w:t>
      </w:r>
      <w:proofErr w:type="spellEnd"/>
      <w:r w:rsidRPr="00AB3791">
        <w:rPr>
          <w:rFonts w:ascii="Times New Roman" w:hAnsi="Times New Roman" w:cs="Times New Roman"/>
          <w:sz w:val="24"/>
          <w:szCs w:val="24"/>
          <w:lang w:val="es-419"/>
        </w:rPr>
        <w:t xml:space="preserve">, M. y </w:t>
      </w:r>
      <w:proofErr w:type="spellStart"/>
      <w:r w:rsidRPr="00AB3791">
        <w:rPr>
          <w:rFonts w:ascii="Times New Roman" w:hAnsi="Times New Roman" w:cs="Times New Roman"/>
          <w:sz w:val="24"/>
          <w:szCs w:val="24"/>
          <w:lang w:val="es-419"/>
        </w:rPr>
        <w:t>Veldhuis</w:t>
      </w:r>
      <w:proofErr w:type="spellEnd"/>
      <w:r w:rsidRPr="00AB3791">
        <w:rPr>
          <w:rFonts w:ascii="Times New Roman" w:hAnsi="Times New Roman" w:cs="Times New Roman"/>
          <w:sz w:val="24"/>
          <w:szCs w:val="24"/>
          <w:lang w:val="es-419"/>
        </w:rPr>
        <w:t xml:space="preserve">, R. (2002). </w:t>
      </w:r>
      <w:proofErr w:type="spellStart"/>
      <w:r w:rsidRPr="00AB3791">
        <w:rPr>
          <w:rFonts w:ascii="Times New Roman" w:hAnsi="Times New Roman" w:cs="Times New Roman"/>
          <w:sz w:val="24"/>
          <w:szCs w:val="24"/>
          <w:lang w:val="es-419"/>
        </w:rPr>
        <w:t>Education</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for</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democratic</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citizenship</w:t>
      </w:r>
      <w:proofErr w:type="spellEnd"/>
      <w:r w:rsidRPr="00AB3791">
        <w:rPr>
          <w:rFonts w:ascii="Times New Roman" w:hAnsi="Times New Roman" w:cs="Times New Roman"/>
          <w:sz w:val="24"/>
          <w:szCs w:val="24"/>
          <w:lang w:val="es-419"/>
        </w:rPr>
        <w:t xml:space="preserve"> in </w:t>
      </w:r>
      <w:proofErr w:type="spellStart"/>
      <w:r w:rsidRPr="00AB3791">
        <w:rPr>
          <w:rFonts w:ascii="Times New Roman" w:hAnsi="Times New Roman" w:cs="Times New Roman"/>
          <w:sz w:val="24"/>
          <w:szCs w:val="24"/>
          <w:lang w:val="es-419"/>
        </w:rPr>
        <w:t>the</w:t>
      </w:r>
      <w:proofErr w:type="spellEnd"/>
      <w:r w:rsidRPr="00AB3791">
        <w:rPr>
          <w:rFonts w:ascii="Times New Roman" w:hAnsi="Times New Roman" w:cs="Times New Roman"/>
          <w:sz w:val="24"/>
          <w:szCs w:val="24"/>
          <w:lang w:val="es-419"/>
        </w:rPr>
        <w:t xml:space="preserve"> new </w:t>
      </w:r>
      <w:proofErr w:type="spellStart"/>
      <w:r w:rsidRPr="00AB3791">
        <w:rPr>
          <w:rFonts w:ascii="Times New Roman" w:hAnsi="Times New Roman" w:cs="Times New Roman"/>
          <w:sz w:val="24"/>
          <w:szCs w:val="24"/>
          <w:lang w:val="es-419"/>
        </w:rPr>
        <w:t>Europe</w:t>
      </w:r>
      <w:proofErr w:type="spellEnd"/>
      <w:r w:rsidRPr="00AB3791">
        <w:rPr>
          <w:rFonts w:ascii="Times New Roman" w:hAnsi="Times New Roman" w:cs="Times New Roman"/>
          <w:sz w:val="24"/>
          <w:szCs w:val="24"/>
          <w:lang w:val="es-419"/>
        </w:rPr>
        <w:t>:</w:t>
      </w:r>
    </w:p>
    <w:p w14:paraId="70980F49" w14:textId="26489F31" w:rsidR="00A42B41" w:rsidRPr="00AB3791" w:rsidRDefault="00A42B41" w:rsidP="00047CA2">
      <w:pPr>
        <w:ind w:hanging="567"/>
        <w:jc w:val="both"/>
        <w:rPr>
          <w:rFonts w:ascii="Times New Roman" w:hAnsi="Times New Roman" w:cs="Times New Roman"/>
          <w:sz w:val="24"/>
          <w:szCs w:val="24"/>
          <w:lang w:val="es-419"/>
        </w:rPr>
      </w:pPr>
      <w:proofErr w:type="spellStart"/>
      <w:r w:rsidRPr="00AB3791">
        <w:rPr>
          <w:rFonts w:ascii="Times New Roman" w:hAnsi="Times New Roman" w:cs="Times New Roman"/>
          <w:sz w:val="24"/>
          <w:szCs w:val="24"/>
          <w:lang w:val="es-419"/>
        </w:rPr>
        <w:t>context</w:t>
      </w:r>
      <w:proofErr w:type="spellEnd"/>
      <w:r w:rsidRPr="00AB3791">
        <w:rPr>
          <w:rFonts w:ascii="Times New Roman" w:hAnsi="Times New Roman" w:cs="Times New Roman"/>
          <w:sz w:val="24"/>
          <w:szCs w:val="24"/>
          <w:lang w:val="es-419"/>
        </w:rPr>
        <w:t xml:space="preserve"> and </w:t>
      </w:r>
      <w:proofErr w:type="spellStart"/>
      <w:r w:rsidRPr="00AB3791">
        <w:rPr>
          <w:rFonts w:ascii="Times New Roman" w:hAnsi="Times New Roman" w:cs="Times New Roman"/>
          <w:sz w:val="24"/>
          <w:szCs w:val="24"/>
          <w:lang w:val="es-419"/>
        </w:rPr>
        <w:t>reform</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European</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Journal</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of</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Education</w:t>
      </w:r>
      <w:proofErr w:type="spellEnd"/>
      <w:r w:rsidRPr="00AB3791">
        <w:rPr>
          <w:rFonts w:ascii="Times New Roman" w:hAnsi="Times New Roman" w:cs="Times New Roman"/>
          <w:sz w:val="24"/>
          <w:szCs w:val="24"/>
          <w:lang w:val="es-419"/>
        </w:rPr>
        <w:t>, 37(2), 107-128.</w:t>
      </w:r>
    </w:p>
    <w:p w14:paraId="4B0FD8B1" w14:textId="39F8D97D" w:rsidR="00A42B41" w:rsidRPr="00AB3791" w:rsidRDefault="00A42B41" w:rsidP="00047CA2">
      <w:pPr>
        <w:ind w:hanging="567"/>
        <w:jc w:val="both"/>
        <w:rPr>
          <w:rFonts w:ascii="Times New Roman" w:hAnsi="Times New Roman" w:cs="Times New Roman"/>
          <w:sz w:val="24"/>
          <w:szCs w:val="24"/>
          <w:lang w:val="es-419"/>
        </w:rPr>
      </w:pPr>
    </w:p>
    <w:p w14:paraId="1ABC6C6D" w14:textId="6B6D033E" w:rsidR="00A42B41" w:rsidRPr="00AB3791" w:rsidRDefault="00A42B41" w:rsidP="00047CA2">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Treviño, E., </w:t>
      </w:r>
      <w:proofErr w:type="spellStart"/>
      <w:r w:rsidRPr="00AB3791">
        <w:rPr>
          <w:rFonts w:ascii="Times New Roman" w:hAnsi="Times New Roman" w:cs="Times New Roman"/>
          <w:sz w:val="24"/>
          <w:szCs w:val="24"/>
          <w:lang w:val="es-419"/>
        </w:rPr>
        <w:t>Béjares</w:t>
      </w:r>
      <w:proofErr w:type="spellEnd"/>
      <w:r w:rsidRPr="00AB3791">
        <w:rPr>
          <w:rFonts w:ascii="Times New Roman" w:hAnsi="Times New Roman" w:cs="Times New Roman"/>
          <w:sz w:val="24"/>
          <w:szCs w:val="24"/>
          <w:lang w:val="es-419"/>
        </w:rPr>
        <w:t xml:space="preserve">, C., Villalobos, C., &amp; Naranjo, E. (2017). </w:t>
      </w:r>
      <w:proofErr w:type="spellStart"/>
      <w:r w:rsidRPr="00AB3791">
        <w:rPr>
          <w:rFonts w:ascii="Times New Roman" w:hAnsi="Times New Roman" w:cs="Times New Roman"/>
          <w:sz w:val="24"/>
          <w:szCs w:val="24"/>
          <w:lang w:val="es-419"/>
        </w:rPr>
        <w:t>Influence</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of</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teachers</w:t>
      </w:r>
      <w:proofErr w:type="spellEnd"/>
      <w:r w:rsidRPr="00AB3791">
        <w:rPr>
          <w:rFonts w:ascii="Times New Roman" w:hAnsi="Times New Roman" w:cs="Times New Roman"/>
          <w:sz w:val="24"/>
          <w:szCs w:val="24"/>
          <w:lang w:val="es-419"/>
        </w:rPr>
        <w:t xml:space="preserve"> and </w:t>
      </w:r>
      <w:proofErr w:type="spellStart"/>
      <w:r w:rsidRPr="00AB3791">
        <w:rPr>
          <w:rFonts w:ascii="Times New Roman" w:hAnsi="Times New Roman" w:cs="Times New Roman"/>
          <w:sz w:val="24"/>
          <w:szCs w:val="24"/>
          <w:lang w:val="es-419"/>
        </w:rPr>
        <w:t>schools</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on</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students</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civic</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outcomes</w:t>
      </w:r>
      <w:proofErr w:type="spellEnd"/>
      <w:r w:rsidRPr="00AB3791">
        <w:rPr>
          <w:rFonts w:ascii="Times New Roman" w:hAnsi="Times New Roman" w:cs="Times New Roman"/>
          <w:sz w:val="24"/>
          <w:szCs w:val="24"/>
          <w:lang w:val="es-419"/>
        </w:rPr>
        <w:t xml:space="preserve"> in </w:t>
      </w:r>
      <w:proofErr w:type="spellStart"/>
      <w:r w:rsidRPr="00AB3791">
        <w:rPr>
          <w:rFonts w:ascii="Times New Roman" w:hAnsi="Times New Roman" w:cs="Times New Roman"/>
          <w:sz w:val="24"/>
          <w:szCs w:val="24"/>
          <w:lang w:val="es-419"/>
        </w:rPr>
        <w:t>Latin</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America</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The</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Journal</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of</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Educational</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Research</w:t>
      </w:r>
      <w:proofErr w:type="spellEnd"/>
      <w:r w:rsidRPr="00AB3791">
        <w:rPr>
          <w:rFonts w:ascii="Times New Roman" w:hAnsi="Times New Roman" w:cs="Times New Roman"/>
          <w:sz w:val="24"/>
          <w:szCs w:val="24"/>
          <w:lang w:val="es-419"/>
        </w:rPr>
        <w:t xml:space="preserve">, 110(6), 604–618. </w:t>
      </w:r>
      <w:proofErr w:type="spellStart"/>
      <w:r w:rsidRPr="00AB3791">
        <w:rPr>
          <w:rFonts w:ascii="Times New Roman" w:hAnsi="Times New Roman" w:cs="Times New Roman"/>
          <w:sz w:val="24"/>
          <w:szCs w:val="24"/>
          <w:lang w:val="es-419"/>
        </w:rPr>
        <w:t>doi</w:t>
      </w:r>
      <w:proofErr w:type="spellEnd"/>
      <w:r w:rsidRPr="00AB3791">
        <w:rPr>
          <w:rFonts w:ascii="Times New Roman" w:hAnsi="Times New Roman" w:cs="Times New Roman"/>
          <w:sz w:val="24"/>
          <w:szCs w:val="24"/>
          <w:lang w:val="es-419"/>
        </w:rPr>
        <w:t>: 10.1080/00220671.2016.1164114</w:t>
      </w:r>
    </w:p>
    <w:p w14:paraId="16AD27C7" w14:textId="0BDBAB9A" w:rsidR="007B0B48" w:rsidRPr="00AB3791" w:rsidRDefault="007B0B48" w:rsidP="00047CA2">
      <w:pPr>
        <w:ind w:hanging="567"/>
        <w:jc w:val="both"/>
        <w:rPr>
          <w:rFonts w:ascii="Times New Roman" w:hAnsi="Times New Roman" w:cs="Times New Roman"/>
          <w:sz w:val="24"/>
          <w:szCs w:val="24"/>
          <w:lang w:val="es-419"/>
        </w:rPr>
      </w:pPr>
    </w:p>
    <w:p w14:paraId="0552F02A" w14:textId="46255E29" w:rsidR="007B0B48" w:rsidRPr="00AB3791" w:rsidRDefault="007B0B48" w:rsidP="00047CA2">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Vargas-Salfate, S., Oyanedel, J. C. &amp; Torres-Vallejos, J. (2015). Socialización e interés en la política en jóvenes de Chile. Revista Latinoamericana de Ciencias Sociales, Niñez y Juventud, 13 (2), pp. 781-794.</w:t>
      </w:r>
    </w:p>
    <w:p w14:paraId="229A18F9" w14:textId="0CBCC647" w:rsidR="00047CA2" w:rsidRPr="00AB3791" w:rsidRDefault="00047CA2" w:rsidP="00047CA2">
      <w:pPr>
        <w:ind w:hanging="567"/>
        <w:jc w:val="both"/>
        <w:rPr>
          <w:rFonts w:ascii="Times New Roman" w:hAnsi="Times New Roman" w:cs="Times New Roman"/>
          <w:sz w:val="24"/>
          <w:szCs w:val="24"/>
          <w:lang w:val="es-419"/>
        </w:rPr>
      </w:pPr>
    </w:p>
    <w:p w14:paraId="0109A371" w14:textId="77777777" w:rsidR="00047CA2" w:rsidRPr="00047CA2" w:rsidRDefault="00047CA2" w:rsidP="00047CA2">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Zapata, A. (2003) Exploración de las relaciones entre lectura, formación ciudadana y cultura política. Una aplicación a las propuestas de formación ciudadana de la Escuela de Animación Juvenil. Medellín</w:t>
      </w:r>
    </w:p>
    <w:p w14:paraId="69CFDB3F" w14:textId="77777777" w:rsidR="00047CA2" w:rsidRPr="00047CA2" w:rsidRDefault="00047CA2" w:rsidP="00047CA2">
      <w:pPr>
        <w:ind w:left="-567" w:firstLine="567"/>
        <w:jc w:val="both"/>
        <w:rPr>
          <w:rFonts w:ascii="Times New Roman" w:hAnsi="Times New Roman" w:cs="Times New Roman"/>
          <w:sz w:val="24"/>
          <w:szCs w:val="24"/>
          <w:lang w:val="es-419"/>
        </w:rPr>
      </w:pPr>
    </w:p>
    <w:p w14:paraId="410F3FA6" w14:textId="77777777" w:rsidR="00047CA2" w:rsidRPr="00047CA2" w:rsidRDefault="00047CA2" w:rsidP="00A42B41">
      <w:pPr>
        <w:ind w:left="-567" w:firstLine="567"/>
        <w:jc w:val="both"/>
        <w:rPr>
          <w:rFonts w:ascii="Times New Roman" w:hAnsi="Times New Roman" w:cs="Times New Roman"/>
          <w:sz w:val="24"/>
          <w:szCs w:val="24"/>
          <w:lang w:val="es-419"/>
        </w:rPr>
      </w:pPr>
    </w:p>
    <w:sectPr w:rsidR="00047CA2" w:rsidRPr="00047CA2">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3C8EF" w14:textId="77777777" w:rsidR="00B8284F" w:rsidRDefault="00B8284F" w:rsidP="007041E7">
      <w:r>
        <w:separator/>
      </w:r>
    </w:p>
  </w:endnote>
  <w:endnote w:type="continuationSeparator" w:id="0">
    <w:p w14:paraId="1E0B4E73" w14:textId="77777777" w:rsidR="00B8284F" w:rsidRDefault="00B8284F" w:rsidP="00704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06DE3" w14:textId="77777777" w:rsidR="00B8284F" w:rsidRDefault="00B8284F" w:rsidP="007041E7">
      <w:r>
        <w:separator/>
      </w:r>
    </w:p>
  </w:footnote>
  <w:footnote w:type="continuationSeparator" w:id="0">
    <w:p w14:paraId="4E3DB49E" w14:textId="77777777" w:rsidR="00B8284F" w:rsidRDefault="00B8284F" w:rsidP="00704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88FA" w14:textId="27546E18" w:rsidR="00044CE2" w:rsidRDefault="00044CE2" w:rsidP="00044CE2">
    <w:pPr>
      <w:pStyle w:val="Encabezado"/>
      <w:ind w:left="-567"/>
    </w:pPr>
    <w:r>
      <w:rPr>
        <w:noProof/>
      </w:rPr>
      <w:drawing>
        <wp:anchor distT="0" distB="0" distL="114300" distR="114300" simplePos="0" relativeHeight="251659264" behindDoc="1" locked="0" layoutInCell="1" allowOverlap="1" wp14:anchorId="229B4ADB" wp14:editId="458F58F4">
          <wp:simplePos x="0" y="0"/>
          <wp:positionH relativeFrom="column">
            <wp:posOffset>4444365</wp:posOffset>
          </wp:positionH>
          <wp:positionV relativeFrom="paragraph">
            <wp:posOffset>-142875</wp:posOffset>
          </wp:positionV>
          <wp:extent cx="1171575" cy="609600"/>
          <wp:effectExtent l="0" t="0" r="9525" b="0"/>
          <wp:wrapTight wrapText="bothSides">
            <wp:wrapPolygon edited="0">
              <wp:start x="0" y="0"/>
              <wp:lineTo x="0" y="20925"/>
              <wp:lineTo x="21424" y="20925"/>
              <wp:lineTo x="21424"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609600"/>
                  </a:xfrm>
                  <a:prstGeom prst="rect">
                    <a:avLst/>
                  </a:prstGeom>
                  <a:noFill/>
                  <a:ln>
                    <a:noFill/>
                  </a:ln>
                </pic:spPr>
              </pic:pic>
            </a:graphicData>
          </a:graphic>
          <wp14:sizeRelH relativeFrom="page">
            <wp14:pctWidth>0</wp14:pctWidth>
          </wp14:sizeRelH>
          <wp14:sizeRelV relativeFrom="page">
            <wp14:pctHeight>0</wp14:pctHeight>
          </wp14:sizeRelV>
        </wp:anchor>
      </w:drawing>
    </w:r>
    <w:r>
      <w:t>Francisco Meneses Rivas</w:t>
    </w:r>
  </w:p>
  <w:p w14:paraId="5A0E7B55" w14:textId="7658CF6E" w:rsidR="00044CE2" w:rsidRDefault="00044CE2" w:rsidP="00044CE2">
    <w:pPr>
      <w:pStyle w:val="Encabezado"/>
      <w:ind w:left="-567"/>
    </w:pPr>
    <w:r>
      <w:t>Profesor Guía: Juan Carlos Castillo.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E7"/>
    <w:rsid w:val="00044CE2"/>
    <w:rsid w:val="00047CA2"/>
    <w:rsid w:val="00054370"/>
    <w:rsid w:val="00067A50"/>
    <w:rsid w:val="0009065F"/>
    <w:rsid w:val="0009109B"/>
    <w:rsid w:val="000B4A00"/>
    <w:rsid w:val="000B7125"/>
    <w:rsid w:val="000B7D11"/>
    <w:rsid w:val="000C198E"/>
    <w:rsid w:val="0013334D"/>
    <w:rsid w:val="00160A9A"/>
    <w:rsid w:val="001A0847"/>
    <w:rsid w:val="001D16C3"/>
    <w:rsid w:val="001F5BE9"/>
    <w:rsid w:val="0020445B"/>
    <w:rsid w:val="00280302"/>
    <w:rsid w:val="002B1C6F"/>
    <w:rsid w:val="002D46A9"/>
    <w:rsid w:val="002E7ECB"/>
    <w:rsid w:val="00324A93"/>
    <w:rsid w:val="00342564"/>
    <w:rsid w:val="00353658"/>
    <w:rsid w:val="00367818"/>
    <w:rsid w:val="003C3ADB"/>
    <w:rsid w:val="003C63A0"/>
    <w:rsid w:val="003E2BEC"/>
    <w:rsid w:val="003E60B2"/>
    <w:rsid w:val="00400345"/>
    <w:rsid w:val="00412E80"/>
    <w:rsid w:val="004A2985"/>
    <w:rsid w:val="004C568B"/>
    <w:rsid w:val="004D6407"/>
    <w:rsid w:val="004F1E09"/>
    <w:rsid w:val="0050020E"/>
    <w:rsid w:val="0053094E"/>
    <w:rsid w:val="005564CC"/>
    <w:rsid w:val="00563567"/>
    <w:rsid w:val="005677D4"/>
    <w:rsid w:val="00584159"/>
    <w:rsid w:val="00591294"/>
    <w:rsid w:val="005C6BE3"/>
    <w:rsid w:val="005E07B1"/>
    <w:rsid w:val="005F0B7A"/>
    <w:rsid w:val="00636317"/>
    <w:rsid w:val="006444C0"/>
    <w:rsid w:val="0068565F"/>
    <w:rsid w:val="006E5B33"/>
    <w:rsid w:val="006F0D29"/>
    <w:rsid w:val="007041E7"/>
    <w:rsid w:val="007065AA"/>
    <w:rsid w:val="007075EA"/>
    <w:rsid w:val="00710956"/>
    <w:rsid w:val="00737C20"/>
    <w:rsid w:val="00744FAC"/>
    <w:rsid w:val="007451C3"/>
    <w:rsid w:val="00770F53"/>
    <w:rsid w:val="007770B2"/>
    <w:rsid w:val="007B0B48"/>
    <w:rsid w:val="007D2943"/>
    <w:rsid w:val="007E14DB"/>
    <w:rsid w:val="007E576F"/>
    <w:rsid w:val="00803154"/>
    <w:rsid w:val="008057D6"/>
    <w:rsid w:val="008321A4"/>
    <w:rsid w:val="00841268"/>
    <w:rsid w:val="00856AF2"/>
    <w:rsid w:val="0086543E"/>
    <w:rsid w:val="00865A37"/>
    <w:rsid w:val="00871EA7"/>
    <w:rsid w:val="008B032C"/>
    <w:rsid w:val="008B0771"/>
    <w:rsid w:val="008B3178"/>
    <w:rsid w:val="008B7EA3"/>
    <w:rsid w:val="008E70B3"/>
    <w:rsid w:val="00930F78"/>
    <w:rsid w:val="00937517"/>
    <w:rsid w:val="00940273"/>
    <w:rsid w:val="009625FC"/>
    <w:rsid w:val="00987114"/>
    <w:rsid w:val="009E1868"/>
    <w:rsid w:val="00A15079"/>
    <w:rsid w:val="00A2728F"/>
    <w:rsid w:val="00A42B41"/>
    <w:rsid w:val="00A81E10"/>
    <w:rsid w:val="00A84618"/>
    <w:rsid w:val="00A926E7"/>
    <w:rsid w:val="00AB3791"/>
    <w:rsid w:val="00AD308A"/>
    <w:rsid w:val="00AE3130"/>
    <w:rsid w:val="00AF4BCF"/>
    <w:rsid w:val="00B23776"/>
    <w:rsid w:val="00B37F95"/>
    <w:rsid w:val="00B4288C"/>
    <w:rsid w:val="00B8284F"/>
    <w:rsid w:val="00B91CE3"/>
    <w:rsid w:val="00B96BF9"/>
    <w:rsid w:val="00C21287"/>
    <w:rsid w:val="00C334B1"/>
    <w:rsid w:val="00C466F5"/>
    <w:rsid w:val="00C82C63"/>
    <w:rsid w:val="00CA775F"/>
    <w:rsid w:val="00CB2C4F"/>
    <w:rsid w:val="00CF346A"/>
    <w:rsid w:val="00D1460E"/>
    <w:rsid w:val="00D262D5"/>
    <w:rsid w:val="00D32020"/>
    <w:rsid w:val="00D42896"/>
    <w:rsid w:val="00D56593"/>
    <w:rsid w:val="00D73259"/>
    <w:rsid w:val="00DE394D"/>
    <w:rsid w:val="00E11627"/>
    <w:rsid w:val="00E233F0"/>
    <w:rsid w:val="00E34AAA"/>
    <w:rsid w:val="00E4572A"/>
    <w:rsid w:val="00E518CE"/>
    <w:rsid w:val="00E63332"/>
    <w:rsid w:val="00E72B54"/>
    <w:rsid w:val="00E80C81"/>
    <w:rsid w:val="00E825F0"/>
    <w:rsid w:val="00EF4E81"/>
    <w:rsid w:val="00F77C28"/>
    <w:rsid w:val="00F86F8A"/>
    <w:rsid w:val="00F94574"/>
    <w:rsid w:val="00FC78B2"/>
    <w:rsid w:val="00FD0D0E"/>
    <w:rsid w:val="00FE12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99D3A"/>
  <w15:chartTrackingRefBased/>
  <w15:docId w15:val="{7B78797C-5E21-429E-A16A-685B730D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0956"/>
    <w:pPr>
      <w:keepNext/>
      <w:keepLines/>
      <w:spacing w:before="320"/>
      <w:outlineLvl w:val="0"/>
    </w:pPr>
    <w:rPr>
      <w:rFonts w:ascii="Calibri Light" w:eastAsia="SimSun" w:hAnsi="Calibri Light" w:cs="Times New Roman"/>
      <w:color w:val="2E74B5"/>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308A"/>
    <w:rPr>
      <w:color w:val="0000FF"/>
      <w:u w:val="single"/>
    </w:rPr>
  </w:style>
  <w:style w:type="character" w:styleId="Refdecomentario">
    <w:name w:val="annotation reference"/>
    <w:basedOn w:val="Fuentedeprrafopredeter"/>
    <w:uiPriority w:val="99"/>
    <w:semiHidden/>
    <w:unhideWhenUsed/>
    <w:rsid w:val="0013334D"/>
    <w:rPr>
      <w:sz w:val="16"/>
      <w:szCs w:val="16"/>
    </w:rPr>
  </w:style>
  <w:style w:type="paragraph" w:styleId="Textocomentario">
    <w:name w:val="annotation text"/>
    <w:basedOn w:val="Normal"/>
    <w:link w:val="TextocomentarioCar"/>
    <w:uiPriority w:val="99"/>
    <w:semiHidden/>
    <w:unhideWhenUsed/>
    <w:rsid w:val="0013334D"/>
    <w:rPr>
      <w:sz w:val="20"/>
      <w:szCs w:val="20"/>
    </w:rPr>
  </w:style>
  <w:style w:type="character" w:customStyle="1" w:styleId="TextocomentarioCar">
    <w:name w:val="Texto comentario Car"/>
    <w:basedOn w:val="Fuentedeprrafopredeter"/>
    <w:link w:val="Textocomentario"/>
    <w:uiPriority w:val="99"/>
    <w:semiHidden/>
    <w:rsid w:val="0013334D"/>
    <w:rPr>
      <w:sz w:val="20"/>
      <w:szCs w:val="20"/>
    </w:rPr>
  </w:style>
  <w:style w:type="paragraph" w:styleId="Asuntodelcomentario">
    <w:name w:val="annotation subject"/>
    <w:basedOn w:val="Textocomentario"/>
    <w:next w:val="Textocomentario"/>
    <w:link w:val="AsuntodelcomentarioCar"/>
    <w:uiPriority w:val="99"/>
    <w:semiHidden/>
    <w:unhideWhenUsed/>
    <w:rsid w:val="0013334D"/>
    <w:rPr>
      <w:b/>
      <w:bCs/>
    </w:rPr>
  </w:style>
  <w:style w:type="character" w:customStyle="1" w:styleId="AsuntodelcomentarioCar">
    <w:name w:val="Asunto del comentario Car"/>
    <w:basedOn w:val="TextocomentarioCar"/>
    <w:link w:val="Asuntodelcomentario"/>
    <w:uiPriority w:val="99"/>
    <w:semiHidden/>
    <w:rsid w:val="0013334D"/>
    <w:rPr>
      <w:b/>
      <w:bCs/>
      <w:sz w:val="20"/>
      <w:szCs w:val="20"/>
    </w:rPr>
  </w:style>
  <w:style w:type="paragraph" w:styleId="Textodeglobo">
    <w:name w:val="Balloon Text"/>
    <w:basedOn w:val="Normal"/>
    <w:link w:val="TextodegloboCar"/>
    <w:uiPriority w:val="99"/>
    <w:semiHidden/>
    <w:unhideWhenUsed/>
    <w:rsid w:val="0013334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334D"/>
    <w:rPr>
      <w:rFonts w:ascii="Segoe UI" w:hAnsi="Segoe UI" w:cs="Segoe UI"/>
      <w:sz w:val="18"/>
      <w:szCs w:val="18"/>
    </w:rPr>
  </w:style>
  <w:style w:type="paragraph" w:styleId="Encabezado">
    <w:name w:val="header"/>
    <w:basedOn w:val="Normal"/>
    <w:link w:val="EncabezadoCar"/>
    <w:uiPriority w:val="99"/>
    <w:unhideWhenUsed/>
    <w:rsid w:val="007041E7"/>
    <w:pPr>
      <w:tabs>
        <w:tab w:val="center" w:pos="4419"/>
        <w:tab w:val="right" w:pos="8838"/>
      </w:tabs>
    </w:pPr>
  </w:style>
  <w:style w:type="character" w:customStyle="1" w:styleId="EncabezadoCar">
    <w:name w:val="Encabezado Car"/>
    <w:basedOn w:val="Fuentedeprrafopredeter"/>
    <w:link w:val="Encabezado"/>
    <w:uiPriority w:val="99"/>
    <w:rsid w:val="007041E7"/>
  </w:style>
  <w:style w:type="paragraph" w:styleId="Piedepgina">
    <w:name w:val="footer"/>
    <w:basedOn w:val="Normal"/>
    <w:link w:val="PiedepginaCar"/>
    <w:uiPriority w:val="99"/>
    <w:unhideWhenUsed/>
    <w:rsid w:val="007041E7"/>
    <w:pPr>
      <w:tabs>
        <w:tab w:val="center" w:pos="4419"/>
        <w:tab w:val="right" w:pos="8838"/>
      </w:tabs>
    </w:pPr>
  </w:style>
  <w:style w:type="character" w:customStyle="1" w:styleId="PiedepginaCar">
    <w:name w:val="Pie de página Car"/>
    <w:basedOn w:val="Fuentedeprrafopredeter"/>
    <w:link w:val="Piedepgina"/>
    <w:uiPriority w:val="99"/>
    <w:rsid w:val="007041E7"/>
  </w:style>
  <w:style w:type="character" w:styleId="Mencinsinresolver">
    <w:name w:val="Unresolved Mention"/>
    <w:basedOn w:val="Fuentedeprrafopredeter"/>
    <w:uiPriority w:val="99"/>
    <w:semiHidden/>
    <w:unhideWhenUsed/>
    <w:rsid w:val="00770F53"/>
    <w:rPr>
      <w:color w:val="605E5C"/>
      <w:shd w:val="clear" w:color="auto" w:fill="E1DFDD"/>
    </w:rPr>
  </w:style>
  <w:style w:type="character" w:customStyle="1" w:styleId="Ttulo1Car">
    <w:name w:val="Título 1 Car"/>
    <w:basedOn w:val="Fuentedeprrafopredeter"/>
    <w:link w:val="Ttulo1"/>
    <w:uiPriority w:val="9"/>
    <w:rsid w:val="00710956"/>
    <w:rPr>
      <w:rFonts w:ascii="Calibri Light" w:eastAsia="SimSun" w:hAnsi="Calibri Light" w:cs="Times New Roman"/>
      <w:color w:val="2E74B5"/>
      <w:sz w:val="32"/>
      <w:szCs w:val="32"/>
      <w:lang w:eastAsia="es-CL"/>
    </w:rPr>
  </w:style>
  <w:style w:type="paragraph" w:customStyle="1" w:styleId="Estilo1">
    <w:name w:val="Estilo1"/>
    <w:basedOn w:val="Ttulo1"/>
    <w:link w:val="Estilo1Car"/>
    <w:qFormat/>
    <w:rsid w:val="00710956"/>
    <w:pPr>
      <w:jc w:val="center"/>
    </w:pPr>
    <w:rPr>
      <w:color w:val="ED7D31" w:themeColor="accent2"/>
    </w:rPr>
  </w:style>
  <w:style w:type="character" w:customStyle="1" w:styleId="Estilo1Car">
    <w:name w:val="Estilo1 Car"/>
    <w:basedOn w:val="Ttulo1Car"/>
    <w:link w:val="Estilo1"/>
    <w:locked/>
    <w:rsid w:val="00710956"/>
    <w:rPr>
      <w:rFonts w:ascii="Calibri Light" w:eastAsia="SimSun" w:hAnsi="Calibri Light" w:cs="Times New Roman"/>
      <w:color w:val="ED7D31" w:themeColor="accent2"/>
      <w:sz w:val="32"/>
      <w:szCs w:val="32"/>
      <w:lang w:eastAsia="es-CL"/>
    </w:rPr>
  </w:style>
  <w:style w:type="paragraph" w:styleId="NormalWeb">
    <w:name w:val="Normal (Web)"/>
    <w:basedOn w:val="Normal"/>
    <w:uiPriority w:val="99"/>
    <w:unhideWhenUsed/>
    <w:rsid w:val="00A2728F"/>
    <w:pPr>
      <w:spacing w:before="100" w:beforeAutospacing="1" w:after="100" w:afterAutospacing="1"/>
    </w:pPr>
    <w:rPr>
      <w:rFonts w:ascii="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40374">
      <w:bodyDiv w:val="1"/>
      <w:marLeft w:val="0"/>
      <w:marRight w:val="0"/>
      <w:marTop w:val="0"/>
      <w:marBottom w:val="0"/>
      <w:divBdr>
        <w:top w:val="none" w:sz="0" w:space="0" w:color="auto"/>
        <w:left w:val="none" w:sz="0" w:space="0" w:color="auto"/>
        <w:bottom w:val="none" w:sz="0" w:space="0" w:color="auto"/>
        <w:right w:val="none" w:sz="0" w:space="0" w:color="auto"/>
      </w:divBdr>
    </w:div>
    <w:div w:id="465582579">
      <w:bodyDiv w:val="1"/>
      <w:marLeft w:val="0"/>
      <w:marRight w:val="0"/>
      <w:marTop w:val="0"/>
      <w:marBottom w:val="0"/>
      <w:divBdr>
        <w:top w:val="none" w:sz="0" w:space="0" w:color="auto"/>
        <w:left w:val="none" w:sz="0" w:space="0" w:color="auto"/>
        <w:bottom w:val="none" w:sz="0" w:space="0" w:color="auto"/>
        <w:right w:val="none" w:sz="0" w:space="0" w:color="auto"/>
      </w:divBdr>
    </w:div>
    <w:div w:id="110946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os.agenciaeducacion.cl/PRESENTACION_EDUCACION_CIVICA.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scielo.org.co/scielo.php?script=sci_arttext&amp;pid=S0123-48702015000100008&amp;lng=pt&amp;tlng=es" TargetMode="External"/><Relationship Id="rId4" Type="http://schemas.openxmlformats.org/officeDocument/2006/relationships/footnotes" Target="footnotes.xml"/><Relationship Id="rId9" Type="http://schemas.openxmlformats.org/officeDocument/2006/relationships/hyperlink" Target="https://dx.doi.org/10.4067/S0718-090X20130002000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panzho\Desktop\Nuevo%20Hoja%20de%20c&#225;lculo%20de%20Microsoft%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Relacion</a:t>
            </a:r>
            <a:r>
              <a:rPr lang="es-CL" baseline="0"/>
              <a:t> entre conocimiento civico (ICCS) y comprencion lectora (PISA) a nivel internacional</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manualLayout>
          <c:layoutTarget val="inner"/>
          <c:xMode val="edge"/>
          <c:yMode val="edge"/>
          <c:x val="0.10980312967278903"/>
          <c:y val="0.18489735804967949"/>
          <c:w val="0.84064129483814509"/>
          <c:h val="0.69310987168270621"/>
        </c:manualLayout>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Hoja1!$C$7:$C$24</c:f>
              <c:numCache>
                <c:formatCode>General</c:formatCode>
                <c:ptCount val="18"/>
                <c:pt idx="0">
                  <c:v>586</c:v>
                </c:pt>
                <c:pt idx="1">
                  <c:v>579</c:v>
                </c:pt>
                <c:pt idx="2">
                  <c:v>577</c:v>
                </c:pt>
                <c:pt idx="3">
                  <c:v>564</c:v>
                </c:pt>
                <c:pt idx="4">
                  <c:v>546</c:v>
                </c:pt>
                <c:pt idx="5">
                  <c:v>545</c:v>
                </c:pt>
                <c:pt idx="6">
                  <c:v>537</c:v>
                </c:pt>
                <c:pt idx="7">
                  <c:v>532</c:v>
                </c:pt>
                <c:pt idx="8">
                  <c:v>531</c:v>
                </c:pt>
                <c:pt idx="9">
                  <c:v>524</c:v>
                </c:pt>
                <c:pt idx="10">
                  <c:v>518</c:v>
                </c:pt>
                <c:pt idx="11">
                  <c:v>491</c:v>
                </c:pt>
                <c:pt idx="12">
                  <c:v>485</c:v>
                </c:pt>
                <c:pt idx="13">
                  <c:v>482</c:v>
                </c:pt>
                <c:pt idx="14">
                  <c:v>482</c:v>
                </c:pt>
                <c:pt idx="15">
                  <c:v>467</c:v>
                </c:pt>
                <c:pt idx="16">
                  <c:v>438</c:v>
                </c:pt>
                <c:pt idx="17">
                  <c:v>381</c:v>
                </c:pt>
              </c:numCache>
            </c:numRef>
          </c:xVal>
          <c:yVal>
            <c:numRef>
              <c:f>Hoja1!$D$7:$D$24</c:f>
              <c:numCache>
                <c:formatCode>General</c:formatCode>
                <c:ptCount val="18"/>
                <c:pt idx="0">
                  <c:v>500</c:v>
                </c:pt>
                <c:pt idx="1">
                  <c:v>500</c:v>
                </c:pt>
                <c:pt idx="2">
                  <c:v>526</c:v>
                </c:pt>
                <c:pt idx="3">
                  <c:v>513</c:v>
                </c:pt>
                <c:pt idx="4">
                  <c:v>519</c:v>
                </c:pt>
                <c:pt idx="5">
                  <c:v>495</c:v>
                </c:pt>
                <c:pt idx="6">
                  <c:v>499</c:v>
                </c:pt>
                <c:pt idx="7">
                  <c:v>505</c:v>
                </c:pt>
                <c:pt idx="8">
                  <c:v>487</c:v>
                </c:pt>
                <c:pt idx="9">
                  <c:v>485</c:v>
                </c:pt>
                <c:pt idx="10">
                  <c:v>472</c:v>
                </c:pt>
                <c:pt idx="11">
                  <c:v>447</c:v>
                </c:pt>
                <c:pt idx="12">
                  <c:v>432</c:v>
                </c:pt>
                <c:pt idx="13">
                  <c:v>443</c:v>
                </c:pt>
                <c:pt idx="14">
                  <c:v>425</c:v>
                </c:pt>
                <c:pt idx="15">
                  <c:v>423</c:v>
                </c:pt>
                <c:pt idx="16">
                  <c:v>398</c:v>
                </c:pt>
                <c:pt idx="17">
                  <c:v>358</c:v>
                </c:pt>
              </c:numCache>
            </c:numRef>
          </c:yVal>
          <c:smooth val="0"/>
          <c:extLst>
            <c:ext xmlns:c16="http://schemas.microsoft.com/office/drawing/2014/chart" uri="{C3380CC4-5D6E-409C-BE32-E72D297353CC}">
              <c16:uniqueId val="{00000002-EAA3-4A40-A46B-598973466D0D}"/>
            </c:ext>
          </c:extLst>
        </c:ser>
        <c:dLbls>
          <c:showLegendKey val="0"/>
          <c:showVal val="0"/>
          <c:showCatName val="0"/>
          <c:showSerName val="0"/>
          <c:showPercent val="0"/>
          <c:showBubbleSize val="0"/>
        </c:dLbls>
        <c:axId val="424412632"/>
        <c:axId val="424421160"/>
      </c:scatterChart>
      <c:valAx>
        <c:axId val="424412632"/>
        <c:scaling>
          <c:orientation val="minMax"/>
          <c:min val="3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Puntaje promedio PISA Comprensión Lectora 2016</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24421160"/>
        <c:crosses val="autoZero"/>
        <c:crossBetween val="midCat"/>
      </c:valAx>
      <c:valAx>
        <c:axId val="424421160"/>
        <c:scaling>
          <c:orientation val="minMax"/>
          <c:min val="3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Puntaje promedio ICCS 2016</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24412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4">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383</TotalTime>
  <Pages>6</Pages>
  <Words>2509</Words>
  <Characters>13800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Meneses Rivas (francisco.meneses)</dc:creator>
  <cp:keywords/>
  <dc:description/>
  <cp:lastModifiedBy> </cp:lastModifiedBy>
  <cp:revision>4</cp:revision>
  <dcterms:created xsi:type="dcterms:W3CDTF">2019-06-28T16:10:00Z</dcterms:created>
  <dcterms:modified xsi:type="dcterms:W3CDTF">2019-06-29T04:15:00Z</dcterms:modified>
</cp:coreProperties>
</file>