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theme/themeOverride1.xml" ContentType="application/vnd.openxmlformats-officedocument.themeOverrid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0035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  <w:u w:val="single"/>
        </w:rPr>
      </w:sdtEndPr>
      <w:sdtContent>
        <w:tbl>
          <w:tblPr>
            <w:tblW w:w="5101" w:type="pct"/>
            <w:jc w:val="center"/>
            <w:tblLook w:val="04A0"/>
          </w:tblPr>
          <w:tblGrid>
            <w:gridCol w:w="8896"/>
          </w:tblGrid>
          <w:tr w:rsidR="00505A31" w:rsidTr="000461E7">
            <w:trPr>
              <w:trHeight w:val="4120"/>
              <w:jc w:val="center"/>
            </w:trPr>
            <w:tc>
              <w:tcPr>
                <w:tcW w:w="5000" w:type="pct"/>
              </w:tcPr>
              <w:p w:rsidR="00505A31" w:rsidRDefault="008664E9" w:rsidP="00505A3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37.35pt;margin-top:5.65pt;width:151.5pt;height:61.5pt;z-index:251663360;mso-position-horizontal-relative:text;mso-position-vertical-relative:text;mso-width-relative:margin;mso-height-relative:margin" strokecolor="white [3212]">
                      <v:textbox style="mso-next-textbox:#_x0000_s1028">
                        <w:txbxContent>
                          <w:p w:rsidR="00C07CF1" w:rsidRPr="006A3D40" w:rsidRDefault="00C07CF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A3D40">
                              <w:rPr>
                                <w:sz w:val="56"/>
                                <w:szCs w:val="56"/>
                              </w:rPr>
                              <w:t>2015/2016</w:t>
                            </w:r>
                          </w:p>
                        </w:txbxContent>
                      </v:textbox>
                    </v:shape>
                  </w:pict>
                </w:r>
                <w:r w:rsidR="00505A31">
                  <w:rPr>
                    <w:noProof/>
                    <w:lang w:eastAsia="pt-PT"/>
                  </w:rPr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-918210</wp:posOffset>
                      </wp:positionH>
                      <wp:positionV relativeFrom="paragraph">
                        <wp:posOffset>62230</wp:posOffset>
                      </wp:positionV>
                      <wp:extent cx="3381375" cy="1114425"/>
                      <wp:effectExtent l="0" t="0" r="0" b="0"/>
                      <wp:wrapSquare wrapText="bothSides"/>
                      <wp:docPr id="1" name="Imagem 1" descr="http://paginas.fe.up.pt/~ee06160/thesis/FEU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paginas.fe.up.pt/~ee06160/thesis/FEUP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81375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505A31" w:rsidTr="000461E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A3D40" w:rsidRPr="006A3D40" w:rsidRDefault="008664E9" w:rsidP="000461E7">
                <w:pPr>
                  <w:pStyle w:val="NoSpacing"/>
                  <w:rPr>
                    <w:rFonts w:asciiTheme="majorHAnsi" w:eastAsiaTheme="majorEastAsia" w:hAnsiTheme="majorHAnsi" w:cstheme="majorBidi"/>
                    <w:sz w:val="104"/>
                    <w:szCs w:val="10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96"/>
                      <w:szCs w:val="104"/>
                    </w:rPr>
                    <w:alias w:val="Título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461E7" w:rsidRPr="000461E7">
                      <w:rPr>
                        <w:rFonts w:asciiTheme="majorHAnsi" w:eastAsiaTheme="majorEastAsia" w:hAnsiTheme="majorHAnsi" w:cstheme="majorBidi"/>
                        <w:sz w:val="96"/>
                        <w:szCs w:val="104"/>
                      </w:rPr>
                      <w:t>Fabricação de um compósito laminado com pré-preg.</w:t>
                    </w:r>
                  </w:sdtContent>
                </w:sdt>
              </w:p>
            </w:tc>
          </w:tr>
          <w:tr w:rsidR="00505A31" w:rsidTr="000461E7">
            <w:trPr>
              <w:trHeight w:val="720"/>
              <w:jc w:val="center"/>
            </w:trPr>
            <w:sdt>
              <w:sdtPr>
                <w:rPr>
                  <w:sz w:val="56"/>
                  <w:szCs w:val="56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05A31" w:rsidRDefault="000601D6" w:rsidP="000461E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sz w:val="56"/>
                        <w:szCs w:val="56"/>
                      </w:rPr>
                      <w:t xml:space="preserve">Ensaio de tração </w:t>
                    </w:r>
                    <w:r w:rsidR="000461E7">
                      <w:rPr>
                        <w:sz w:val="56"/>
                        <w:szCs w:val="56"/>
                      </w:rPr>
                      <w:t>transversal e longitudinalmente às fibras</w:t>
                    </w:r>
                  </w:p>
                </w:tc>
              </w:sdtContent>
            </w:sdt>
          </w:tr>
          <w:tr w:rsidR="00505A31" w:rsidTr="000461E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05A31" w:rsidRDefault="00505A31">
                <w:pPr>
                  <w:pStyle w:val="NoSpacing"/>
                  <w:jc w:val="center"/>
                </w:pPr>
              </w:p>
            </w:tc>
          </w:tr>
          <w:tr w:rsidR="00505A31" w:rsidTr="000461E7">
            <w:trPr>
              <w:trHeight w:val="2090"/>
              <w:jc w:val="center"/>
            </w:trPr>
            <w:tc>
              <w:tcPr>
                <w:tcW w:w="5000" w:type="pct"/>
                <w:vAlign w:val="center"/>
              </w:tcPr>
              <w:p w:rsidR="00505A31" w:rsidRDefault="008664E9" w:rsidP="00505A31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8664E9">
                  <w:rPr>
                    <w:b/>
                    <w:noProof/>
                    <w:sz w:val="40"/>
                    <w:szCs w:val="40"/>
                    <w:u w:val="single"/>
                  </w:rPr>
                  <w:pict>
                    <v:shape id="_x0000_s1027" type="#_x0000_t202" style="position:absolute;left:0;text-align:left;margin-left:-46.65pt;margin-top:42.05pt;width:512.1pt;height:240.75pt;z-index:251660288;mso-position-horizontal-relative:text;mso-position-vertical-relative:text;mso-width-relative:margin;mso-height-relative:margin" strokecolor="white [3212]">
                      <v:textbox style="mso-next-textbox:#_x0000_s1027">
                        <w:txbxContent>
                          <w:p w:rsidR="00C07CF1" w:rsidRPr="006A3D40" w:rsidRDefault="00C07CF1" w:rsidP="00813686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A3D40">
                              <w:rPr>
                                <w:b/>
                                <w:sz w:val="24"/>
                              </w:rPr>
                              <w:t>Mestrado Integrado em Engenharia Industrial e Gestão</w:t>
                            </w:r>
                          </w:p>
                          <w:p w:rsidR="00C07CF1" w:rsidRDefault="00C07CF1" w:rsidP="00813686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C07CF1" w:rsidRPr="006A3D40" w:rsidRDefault="00C07CF1" w:rsidP="00813686">
                            <w:r w:rsidRPr="006A3D40">
                              <w:rPr>
                                <w:b/>
                                <w:sz w:val="24"/>
                              </w:rPr>
                              <w:t>Unidade Curricular: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Pr="006A3D40">
                              <w:t>Introdução aos Materiais e Processos de Fabrico</w:t>
                            </w:r>
                          </w:p>
                          <w:p w:rsidR="00C07CF1" w:rsidRDefault="00C07CF1"/>
                          <w:p w:rsidR="00C07CF1" w:rsidRDefault="00C07CF1">
                            <w:r w:rsidRPr="006A3D40">
                              <w:rPr>
                                <w:b/>
                                <w:sz w:val="24"/>
                              </w:rPr>
                              <w:t>Docentes: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>
                              <w:t>Lucas da Silva</w:t>
                            </w:r>
                            <w:r>
                              <w:br/>
                              <w:t>Teresa Duarte</w:t>
                            </w:r>
                          </w:p>
                        </w:txbxContent>
                      </v:textbox>
                    </v:shape>
                  </w:pict>
                </w:r>
              </w:p>
            </w:tc>
          </w:tr>
          <w:tr w:rsidR="00505A31" w:rsidTr="000461E7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505A31" w:rsidRDefault="00505A31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505A31" w:rsidRDefault="00505A31"/>
        <w:p w:rsidR="00505A31" w:rsidRDefault="008664E9">
          <w:r w:rsidRPr="008664E9">
            <w:rPr>
              <w:b/>
              <w:noProof/>
              <w:sz w:val="40"/>
              <w:szCs w:val="40"/>
              <w:u w:val="single"/>
            </w:rPr>
            <w:pict>
              <v:shape id="_x0000_s1029" type="#_x0000_t202" style="position:absolute;margin-left:263.4pt;margin-top:17.5pt;width:168.65pt;height:65.7pt;z-index:251665408;mso-width-percent:400;mso-height-percent:200;mso-width-percent:400;mso-height-percent:200;mso-width-relative:margin;mso-height-relative:margin" strokecolor="white [3212]">
                <v:textbox style="mso-next-textbox:#_x0000_s1029;mso-fit-shape-to-text:t">
                  <w:txbxContent>
                    <w:p w:rsidR="00C07CF1" w:rsidRDefault="00C07CF1">
                      <w:r w:rsidRPr="00813686">
                        <w:rPr>
                          <w:b/>
                          <w:sz w:val="24"/>
                        </w:rPr>
                        <w:t>Autores: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t>Gustavo Resende</w:t>
                      </w:r>
                      <w:r>
                        <w:br/>
                        <w:t>Miguel Pereira</w:t>
                      </w:r>
                    </w:p>
                  </w:txbxContent>
                </v:textbox>
              </v:shape>
            </w:pict>
          </w:r>
        </w:p>
        <w:p w:rsidR="00505A31" w:rsidRDefault="00505A31"/>
        <w:p w:rsidR="00B01BF7" w:rsidRDefault="008664E9" w:rsidP="000461E7">
          <w:pPr>
            <w:rPr>
              <w:b/>
              <w:sz w:val="40"/>
              <w:szCs w:val="40"/>
              <w:u w:val="single"/>
            </w:rPr>
          </w:pPr>
        </w:p>
      </w:sdtContent>
    </w:sdt>
    <w:p w:rsidR="000461E7" w:rsidRDefault="000461E7" w:rsidP="000461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Compósitos</w:t>
      </w:r>
    </w:p>
    <w:p w:rsidR="00A977E2" w:rsidRDefault="00A977E2" w:rsidP="001F21FB">
      <w:pPr>
        <w:rPr>
          <w:sz w:val="24"/>
          <w:szCs w:val="24"/>
        </w:rPr>
      </w:pPr>
    </w:p>
    <w:p w:rsidR="00096A0E" w:rsidRPr="009F35D9" w:rsidRDefault="00096A0E" w:rsidP="00B62695">
      <w:pPr>
        <w:rPr>
          <w:sz w:val="24"/>
          <w:szCs w:val="24"/>
        </w:rPr>
      </w:pPr>
      <w:r>
        <w:rPr>
          <w:sz w:val="24"/>
          <w:szCs w:val="24"/>
        </w:rPr>
        <w:t xml:space="preserve">Os compósitos são normalmente formados por dois componentes: um mais rígido, resistente e de forma alongada (as fibras) que assenta num mais macio denominado matriz. Essa matriz pode ser de diferentes naturezas: matriz metálica, matriz cerâmica, ou matriz polimérica (termoplástico ou termoendurecível), como é mais usual na indústria. </w:t>
      </w:r>
      <w:r w:rsidR="001F21FB">
        <w:rPr>
          <w:sz w:val="24"/>
          <w:szCs w:val="24"/>
        </w:rPr>
        <w:br/>
      </w:r>
      <w:r>
        <w:rPr>
          <w:sz w:val="24"/>
          <w:szCs w:val="24"/>
        </w:rPr>
        <w:t>Geralmente, os metais utilizados em compósitos de matriz metálica são de alumínio, magnésio ou titânio, e são ligados e tratados termicamente, de modo a melhorar as suas propriedades mecânicas. Os reforços não alteram significativamente a rigidez e a resistência do metal, mas melhoram a resistência ao desgaste e a estabilidade a alta temperatura. No caso das matrizes cerâmicas, existem quatro tipos de cerâmicos usados na fabricação de compósitos: cerâmicos vítreos, cerâmicos técnicos, cimento e carbono. No entanto, os cerâmicos são um material muito frágil. Logo, podem-se utilizar reforços (que vão atuar como obstáculos à propagação da fenda) de modo a melhorar esta propriedade mecânica, aumentando a tenacidade.</w:t>
      </w:r>
      <w:r w:rsidR="00E42227">
        <w:rPr>
          <w:sz w:val="24"/>
          <w:szCs w:val="24"/>
        </w:rPr>
        <w:t xml:space="preserve"> Relativamente às matrizes poliméricas, podemos dividi-las naquelas formadas por polímeros termoplásticos e termoendurecíveis. Os termoplásticos possuem uma elevada ductilidades e as suas propriedades mecânicas dependem da temperatura e velocidade de deformação. Porém, o seu processamento é mais difícil do que o dos termoendurecíveis, tornando-se mais difícil impregnar as fibras, sendo necessárias elevadas pressões e tempos. Os termoendurecíveis são mais resistentes e mais rígidos do que os termoplásticos, mas também mais frágeis. As resinas epoxídicas são as que apresentam as melhores propriedades, mas por vezes n</w:t>
      </w:r>
      <w:r w:rsidR="001F21FB">
        <w:rPr>
          <w:sz w:val="24"/>
          <w:szCs w:val="24"/>
        </w:rPr>
        <w:t xml:space="preserve">ão são escolhidas devido ao seu elevado </w:t>
      </w:r>
      <w:r w:rsidR="00E42227">
        <w:rPr>
          <w:sz w:val="24"/>
          <w:szCs w:val="24"/>
        </w:rPr>
        <w:t>custo.</w:t>
      </w:r>
      <w:r w:rsidR="001F21FB">
        <w:rPr>
          <w:sz w:val="24"/>
          <w:szCs w:val="24"/>
        </w:rPr>
        <w:br/>
        <w:t xml:space="preserve">A estas matrizes, é costume adicionarem-se fibras (reforços), que apresentam uma elevada rigidez e uma densidade muito baixa. Essas fibras podem ser de vidro, carbono, orgânicas ou naturais. Se forem colocadas apenas </w:t>
      </w:r>
      <w:r w:rsidR="00A977E2">
        <w:rPr>
          <w:sz w:val="24"/>
          <w:szCs w:val="24"/>
        </w:rPr>
        <w:t>longitudinalmente</w:t>
      </w:r>
      <w:r w:rsidR="001F21FB">
        <w:rPr>
          <w:sz w:val="24"/>
          <w:szCs w:val="24"/>
        </w:rPr>
        <w:t xml:space="preserve">, as propriedades do compósito </w:t>
      </w:r>
      <w:r w:rsidR="00A977E2">
        <w:rPr>
          <w:sz w:val="24"/>
          <w:szCs w:val="24"/>
        </w:rPr>
        <w:t>nesse sentido</w:t>
      </w:r>
      <w:r w:rsidR="001F21FB">
        <w:rPr>
          <w:sz w:val="24"/>
          <w:szCs w:val="24"/>
        </w:rPr>
        <w:t xml:space="preserve"> vão ser muito superiores às propriedades no sentido transversal. Isto porque, transversalmente, apenas a resina, cuja resistência e dureza é relativamente baixa, contraria a força aplicada</w:t>
      </w:r>
      <w:r w:rsidR="00A977E2">
        <w:rPr>
          <w:sz w:val="24"/>
          <w:szCs w:val="24"/>
        </w:rPr>
        <w:t xml:space="preserve">. Dada esta propriedade anisotrópica, antes da fabricação do compósito, deve-se ter em conta a sua aplicação, de modo a colocar as fibras no sentido correto. </w:t>
      </w:r>
      <w:r w:rsidR="001F21FB">
        <w:rPr>
          <w:sz w:val="24"/>
          <w:szCs w:val="24"/>
        </w:rPr>
        <w:br/>
      </w:r>
      <w:r w:rsidR="001F21FB">
        <w:rPr>
          <w:sz w:val="24"/>
          <w:szCs w:val="24"/>
        </w:rPr>
        <w:br/>
      </w:r>
    </w:p>
    <w:p w:rsidR="000461E7" w:rsidRPr="00096A0E" w:rsidRDefault="000461E7" w:rsidP="000461E7">
      <w:pPr>
        <w:rPr>
          <w:sz w:val="24"/>
          <w:szCs w:val="24"/>
        </w:rPr>
      </w:pPr>
    </w:p>
    <w:p w:rsidR="000461E7" w:rsidRDefault="000461E7" w:rsidP="000461E7">
      <w:pPr>
        <w:rPr>
          <w:b/>
          <w:sz w:val="40"/>
          <w:szCs w:val="40"/>
          <w:u w:val="single"/>
        </w:rPr>
      </w:pPr>
    </w:p>
    <w:p w:rsidR="000461E7" w:rsidRDefault="000461E7" w:rsidP="000461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Materiais usados</w:t>
      </w:r>
    </w:p>
    <w:p w:rsidR="00187789" w:rsidRDefault="00187789" w:rsidP="000461E7">
      <w:pPr>
        <w:rPr>
          <w:sz w:val="24"/>
          <w:szCs w:val="24"/>
        </w:rPr>
      </w:pPr>
    </w:p>
    <w:p w:rsidR="000461E7" w:rsidRDefault="00C64206" w:rsidP="000461E7">
      <w:pPr>
        <w:rPr>
          <w:sz w:val="24"/>
          <w:szCs w:val="24"/>
        </w:rPr>
      </w:pPr>
      <w:r>
        <w:rPr>
          <w:sz w:val="24"/>
          <w:szCs w:val="24"/>
        </w:rPr>
        <w:t xml:space="preserve">Para a realização desta atividade laboratorial, foi utilizado um pré-impregnado de uma resina epoxídica juntamente com fibra de carbono. A resina de epóxido é uma matriz polimérica, com módulo de elasticidade entre os 2GPa e 5GPa, resistência à tração entre 50MPa e 100MPa, e extensão de rotura entre 2% e 8%. Para aumentar a sua rigidez, foram utilizadas fibras de carbono. Como serão realizadas duas curvas de tração - uma com </w:t>
      </w:r>
      <w:r w:rsidR="00187789">
        <w:rPr>
          <w:sz w:val="24"/>
          <w:szCs w:val="24"/>
        </w:rPr>
        <w:t>a força a atuar</w:t>
      </w:r>
      <w:r>
        <w:rPr>
          <w:sz w:val="24"/>
          <w:szCs w:val="24"/>
        </w:rPr>
        <w:t xml:space="preserve"> transversalmente, outra longitudinalmente - é necessário </w:t>
      </w:r>
      <w:r w:rsidR="00187789">
        <w:rPr>
          <w:sz w:val="24"/>
          <w:szCs w:val="24"/>
        </w:rPr>
        <w:t>realizar dois ensaios</w:t>
      </w:r>
      <w:r>
        <w:rPr>
          <w:sz w:val="24"/>
          <w:szCs w:val="24"/>
        </w:rPr>
        <w:t>.</w:t>
      </w:r>
      <w:r w:rsidR="00187789">
        <w:rPr>
          <w:sz w:val="24"/>
          <w:szCs w:val="24"/>
        </w:rPr>
        <w:t xml:space="preserve"> No ensaio em que a força atua na transversal,</w:t>
      </w:r>
      <w:r>
        <w:rPr>
          <w:sz w:val="24"/>
          <w:szCs w:val="24"/>
        </w:rPr>
        <w:t xml:space="preserve"> são adicionados dois bocados de </w:t>
      </w:r>
      <w:r w:rsidR="00187789">
        <w:rPr>
          <w:sz w:val="24"/>
          <w:szCs w:val="24"/>
        </w:rPr>
        <w:t>alumínio</w:t>
      </w:r>
      <w:r>
        <w:rPr>
          <w:sz w:val="24"/>
          <w:szCs w:val="24"/>
        </w:rPr>
        <w:t>, a colocar na parte em que o provete entra em contacto com a máquina. Isto porque</w:t>
      </w:r>
      <w:r w:rsidR="00187789">
        <w:rPr>
          <w:sz w:val="24"/>
          <w:szCs w:val="24"/>
        </w:rPr>
        <w:t xml:space="preserve"> os dentes da máquina iriam imprimir no compósito concentrações de tensões não desejadas. No ensaio em que a força atua longitudinalmente, os pedaços de metal não são suficientes, pois o provete deslizaria em relação à máquina. Então, opta-se por usar um pino (que por si só é um concentrador de tensões e irá, à partida, provocar discrepâncias nos valores medidos).</w:t>
      </w:r>
    </w:p>
    <w:p w:rsidR="0050401F" w:rsidRPr="0050401F" w:rsidRDefault="0050401F" w:rsidP="0050401F">
      <w:pPr>
        <w:rPr>
          <w:b/>
          <w:sz w:val="40"/>
          <w:szCs w:val="40"/>
          <w:u w:val="single"/>
        </w:rPr>
      </w:pPr>
      <w:r w:rsidRPr="0050401F">
        <w:rPr>
          <w:b/>
          <w:sz w:val="40"/>
          <w:szCs w:val="40"/>
          <w:u w:val="single"/>
        </w:rPr>
        <w:t>Descrição da fabricação do compósito</w:t>
      </w:r>
    </w:p>
    <w:p w:rsidR="0050401F" w:rsidRDefault="0050401F" w:rsidP="0050401F">
      <w:pPr>
        <w:pStyle w:val="normal0"/>
        <w:ind w:firstLine="720"/>
        <w:jc w:val="both"/>
      </w:pPr>
    </w:p>
    <w:p w:rsidR="0050401F" w:rsidRPr="0050401F" w:rsidRDefault="0050401F" w:rsidP="0050401F">
      <w:pPr>
        <w:pStyle w:val="normal0"/>
        <w:ind w:firstLine="72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Apenas uma pequena gama de estruturas pode ser construída utilizando-se diretamente a fibra mais a resina. </w:t>
      </w:r>
      <w:r w:rsidR="006B7A1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Assim,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são </w:t>
      </w:r>
      <w:r w:rsidR="006B7A1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criados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produtos intermédios que possam ser transformados nas diversas estruturas</w:t>
      </w:r>
      <w:r w:rsidR="006B7A1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(semi- produtos)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.</w:t>
      </w:r>
      <w:r w:rsidR="006B7A1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Estes Produtos intermédios são 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transformados e usados em diversas aplicações, incluindo estruturais. Apenas </w:t>
      </w:r>
      <w:r w:rsidR="006B7A1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certas </w:t>
      </w:r>
      <w:r w:rsidR="006B7A1D"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estruturas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pode</w:t>
      </w:r>
      <w:r w:rsidR="006B7A1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m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ser </w:t>
      </w:r>
      <w:r w:rsidR="006B7A1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realizadas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, diretamen</w:t>
      </w:r>
      <w:r w:rsidR="006B7A1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te, a partir de fibra e resina. </w:t>
      </w:r>
      <w:r w:rsidR="0070219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Os semi-produtos podem ser 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compostos de moldação, pré-impregnados, pré-formas, termoplásticos reforçados de fibras curtas, longas e contínuas.</w:t>
      </w:r>
    </w:p>
    <w:p w:rsidR="0050401F" w:rsidRPr="0050401F" w:rsidRDefault="0050401F" w:rsidP="0070219D">
      <w:pPr>
        <w:pStyle w:val="normal0"/>
        <w:ind w:firstLine="72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O provete adquirido já estava pré-impregnado. Apesar desta etapa não ter sido realizada experimentalmente, é necessário ter em atenção a eficiente impregnação das fibras no compósito (As fibras podem ser unidirecionais ou em tecido. Tipicamente, as fibras ocupam à volta de 50% em volume e o pré-impregnado tem à </w:t>
      </w:r>
      <w:r w:rsidR="0070219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volta de 0,125 mm de espessura). Primeiro colocam-se as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fibras e resina entre folhas de silicone (prensadas ou laminadas, para garantir uma boa molhagem das </w:t>
      </w:r>
      <w:r w:rsidR="0070219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fibras). Depois comprime-se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o compósito numa caixa de carga c</w:t>
      </w:r>
      <w:r w:rsidR="0070219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om várias atmosferas de pressão. Deste modo, realiza-se o p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ré-aquecimento do material de modo a aumentar a pegajosidade da resina (parcialmente curada, para que o pré-preg possa ser manuseado) para se colarem as diferentes camada</w:t>
      </w:r>
      <w:r w:rsidR="0070219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s. Apos a última etapa, o compósito é comprimido e no final realiza-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se a</w:t>
      </w:r>
      <w:r w:rsidR="0070219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cura do compósito aumentando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a</w:t>
      </w:r>
      <w:r w:rsidR="0070219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sua</w:t>
      </w:r>
      <w:r w:rsidRPr="0050401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rigidez. (A aplicação de pressão e temperatura pode</w:t>
      </w:r>
      <w:r w:rsidR="0070219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ser realizada de vários</w:t>
      </w:r>
      <w:r w:rsidR="005E7D5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modos tais como usando a autoclave, saco de vácuo e prensa de pratos quentes)</w:t>
      </w:r>
    </w:p>
    <w:p w:rsidR="005E7D5D" w:rsidRDefault="005E7D5D" w:rsidP="005E7D5D">
      <w:pPr>
        <w:pStyle w:val="normal0"/>
        <w:jc w:val="both"/>
        <w:rPr>
          <w:sz w:val="24"/>
          <w:szCs w:val="24"/>
        </w:rPr>
      </w:pPr>
    </w:p>
    <w:p w:rsidR="005E7D5D" w:rsidRDefault="005E7D5D" w:rsidP="000461E7">
      <w:pPr>
        <w:rPr>
          <w:sz w:val="24"/>
          <w:szCs w:val="24"/>
        </w:rPr>
      </w:pPr>
    </w:p>
    <w:p w:rsidR="005E7D5D" w:rsidRDefault="008664E9" w:rsidP="000461E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202" style="position:absolute;margin-left:43.3pt;margin-top:255.55pt;width:382.4pt;height:18pt;z-index:251667456;mso-width-relative:margin;mso-height-relative:margin">
            <v:textbox style="mso-next-textbox:#_x0000_s1032">
              <w:txbxContent>
                <w:p w:rsidR="00A0050D" w:rsidRDefault="00D35EE7">
                  <w:r>
                    <w:t xml:space="preserve">0                    0,2                    0,4                    0,6                  </w:t>
                  </w:r>
                  <w:r>
                    <w:t>0,8                 1,0                1,2   1,2</w:t>
                  </w:r>
                </w:p>
              </w:txbxContent>
            </v:textbox>
          </v:shape>
        </w:pict>
      </w:r>
      <w:r w:rsidR="005E7D5D" w:rsidRPr="005E7D5D">
        <w:rPr>
          <w:noProof/>
          <w:sz w:val="24"/>
          <w:szCs w:val="24"/>
          <w:lang w:eastAsia="pt-PT"/>
        </w:rPr>
        <w:drawing>
          <wp:inline distT="0" distB="0" distL="0" distR="0">
            <wp:extent cx="5400040" cy="3803104"/>
            <wp:effectExtent l="19050" t="0" r="10160" b="6896"/>
            <wp:docPr id="4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E7D5D" w:rsidRDefault="005E7D5D" w:rsidP="005E7D5D">
      <w:pPr>
        <w:pStyle w:val="normal0"/>
        <w:jc w:val="both"/>
      </w:pPr>
    </w:p>
    <w:p w:rsidR="005E7D5D" w:rsidRPr="005E7D5D" w:rsidRDefault="005E7D5D" w:rsidP="005E7D5D">
      <w:pPr>
        <w:rPr>
          <w:b/>
          <w:sz w:val="40"/>
          <w:szCs w:val="40"/>
          <w:u w:val="single"/>
        </w:rPr>
      </w:pPr>
      <w:r w:rsidRPr="005E7D5D">
        <w:rPr>
          <w:b/>
          <w:sz w:val="40"/>
          <w:szCs w:val="40"/>
          <w:u w:val="single"/>
        </w:rPr>
        <w:t>Propriedades mecânicas e comentários</w:t>
      </w:r>
    </w:p>
    <w:p w:rsidR="00712632" w:rsidRDefault="005E7D5D" w:rsidP="00712632">
      <w:pPr>
        <w:pStyle w:val="normal0"/>
        <w:ind w:firstLine="72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5E7D5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No primeiro caso, o provete tinha as fibras dispostas transversalmente à força de tração realizada. É, por isso, considerado um provete de resina uma vez que as fibras não realizam força coincidindo assim a resistência e o módulo de Young do compósito com os da resina.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O módulo de young da resina tem valores de cerca de 8,9 GPa enquanto o da fibra apresenta valores de 310 GPa. No que toca a resistência da resina esta possui valores que rondam os 50 mpa enquanto a resistência da fibra é de cerca de 2400 MPa.</w:t>
      </w:r>
      <w:r w:rsidR="00C24364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</w:t>
      </w:r>
      <w:r w:rsidR="00712632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Neste caso, a ductibilidade pode ser medida através da extensão após rotura e é de cerca de 3%.</w:t>
      </w:r>
    </w:p>
    <w:p w:rsidR="005E7D5D" w:rsidRPr="005E7D5D" w:rsidRDefault="005E7D5D" w:rsidP="00712632">
      <w:pPr>
        <w:pStyle w:val="normal0"/>
        <w:ind w:firstLine="72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5E7D5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Teoricamente, as propriedades do material no sentido transversal à fibra são iguais às proprieda</w:t>
      </w:r>
      <w:r w:rsid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des da resina. No entanto, uma </w:t>
      </w:r>
      <w:r w:rsidRPr="005E7D5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vez que o provete utilizado era de má qualidade</w:t>
      </w:r>
      <w:r w:rsid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, pois possuía um furo onde as tensões eram acumuladas,</w:t>
      </w:r>
      <w:r w:rsidRPr="005E7D5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o valor da resistência calculado é inferior ao esperado.</w:t>
      </w:r>
    </w:p>
    <w:p w:rsidR="005E7D5D" w:rsidRPr="005E7D5D" w:rsidRDefault="005E7D5D" w:rsidP="005E7D5D">
      <w:pPr>
        <w:pStyle w:val="normal0"/>
        <w:ind w:firstLine="72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5E7D5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Os valores da resina são iguais aos valores ótimos do compósito com fibras transversais à força. </w:t>
      </w:r>
    </w:p>
    <w:p w:rsidR="005E7D5D" w:rsidRDefault="005E7D5D" w:rsidP="005E7D5D">
      <w:pPr>
        <w:pStyle w:val="normal0"/>
        <w:ind w:firstLine="720"/>
        <w:jc w:val="both"/>
      </w:pPr>
      <w:r w:rsidRPr="005E7D5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No segundo caso, as fibras estão dispostas longitudinalmente relativamente à força de tração realizada contribuindo, desta vez, tanto as fibras como a resina para a força. Neste caso, devem analisar-se as propriedades do provete através da regra das misturas.</w:t>
      </w:r>
      <w:r w:rsidR="005F155D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Através do gráfico podemos verificar que o seu coeficiente de estricção é igual a 10%</w:t>
      </w:r>
    </w:p>
    <w:p w:rsidR="005E7D5D" w:rsidRDefault="005E7D5D" w:rsidP="005E7D5D">
      <w:pPr>
        <w:pStyle w:val="normal0"/>
        <w:jc w:val="both"/>
      </w:pPr>
    </w:p>
    <w:p w:rsidR="006432C9" w:rsidRPr="006432C9" w:rsidRDefault="006432C9" w:rsidP="006432C9">
      <w:pPr>
        <w:pStyle w:val="normal0"/>
        <w:jc w:val="both"/>
        <w:rPr>
          <w:rFonts w:asciiTheme="minorHAnsi" w:eastAsiaTheme="minorHAnsi" w:hAnsiTheme="minorHAnsi" w:cstheme="minorBidi"/>
          <w:b/>
          <w:color w:val="auto"/>
          <w:sz w:val="40"/>
          <w:szCs w:val="40"/>
          <w:u w:val="single"/>
          <w:lang w:eastAsia="en-US"/>
        </w:rPr>
      </w:pPr>
      <w:r w:rsidRPr="006432C9">
        <w:rPr>
          <w:rFonts w:asciiTheme="minorHAnsi" w:eastAsiaTheme="minorHAnsi" w:hAnsiTheme="minorHAnsi" w:cstheme="minorBidi"/>
          <w:b/>
          <w:color w:val="auto"/>
          <w:sz w:val="40"/>
          <w:szCs w:val="40"/>
          <w:u w:val="single"/>
          <w:lang w:eastAsia="en-US"/>
        </w:rPr>
        <w:t>Previsão das propriedades mecânicas pela regra das misturas</w:t>
      </w:r>
    </w:p>
    <w:p w:rsidR="006432C9" w:rsidRDefault="006432C9" w:rsidP="006432C9">
      <w:pPr>
        <w:pStyle w:val="normal0"/>
        <w:ind w:firstLine="720"/>
      </w:pPr>
    </w:p>
    <w:p w:rsidR="006432C9" w:rsidRPr="006432C9" w:rsidRDefault="006432C9" w:rsidP="006432C9">
      <w:pPr>
        <w:pStyle w:val="normal0"/>
        <w:ind w:firstLine="72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Apesar do compósito analisado ser uma mistura de dois componentes, nem todas as propriedades são uma combinação linear das propriedades da matriz mais o reforço. </w:t>
      </w:r>
    </w:p>
    <w:p w:rsidR="00712632" w:rsidRDefault="006432C9" w:rsidP="00712632">
      <w:pPr>
        <w:pStyle w:val="normal0"/>
        <w:ind w:firstLine="72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Ao analisar a tenacidade da resina e a da fibra, </w:t>
      </w:r>
      <w:r w:rsidR="00712632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podemos confirmar que em ambos </w:t>
      </w:r>
      <w:r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os casos se apresenta baixa, contudo a tenacidade do produto final é alta.</w:t>
      </w:r>
    </w:p>
    <w:p w:rsidR="006432C9" w:rsidRPr="006432C9" w:rsidRDefault="006432C9" w:rsidP="00712632">
      <w:pPr>
        <w:pStyle w:val="normal0"/>
        <w:ind w:firstLine="72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A combinação das propriedades intrínsecas das f</w:t>
      </w:r>
      <w:r w:rsidR="00712632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ibras de reforço e da matriz podem ser obtidas através de processos de cálculo</w:t>
      </w:r>
      <w:r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. A essa metodologia de cálculo dá-</w:t>
      </w:r>
      <w:r w:rsidR="00712632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se a designação de micromecânica e </w:t>
      </w:r>
      <w:r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é fundamental no entendimento do conjunto das propriedades dos compósitos. </w:t>
      </w:r>
    </w:p>
    <w:p w:rsidR="006432C9" w:rsidRDefault="00712632" w:rsidP="00712632">
      <w:pPr>
        <w:pStyle w:val="normal0"/>
        <w:ind w:firstLine="72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A </w:t>
      </w:r>
      <w:r w:rsidR="006432C9"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análise micromecânica de compósitos é baseada em sistemas simples. No caso da previsão da rigidez de compósitos com fibras perfeitamente alinhadas, com arranjo unidirecional (1-D), comportamento elástico e com adesão perfeita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(Tal como o compósito usado no trabalho prático)</w:t>
      </w:r>
      <w:r w:rsidR="006432C9"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, faz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-se</w:t>
      </w:r>
      <w:r w:rsidR="006432C9"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uso da equação da Regra das Misturas.</w:t>
      </w:r>
    </w:p>
    <w:p w:rsidR="005F155D" w:rsidRDefault="005F155D" w:rsidP="00712632">
      <w:pPr>
        <w:pStyle w:val="normal0"/>
        <w:ind w:firstLine="72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Através das regras das misturas, sabendo que o compósito é constituído por 60% fibra e 40% resina podemos prever que o módulo de young do compósito ronde os 130 GPa e p</w:t>
      </w:r>
      <w:r w:rsidR="00D35EE7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ossuía uma rigidez de 1000 MPa no sentido longitudinal das fibras</w:t>
      </w:r>
    </w:p>
    <w:p w:rsidR="006432C9" w:rsidRDefault="00F602F2" w:rsidP="00F602F2">
      <w:pPr>
        <w:pStyle w:val="normal0"/>
        <w:ind w:firstLine="72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Pela observação do gráfico, (Valores experimentais) podemos verificar que a rigidez do compósito</w:t>
      </w:r>
      <w:r w:rsidR="00D35EE7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no sentido longitudinal das fibras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é igual a 5</w:t>
      </w:r>
      <w:r w:rsidR="00D35EE7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0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Gpa e a sua resistência mecânica é igual a </w:t>
      </w:r>
      <w:r w:rsidR="00D35EE7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900 MPa.  </w:t>
      </w:r>
    </w:p>
    <w:p w:rsidR="00F602F2" w:rsidRPr="006432C9" w:rsidRDefault="00F602F2" w:rsidP="00F602F2">
      <w:pPr>
        <w:pStyle w:val="normal0"/>
        <w:ind w:firstLine="72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:rsidR="006432C9" w:rsidRPr="006432C9" w:rsidRDefault="006432C9" w:rsidP="006432C9">
      <w:pPr>
        <w:pStyle w:val="normal0"/>
        <w:ind w:firstLine="72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Regra das Misturas:</w:t>
      </w:r>
    </w:p>
    <w:p w:rsidR="005E7D5D" w:rsidRDefault="006432C9" w:rsidP="006432C9">
      <w:pPr>
        <w:pStyle w:val="normal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432C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Comparando os valores reais com os teóricos conclui-se os resultados da atividade experimental dão inferiores ao suposto. Isto deve-se à concentração de tensões (de 3 sigma) nas extremidades do provete que se acumularam devido aos realizados no meio das duas “bolachas” de adesivo colocadas nas pontas de modo a conseguir uma melhor aderência e a não ferir o provete causando perfurações da fibra e diminuindo a sua resistência. Além deste desafio, as folgas entre as várias amarras do aparelho de tração fazem com que haja um deslocamento não concordante com o real</w:t>
      </w:r>
    </w:p>
    <w:p w:rsidR="005F155D" w:rsidRPr="006432C9" w:rsidRDefault="005F155D" w:rsidP="006432C9">
      <w:pPr>
        <w:pStyle w:val="normal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</w:t>
      </w:r>
    </w:p>
    <w:p w:rsidR="005E7D5D" w:rsidRPr="005E7D5D" w:rsidRDefault="005E7D5D" w:rsidP="005E7D5D">
      <w:pPr>
        <w:rPr>
          <w:sz w:val="24"/>
          <w:szCs w:val="24"/>
        </w:rPr>
      </w:pPr>
    </w:p>
    <w:sectPr w:rsidR="005E7D5D" w:rsidRPr="005E7D5D" w:rsidSect="00505A3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6F9" w:rsidRDefault="00BA06F9" w:rsidP="005C0C6D">
      <w:pPr>
        <w:spacing w:after="0" w:line="240" w:lineRule="auto"/>
      </w:pPr>
      <w:r>
        <w:separator/>
      </w:r>
    </w:p>
  </w:endnote>
  <w:endnote w:type="continuationSeparator" w:id="0">
    <w:p w:rsidR="00BA06F9" w:rsidRDefault="00BA06F9" w:rsidP="005C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6F9" w:rsidRDefault="00BA06F9" w:rsidP="005C0C6D">
      <w:pPr>
        <w:spacing w:after="0" w:line="240" w:lineRule="auto"/>
      </w:pPr>
      <w:r>
        <w:separator/>
      </w:r>
    </w:p>
  </w:footnote>
  <w:footnote w:type="continuationSeparator" w:id="0">
    <w:p w:rsidR="00BA06F9" w:rsidRDefault="00BA06F9" w:rsidP="005C0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BDB"/>
    <w:multiLevelType w:val="hybridMultilevel"/>
    <w:tmpl w:val="EBC8F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03607"/>
    <w:multiLevelType w:val="multilevel"/>
    <w:tmpl w:val="D84436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E811F4"/>
    <w:multiLevelType w:val="hybridMultilevel"/>
    <w:tmpl w:val="86D4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52CD0"/>
    <w:multiLevelType w:val="multilevel"/>
    <w:tmpl w:val="AF0627E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75405A31"/>
    <w:multiLevelType w:val="multilevel"/>
    <w:tmpl w:val="9962E8E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75ED53B5"/>
    <w:multiLevelType w:val="multilevel"/>
    <w:tmpl w:val="0D70D7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95C99"/>
    <w:rsid w:val="00025BF6"/>
    <w:rsid w:val="000461E7"/>
    <w:rsid w:val="000601D6"/>
    <w:rsid w:val="00070059"/>
    <w:rsid w:val="00076170"/>
    <w:rsid w:val="00076CCA"/>
    <w:rsid w:val="00096A0E"/>
    <w:rsid w:val="000B2A45"/>
    <w:rsid w:val="000B5F3C"/>
    <w:rsid w:val="001450D7"/>
    <w:rsid w:val="0015078C"/>
    <w:rsid w:val="00183296"/>
    <w:rsid w:val="00187789"/>
    <w:rsid w:val="001F21FB"/>
    <w:rsid w:val="001F36DF"/>
    <w:rsid w:val="00226D1B"/>
    <w:rsid w:val="0025300D"/>
    <w:rsid w:val="00256CD7"/>
    <w:rsid w:val="002C1770"/>
    <w:rsid w:val="00305206"/>
    <w:rsid w:val="00327654"/>
    <w:rsid w:val="00341FF3"/>
    <w:rsid w:val="00365D97"/>
    <w:rsid w:val="00385A2E"/>
    <w:rsid w:val="003B100A"/>
    <w:rsid w:val="003B1289"/>
    <w:rsid w:val="003F0EE7"/>
    <w:rsid w:val="00423000"/>
    <w:rsid w:val="00443848"/>
    <w:rsid w:val="00443A78"/>
    <w:rsid w:val="004459E8"/>
    <w:rsid w:val="0045136C"/>
    <w:rsid w:val="004640EF"/>
    <w:rsid w:val="0046559E"/>
    <w:rsid w:val="00465BD1"/>
    <w:rsid w:val="004D0A78"/>
    <w:rsid w:val="0050401F"/>
    <w:rsid w:val="00505A31"/>
    <w:rsid w:val="00547DEC"/>
    <w:rsid w:val="005875B7"/>
    <w:rsid w:val="005A48FD"/>
    <w:rsid w:val="005C0C6D"/>
    <w:rsid w:val="005C4ACE"/>
    <w:rsid w:val="005E7D5D"/>
    <w:rsid w:val="005F155D"/>
    <w:rsid w:val="006111A1"/>
    <w:rsid w:val="006432C9"/>
    <w:rsid w:val="00673A46"/>
    <w:rsid w:val="00695C99"/>
    <w:rsid w:val="006A3D40"/>
    <w:rsid w:val="006B5995"/>
    <w:rsid w:val="006B7A1D"/>
    <w:rsid w:val="0070219D"/>
    <w:rsid w:val="00712632"/>
    <w:rsid w:val="007362BB"/>
    <w:rsid w:val="00765016"/>
    <w:rsid w:val="007B0F8F"/>
    <w:rsid w:val="007F21C0"/>
    <w:rsid w:val="00813686"/>
    <w:rsid w:val="008664E9"/>
    <w:rsid w:val="008872F8"/>
    <w:rsid w:val="008A22D2"/>
    <w:rsid w:val="008B6259"/>
    <w:rsid w:val="008C4F7B"/>
    <w:rsid w:val="009026F6"/>
    <w:rsid w:val="009166EA"/>
    <w:rsid w:val="009525B8"/>
    <w:rsid w:val="00974C33"/>
    <w:rsid w:val="009A164F"/>
    <w:rsid w:val="009C1605"/>
    <w:rsid w:val="009F2449"/>
    <w:rsid w:val="009F35D9"/>
    <w:rsid w:val="00A0050D"/>
    <w:rsid w:val="00A45D37"/>
    <w:rsid w:val="00A977E2"/>
    <w:rsid w:val="00AB588F"/>
    <w:rsid w:val="00AC7396"/>
    <w:rsid w:val="00AD6769"/>
    <w:rsid w:val="00AE084F"/>
    <w:rsid w:val="00AE7C53"/>
    <w:rsid w:val="00AF4A5B"/>
    <w:rsid w:val="00AF4C15"/>
    <w:rsid w:val="00B01BF7"/>
    <w:rsid w:val="00B305B8"/>
    <w:rsid w:val="00B62695"/>
    <w:rsid w:val="00B66040"/>
    <w:rsid w:val="00B87918"/>
    <w:rsid w:val="00B926FA"/>
    <w:rsid w:val="00BA06F9"/>
    <w:rsid w:val="00BA3825"/>
    <w:rsid w:val="00BF410B"/>
    <w:rsid w:val="00C07CF1"/>
    <w:rsid w:val="00C24364"/>
    <w:rsid w:val="00C36DAC"/>
    <w:rsid w:val="00C64206"/>
    <w:rsid w:val="00C64784"/>
    <w:rsid w:val="00CB701A"/>
    <w:rsid w:val="00CC25A9"/>
    <w:rsid w:val="00CD047B"/>
    <w:rsid w:val="00CE21BA"/>
    <w:rsid w:val="00CF304B"/>
    <w:rsid w:val="00CF3DD7"/>
    <w:rsid w:val="00D071B4"/>
    <w:rsid w:val="00D1692F"/>
    <w:rsid w:val="00D25375"/>
    <w:rsid w:val="00D35EE7"/>
    <w:rsid w:val="00D50631"/>
    <w:rsid w:val="00DD1B78"/>
    <w:rsid w:val="00E15D32"/>
    <w:rsid w:val="00E2531C"/>
    <w:rsid w:val="00E33F1A"/>
    <w:rsid w:val="00E3659A"/>
    <w:rsid w:val="00E42227"/>
    <w:rsid w:val="00E46690"/>
    <w:rsid w:val="00E60826"/>
    <w:rsid w:val="00E65128"/>
    <w:rsid w:val="00E924E3"/>
    <w:rsid w:val="00EA4A8A"/>
    <w:rsid w:val="00EC0F42"/>
    <w:rsid w:val="00F449C2"/>
    <w:rsid w:val="00F50E79"/>
    <w:rsid w:val="00F527F1"/>
    <w:rsid w:val="00F602F2"/>
    <w:rsid w:val="00F61EB1"/>
    <w:rsid w:val="00F63BF3"/>
    <w:rsid w:val="00FC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0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1B4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879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791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0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C6D"/>
  </w:style>
  <w:style w:type="paragraph" w:styleId="Footer">
    <w:name w:val="footer"/>
    <w:basedOn w:val="Normal"/>
    <w:link w:val="FooterChar"/>
    <w:uiPriority w:val="99"/>
    <w:semiHidden/>
    <w:unhideWhenUsed/>
    <w:rsid w:val="005C0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C6D"/>
  </w:style>
  <w:style w:type="character" w:styleId="PlaceholderText">
    <w:name w:val="Placeholder Text"/>
    <w:basedOn w:val="DefaultParagraphFont"/>
    <w:uiPriority w:val="99"/>
    <w:semiHidden/>
    <w:rsid w:val="00D50631"/>
    <w:rPr>
      <w:color w:val="808080"/>
    </w:rPr>
  </w:style>
  <w:style w:type="table" w:styleId="LightList-Accent6">
    <w:name w:val="Light List Accent 6"/>
    <w:basedOn w:val="TableNormal"/>
    <w:uiPriority w:val="61"/>
    <w:rsid w:val="001F36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normal0">
    <w:name w:val="normal"/>
    <w:rsid w:val="0050401F"/>
    <w:pPr>
      <w:spacing w:after="0"/>
    </w:pPr>
    <w:rPr>
      <w:rFonts w:ascii="Arial" w:eastAsia="Arial" w:hAnsi="Arial" w:cs="Arial"/>
      <w:color w:val="000000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na\Desktop\auxi\ensaio%20de%20tra&#231;&#227;o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lrMapOvr bg1="lt1" tx1="dk1" bg2="lt2" tx2="dk2" accent1="accent1" accent2="accent2" accent3="accent3" accent4="accent4" accent5="accent5" accent6="accent6" hlink="hlink" folHlink="folHlink"/>
  <c:chart>
    <c:plotArea>
      <c:layout/>
      <c:scatterChart>
        <c:scatterStyle val="smoothMarker"/>
        <c:ser>
          <c:idx val="0"/>
          <c:order val="0"/>
          <c:tx>
            <c:v>Longitudinal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Sheet1!$A:$A</c:f>
              <c:numCache>
                <c:formatCode>General</c:formatCode>
                <c:ptCount val="1048576"/>
                <c:pt idx="0" formatCode="0.00E+00">
                  <c:v>0</c:v>
                </c:pt>
                <c:pt idx="1">
                  <c:v>1.2778846153846198E-4</c:v>
                </c:pt>
                <c:pt idx="2">
                  <c:v>2.5596153846153802E-4</c:v>
                </c:pt>
                <c:pt idx="3">
                  <c:v>3.8423076923077006E-4</c:v>
                </c:pt>
                <c:pt idx="4">
                  <c:v>4.9605769230769224E-4</c:v>
                </c:pt>
                <c:pt idx="5">
                  <c:v>6.2538461538461695E-4</c:v>
                </c:pt>
                <c:pt idx="6">
                  <c:v>7.3509615384615432E-4</c:v>
                </c:pt>
                <c:pt idx="7">
                  <c:v>8.6586538461538517E-4</c:v>
                </c:pt>
                <c:pt idx="8">
                  <c:v>9.7711538461538487E-4</c:v>
                </c:pt>
                <c:pt idx="9">
                  <c:v>1.0900000000000026E-3</c:v>
                </c:pt>
                <c:pt idx="10">
                  <c:v>1.2012500000000005E-3</c:v>
                </c:pt>
                <c:pt idx="11">
                  <c:v>1.3284615384615438E-3</c:v>
                </c:pt>
                <c:pt idx="12">
                  <c:v>1.4593269230769221E-3</c:v>
                </c:pt>
                <c:pt idx="13">
                  <c:v>1.5695192307692305E-3</c:v>
                </c:pt>
                <c:pt idx="14">
                  <c:v>1.6833653846153836E-3</c:v>
                </c:pt>
                <c:pt idx="15">
                  <c:v>1.7941346153846204E-3</c:v>
                </c:pt>
                <c:pt idx="16">
                  <c:v>1.9069230769230834E-3</c:v>
                </c:pt>
                <c:pt idx="17">
                  <c:v>2.018173076923081E-3</c:v>
                </c:pt>
                <c:pt idx="18">
                  <c:v>2.1309615384615477E-3</c:v>
                </c:pt>
                <c:pt idx="19">
                  <c:v>2.2432692307692349E-3</c:v>
                </c:pt>
                <c:pt idx="20">
                  <c:v>2.3545192307692299E-3</c:v>
                </c:pt>
                <c:pt idx="21">
                  <c:v>2.4689423076923183E-3</c:v>
                </c:pt>
                <c:pt idx="22">
                  <c:v>2.5801923076923237E-3</c:v>
                </c:pt>
                <c:pt idx="23">
                  <c:v>2.6919230769230848E-3</c:v>
                </c:pt>
                <c:pt idx="24">
                  <c:v>2.8032692307692298E-3</c:v>
                </c:pt>
                <c:pt idx="25">
                  <c:v>2.9165384615384609E-3</c:v>
                </c:pt>
                <c:pt idx="26">
                  <c:v>3.0293269230769249E-3</c:v>
                </c:pt>
                <c:pt idx="27">
                  <c:v>3.1396153846153809E-3</c:v>
                </c:pt>
                <c:pt idx="28">
                  <c:v>3.2539423076923227E-3</c:v>
                </c:pt>
                <c:pt idx="29">
                  <c:v>3.3647115384615521E-3</c:v>
                </c:pt>
                <c:pt idx="30">
                  <c:v>3.4775000000000058E-3</c:v>
                </c:pt>
                <c:pt idx="31">
                  <c:v>3.5887500000000077E-3</c:v>
                </c:pt>
                <c:pt idx="32">
                  <c:v>3.7015384615384688E-3</c:v>
                </c:pt>
                <c:pt idx="33">
                  <c:v>3.8138461538461477E-3</c:v>
                </c:pt>
                <c:pt idx="34">
                  <c:v>3.9250961538461583E-3</c:v>
                </c:pt>
                <c:pt idx="35">
                  <c:v>4.0395192307692319E-3</c:v>
                </c:pt>
                <c:pt idx="36">
                  <c:v>4.1497115384615405E-3</c:v>
                </c:pt>
                <c:pt idx="37">
                  <c:v>4.2625000000000015E-3</c:v>
                </c:pt>
                <c:pt idx="38">
                  <c:v>4.3743269230769287E-3</c:v>
                </c:pt>
                <c:pt idx="39">
                  <c:v>4.4871153846153819E-3</c:v>
                </c:pt>
                <c:pt idx="40">
                  <c:v>4.5999038461538517E-3</c:v>
                </c:pt>
                <c:pt idx="41">
                  <c:v>4.7111538461538519E-3</c:v>
                </c:pt>
                <c:pt idx="42">
                  <c:v>4.8240384615384517E-3</c:v>
                </c:pt>
                <c:pt idx="43">
                  <c:v>4.9347115384615423E-3</c:v>
                </c:pt>
                <c:pt idx="44">
                  <c:v>5.0475961538461534E-3</c:v>
                </c:pt>
                <c:pt idx="45">
                  <c:v>5.1598076923076996E-3</c:v>
                </c:pt>
                <c:pt idx="46">
                  <c:v>5.2716346153846494E-3</c:v>
                </c:pt>
                <c:pt idx="47">
                  <c:v>5.3850000000000087E-3</c:v>
                </c:pt>
                <c:pt idx="48">
                  <c:v>5.4967307692307807E-3</c:v>
                </c:pt>
                <c:pt idx="49">
                  <c:v>5.6095192307692304E-3</c:v>
                </c:pt>
                <c:pt idx="50">
                  <c:v>5.7202884615384633E-3</c:v>
                </c:pt>
                <c:pt idx="51">
                  <c:v>5.8330769230769304E-3</c:v>
                </c:pt>
                <c:pt idx="52">
                  <c:v>5.9443269230769306E-3</c:v>
                </c:pt>
                <c:pt idx="53">
                  <c:v>6.0572115384615417E-3</c:v>
                </c:pt>
                <c:pt idx="54">
                  <c:v>6.1700000000000105E-3</c:v>
                </c:pt>
                <c:pt idx="55">
                  <c:v>6.2807692307692477E-3</c:v>
                </c:pt>
                <c:pt idx="56">
                  <c:v>6.3946153846153823E-3</c:v>
                </c:pt>
                <c:pt idx="57">
                  <c:v>6.5058653846154016E-3</c:v>
                </c:pt>
                <c:pt idx="58">
                  <c:v>6.6181730769230814E-3</c:v>
                </c:pt>
                <c:pt idx="59">
                  <c:v>6.7294230769230929E-3</c:v>
                </c:pt>
                <c:pt idx="60">
                  <c:v>6.84269230769233E-3</c:v>
                </c:pt>
                <c:pt idx="61">
                  <c:v>6.9560576923077076E-3</c:v>
                </c:pt>
                <c:pt idx="62">
                  <c:v>7.0662500000000126E-3</c:v>
                </c:pt>
                <c:pt idx="63">
                  <c:v>7.1796153846154058E-3</c:v>
                </c:pt>
                <c:pt idx="64">
                  <c:v>7.2913461538461751E-3</c:v>
                </c:pt>
                <c:pt idx="65">
                  <c:v>7.4025961538461624E-3</c:v>
                </c:pt>
                <c:pt idx="66">
                  <c:v>7.5149038461538517E-3</c:v>
                </c:pt>
                <c:pt idx="67">
                  <c:v>7.6282692307692414E-3</c:v>
                </c:pt>
                <c:pt idx="68">
                  <c:v>7.7410576923077111E-3</c:v>
                </c:pt>
                <c:pt idx="69">
                  <c:v>7.8513461538461688E-3</c:v>
                </c:pt>
                <c:pt idx="70">
                  <c:v>7.9650961538461646E-3</c:v>
                </c:pt>
                <c:pt idx="71">
                  <c:v>8.0769230769230996E-3</c:v>
                </c:pt>
                <c:pt idx="72">
                  <c:v>8.188653846153849E-3</c:v>
                </c:pt>
                <c:pt idx="73">
                  <c:v>8.3004807692307891E-3</c:v>
                </c:pt>
                <c:pt idx="74">
                  <c:v>8.4132692307692675E-3</c:v>
                </c:pt>
                <c:pt idx="75">
                  <c:v>8.5250961538461817E-3</c:v>
                </c:pt>
                <c:pt idx="76">
                  <c:v>8.6368269230769207E-3</c:v>
                </c:pt>
                <c:pt idx="77">
                  <c:v>8.7506730769230864E-3</c:v>
                </c:pt>
                <c:pt idx="78">
                  <c:v>8.8614423076923497E-3</c:v>
                </c:pt>
                <c:pt idx="79">
                  <c:v>8.9731730769230991E-3</c:v>
                </c:pt>
                <c:pt idx="80">
                  <c:v>9.0865384615384705E-3</c:v>
                </c:pt>
                <c:pt idx="81">
                  <c:v>9.1982692307692546E-3</c:v>
                </c:pt>
                <c:pt idx="82">
                  <c:v>9.3111538461538509E-3</c:v>
                </c:pt>
                <c:pt idx="83">
                  <c:v>9.421826923076939E-3</c:v>
                </c:pt>
                <c:pt idx="84">
                  <c:v>9.5356730769231013E-3</c:v>
                </c:pt>
                <c:pt idx="85">
                  <c:v>9.6464423076923263E-3</c:v>
                </c:pt>
                <c:pt idx="86">
                  <c:v>9.7587500000000035E-3</c:v>
                </c:pt>
                <c:pt idx="87">
                  <c:v>9.8710576923077241E-3</c:v>
                </c:pt>
                <c:pt idx="88">
                  <c:v>9.9827884615384666E-3</c:v>
                </c:pt>
                <c:pt idx="89">
                  <c:v>1.0096153846153803E-2</c:v>
                </c:pt>
                <c:pt idx="90">
                  <c:v>1.0207884615384629E-2</c:v>
                </c:pt>
                <c:pt idx="91">
                  <c:v>1.0320769230769239E-2</c:v>
                </c:pt>
                <c:pt idx="92">
                  <c:v>1.0432019230769224E-2</c:v>
                </c:pt>
                <c:pt idx="93">
                  <c:v>1.0527788461538524E-2</c:v>
                </c:pt>
              </c:numCache>
            </c:numRef>
          </c:xVal>
          <c:yVal>
            <c:numRef>
              <c:f>Sheet1!$B:$B</c:f>
              <c:numCache>
                <c:formatCode>General</c:formatCode>
                <c:ptCount val="1048576"/>
                <c:pt idx="0">
                  <c:v>0</c:v>
                </c:pt>
                <c:pt idx="1">
                  <c:v>5.2748931856269898</c:v>
                </c:pt>
                <c:pt idx="2">
                  <c:v>9.6957197418077303</c:v>
                </c:pt>
                <c:pt idx="3">
                  <c:v>15.196483852796622</c:v>
                </c:pt>
                <c:pt idx="4">
                  <c:v>20.208792025233659</c:v>
                </c:pt>
                <c:pt idx="5">
                  <c:v>26.1565367100049</c:v>
                </c:pt>
                <c:pt idx="6">
                  <c:v>31.321883052001443</c:v>
                </c:pt>
                <c:pt idx="7">
                  <c:v>37.175522947434843</c:v>
                </c:pt>
                <c:pt idx="8">
                  <c:v>42.187958808977996</c:v>
                </c:pt>
                <c:pt idx="9">
                  <c:v>47.334343318712421</c:v>
                </c:pt>
                <c:pt idx="10">
                  <c:v>52.661204582613458</c:v>
                </c:pt>
                <c:pt idx="11">
                  <c:v>58.688624493766227</c:v>
                </c:pt>
                <c:pt idx="12">
                  <c:v>65.056916719423668</c:v>
                </c:pt>
                <c:pt idx="13">
                  <c:v>70.722602414393648</c:v>
                </c:pt>
                <c:pt idx="14">
                  <c:v>76.431161114675206</c:v>
                </c:pt>
                <c:pt idx="15">
                  <c:v>82.348129949016737</c:v>
                </c:pt>
                <c:pt idx="16">
                  <c:v>88.492175121640102</c:v>
                </c:pt>
                <c:pt idx="17">
                  <c:v>94.496557558572505</c:v>
                </c:pt>
                <c:pt idx="18">
                  <c:v>100.79309475224214</c:v>
                </c:pt>
                <c:pt idx="19">
                  <c:v>107.042197524868</c:v>
                </c:pt>
                <c:pt idx="20">
                  <c:v>113.36041965978002</c:v>
                </c:pt>
                <c:pt idx="21">
                  <c:v>119.833552275166</c:v>
                </c:pt>
                <c:pt idx="22">
                  <c:v>126.22650723529702</c:v>
                </c:pt>
                <c:pt idx="23">
                  <c:v>132.71164540251098</c:v>
                </c:pt>
                <c:pt idx="24">
                  <c:v>139.09461146593699</c:v>
                </c:pt>
                <c:pt idx="25">
                  <c:v>145.86976420943498</c:v>
                </c:pt>
                <c:pt idx="26">
                  <c:v>152.43720563914371</c:v>
                </c:pt>
                <c:pt idx="27">
                  <c:v>158.96664429260099</c:v>
                </c:pt>
                <c:pt idx="28">
                  <c:v>165.67246115750299</c:v>
                </c:pt>
                <c:pt idx="29">
                  <c:v>172.28744457244801</c:v>
                </c:pt>
                <c:pt idx="30">
                  <c:v>178.94559592678158</c:v>
                </c:pt>
                <c:pt idx="31">
                  <c:v>185.47377781409099</c:v>
                </c:pt>
                <c:pt idx="32">
                  <c:v>192.25736914199501</c:v>
                </c:pt>
                <c:pt idx="33">
                  <c:v>198.98014020554899</c:v>
                </c:pt>
                <c:pt idx="34">
                  <c:v>205.70137553001695</c:v>
                </c:pt>
                <c:pt idx="35">
                  <c:v>212.59795089797899</c:v>
                </c:pt>
                <c:pt idx="36">
                  <c:v>219.33074208655199</c:v>
                </c:pt>
                <c:pt idx="37">
                  <c:v>226.26860822524998</c:v>
                </c:pt>
                <c:pt idx="38">
                  <c:v>232.96612668617701</c:v>
                </c:pt>
                <c:pt idx="39">
                  <c:v>240.03082835709967</c:v>
                </c:pt>
                <c:pt idx="40">
                  <c:v>246.89233224655001</c:v>
                </c:pt>
                <c:pt idx="41">
                  <c:v>253.78979102881658</c:v>
                </c:pt>
                <c:pt idx="42">
                  <c:v>260.75675640446394</c:v>
                </c:pt>
                <c:pt idx="43">
                  <c:v>267.64853857320799</c:v>
                </c:pt>
                <c:pt idx="44">
                  <c:v>274.76324857220919</c:v>
                </c:pt>
                <c:pt idx="45">
                  <c:v>281.623542191002</c:v>
                </c:pt>
                <c:pt idx="46">
                  <c:v>288.61906343093563</c:v>
                </c:pt>
                <c:pt idx="47">
                  <c:v>295.60102811277801</c:v>
                </c:pt>
                <c:pt idx="48">
                  <c:v>302.54865067073382</c:v>
                </c:pt>
                <c:pt idx="49">
                  <c:v>309.52006781603097</c:v>
                </c:pt>
                <c:pt idx="50">
                  <c:v>316.24646830363508</c:v>
                </c:pt>
                <c:pt idx="51">
                  <c:v>323.20653083396297</c:v>
                </c:pt>
                <c:pt idx="52">
                  <c:v>329.94037684558663</c:v>
                </c:pt>
                <c:pt idx="53">
                  <c:v>336.92628184669388</c:v>
                </c:pt>
                <c:pt idx="54">
                  <c:v>343.76442556934757</c:v>
                </c:pt>
                <c:pt idx="55">
                  <c:v>350.50075319099</c:v>
                </c:pt>
                <c:pt idx="56">
                  <c:v>357.24126957048469</c:v>
                </c:pt>
                <c:pt idx="57">
                  <c:v>363.93149795499795</c:v>
                </c:pt>
                <c:pt idx="58">
                  <c:v>370.762444592218</c:v>
                </c:pt>
                <c:pt idx="59">
                  <c:v>377.32371253122938</c:v>
                </c:pt>
                <c:pt idx="60">
                  <c:v>383.49927678815669</c:v>
                </c:pt>
                <c:pt idx="61">
                  <c:v>389.95919427502099</c:v>
                </c:pt>
                <c:pt idx="62">
                  <c:v>396.46263570405301</c:v>
                </c:pt>
                <c:pt idx="63">
                  <c:v>403.12196610073181</c:v>
                </c:pt>
                <c:pt idx="64">
                  <c:v>409.62810704401699</c:v>
                </c:pt>
                <c:pt idx="65">
                  <c:v>416.15981009721997</c:v>
                </c:pt>
                <c:pt idx="66">
                  <c:v>421.69240141187697</c:v>
                </c:pt>
                <c:pt idx="67">
                  <c:v>428.14484214640794</c:v>
                </c:pt>
                <c:pt idx="68">
                  <c:v>434.53697476093407</c:v>
                </c:pt>
                <c:pt idx="69">
                  <c:v>440.76292000382375</c:v>
                </c:pt>
                <c:pt idx="70">
                  <c:v>447.35046414019905</c:v>
                </c:pt>
                <c:pt idx="71">
                  <c:v>453.68802839884108</c:v>
                </c:pt>
                <c:pt idx="72">
                  <c:v>460.11726372021701</c:v>
                </c:pt>
                <c:pt idx="73">
                  <c:v>466.33657051750913</c:v>
                </c:pt>
                <c:pt idx="74">
                  <c:v>472.90425969184298</c:v>
                </c:pt>
                <c:pt idx="75">
                  <c:v>479.13932568430732</c:v>
                </c:pt>
                <c:pt idx="76">
                  <c:v>485.31352491692945</c:v>
                </c:pt>
                <c:pt idx="77">
                  <c:v>491.61175260333175</c:v>
                </c:pt>
                <c:pt idx="78">
                  <c:v>497.63899832988801</c:v>
                </c:pt>
                <c:pt idx="79">
                  <c:v>503.89016494708687</c:v>
                </c:pt>
                <c:pt idx="80">
                  <c:v>509.99744884243103</c:v>
                </c:pt>
                <c:pt idx="81">
                  <c:v>516.29580074812725</c:v>
                </c:pt>
                <c:pt idx="82">
                  <c:v>522.35261066652799</c:v>
                </c:pt>
                <c:pt idx="83">
                  <c:v>528.19384528771764</c:v>
                </c:pt>
                <c:pt idx="84">
                  <c:v>534.26756290928199</c:v>
                </c:pt>
                <c:pt idx="85">
                  <c:v>540.10339919592138</c:v>
                </c:pt>
                <c:pt idx="86">
                  <c:v>545.89977538498897</c:v>
                </c:pt>
                <c:pt idx="87">
                  <c:v>551.85610369233427</c:v>
                </c:pt>
                <c:pt idx="88">
                  <c:v>557.81125295733807</c:v>
                </c:pt>
                <c:pt idx="89">
                  <c:v>563.71248480330996</c:v>
                </c:pt>
                <c:pt idx="90">
                  <c:v>544.17727987750595</c:v>
                </c:pt>
                <c:pt idx="91">
                  <c:v>545.98229516379388</c:v>
                </c:pt>
                <c:pt idx="92">
                  <c:v>549.08740345482897</c:v>
                </c:pt>
                <c:pt idx="93">
                  <c:v>552.71555200122793</c:v>
                </c:pt>
              </c:numCache>
            </c:numRef>
          </c:yVal>
          <c:smooth val="1"/>
        </c:ser>
        <c:ser>
          <c:idx val="1"/>
          <c:order val="1"/>
          <c:tx>
            <c:v>Transversal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Sheet1!$C:$C</c:f>
              <c:numCache>
                <c:formatCode>0.00E+00</c:formatCode>
                <c:ptCount val="1048576"/>
                <c:pt idx="0" formatCode="General">
                  <c:v>0</c:v>
                </c:pt>
                <c:pt idx="1">
                  <c:v>1.2081818181818241E-4</c:v>
                </c:pt>
                <c:pt idx="2" formatCode="General">
                  <c:v>2.4254545454545587E-4</c:v>
                </c:pt>
                <c:pt idx="3" formatCode="General">
                  <c:v>3.6427272727272865E-4</c:v>
                </c:pt>
                <c:pt idx="4" formatCode="General">
                  <c:v>4.8554545454545508E-4</c:v>
                </c:pt>
                <c:pt idx="5" formatCode="General">
                  <c:v>6.0681818181818222E-4</c:v>
                </c:pt>
                <c:pt idx="6" formatCode="General">
                  <c:v>7.266363636363668E-4</c:v>
                </c:pt>
                <c:pt idx="7" formatCode="General">
                  <c:v>8.4881818181818344E-4</c:v>
                </c:pt>
                <c:pt idx="8" formatCode="General">
                  <c:v>9.6963636363636609E-4</c:v>
                </c:pt>
                <c:pt idx="9" formatCode="General">
                  <c:v>1.0913636363636401E-3</c:v>
                </c:pt>
                <c:pt idx="10" formatCode="General">
                  <c:v>1.1970909090909133E-3</c:v>
                </c:pt>
                <c:pt idx="11" formatCode="General">
                  <c:v>1.3032727272727326E-3</c:v>
                </c:pt>
                <c:pt idx="12" formatCode="General">
                  <c:v>1.4099090909090878E-3</c:v>
                </c:pt>
                <c:pt idx="13" formatCode="General">
                  <c:v>1.5140909090909131E-3</c:v>
                </c:pt>
                <c:pt idx="14" formatCode="General">
                  <c:v>1.6217272727272701E-3</c:v>
                </c:pt>
                <c:pt idx="15" formatCode="General">
                  <c:v>1.7274545454545509E-3</c:v>
                </c:pt>
                <c:pt idx="16" formatCode="General">
                  <c:v>1.8336363636363628E-3</c:v>
                </c:pt>
                <c:pt idx="17" formatCode="General">
                  <c:v>1.9392727272727346E-3</c:v>
                </c:pt>
                <c:pt idx="18" formatCode="General">
                  <c:v>2.0454545454545578E-3</c:v>
                </c:pt>
                <c:pt idx="19" formatCode="General">
                  <c:v>2.1530909090909174E-3</c:v>
                </c:pt>
                <c:pt idx="20" formatCode="General">
                  <c:v>2.2568181818181797E-3</c:v>
                </c:pt>
                <c:pt idx="21" formatCode="General">
                  <c:v>2.3640000000000011E-3</c:v>
                </c:pt>
                <c:pt idx="22" formatCode="General">
                  <c:v>2.4700909090909148E-3</c:v>
                </c:pt>
                <c:pt idx="23" formatCode="General">
                  <c:v>2.5762727272727343E-3</c:v>
                </c:pt>
                <c:pt idx="24" formatCode="General">
                  <c:v>2.6970909090909176E-3</c:v>
                </c:pt>
                <c:pt idx="25" formatCode="General">
                  <c:v>2.81736363636364E-3</c:v>
                </c:pt>
                <c:pt idx="26" formatCode="General">
                  <c:v>2.9405454545454548E-3</c:v>
                </c:pt>
                <c:pt idx="27" formatCode="General">
                  <c:v>3.0613636363636411E-3</c:v>
                </c:pt>
              </c:numCache>
            </c:numRef>
          </c:xVal>
          <c:yVal>
            <c:numRef>
              <c:f>Sheet1!$D:$D</c:f>
              <c:numCache>
                <c:formatCode>General</c:formatCode>
                <c:ptCount val="1048576"/>
                <c:pt idx="0">
                  <c:v>1.2807300528475598</c:v>
                </c:pt>
                <c:pt idx="1">
                  <c:v>2.17768528563913</c:v>
                </c:pt>
                <c:pt idx="2">
                  <c:v>3.1047929655809612</c:v>
                </c:pt>
                <c:pt idx="3">
                  <c:v>4.03827267340984</c:v>
                </c:pt>
                <c:pt idx="4">
                  <c:v>4.957448185625311</c:v>
                </c:pt>
                <c:pt idx="5">
                  <c:v>5.8902789424138824</c:v>
                </c:pt>
                <c:pt idx="6">
                  <c:v>6.8021215875942795</c:v>
                </c:pt>
                <c:pt idx="7">
                  <c:v>7.7244970997670697</c:v>
                </c:pt>
                <c:pt idx="8">
                  <c:v>8.6251166681740905</c:v>
                </c:pt>
                <c:pt idx="9">
                  <c:v>9.5488271453640152</c:v>
                </c:pt>
                <c:pt idx="10">
                  <c:v>10.323104757414304</c:v>
                </c:pt>
                <c:pt idx="11">
                  <c:v>11.113625725891181</c:v>
                </c:pt>
                <c:pt idx="12">
                  <c:v>11.8823536876658</c:v>
                </c:pt>
                <c:pt idx="13">
                  <c:v>12.6641949359788</c:v>
                </c:pt>
                <c:pt idx="14">
                  <c:v>13.4384970235532</c:v>
                </c:pt>
                <c:pt idx="15">
                  <c:v>14.206785125193798</c:v>
                </c:pt>
                <c:pt idx="16">
                  <c:v>14.970817282835204</c:v>
                </c:pt>
                <c:pt idx="17">
                  <c:v>15.7350473425719</c:v>
                </c:pt>
                <c:pt idx="18">
                  <c:v>16.497107472267587</c:v>
                </c:pt>
                <c:pt idx="19">
                  <c:v>17.248289979730725</c:v>
                </c:pt>
                <c:pt idx="20">
                  <c:v>17.9970361235901</c:v>
                </c:pt>
                <c:pt idx="21">
                  <c:v>18.733430519362347</c:v>
                </c:pt>
                <c:pt idx="22">
                  <c:v>19.475387152822702</c:v>
                </c:pt>
                <c:pt idx="23">
                  <c:v>4.0821873581387678</c:v>
                </c:pt>
                <c:pt idx="24">
                  <c:v>0.23464125561158997</c:v>
                </c:pt>
                <c:pt idx="25">
                  <c:v>0.25828740914234932</c:v>
                </c:pt>
                <c:pt idx="26">
                  <c:v>0.28731817798590442</c:v>
                </c:pt>
                <c:pt idx="27">
                  <c:v>0.32293076492348693</c:v>
                </c:pt>
              </c:numCache>
            </c:numRef>
          </c:yVal>
          <c:smooth val="1"/>
        </c:ser>
        <c:axId val="95162752"/>
        <c:axId val="95164672"/>
      </c:scatterChart>
      <c:valAx>
        <c:axId val="9516275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Deformação (mm)</a:t>
                </a:r>
              </a:p>
            </c:rich>
          </c:tx>
          <c:layout>
            <c:manualLayout>
              <c:xMode val="edge"/>
              <c:yMode val="edge"/>
              <c:x val="0.75773660935844944"/>
              <c:y val="0.92960539601336201"/>
            </c:manualLayout>
          </c:layout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tickLblPos val="none"/>
        <c:crossAx val="95164672"/>
        <c:crosses val="autoZero"/>
        <c:crossBetween val="midCat"/>
      </c:valAx>
      <c:valAx>
        <c:axId val="951646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Tensão (MPa)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162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/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2015/2016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42F32-85CE-4913-A635-CE648197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1339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Fabricação de um compósito laminado com pré-preg.</vt:lpstr>
    </vt:vector>
  </TitlesOfParts>
  <Company>Hewlett-Packard</Company>
  <LinksUpToDate>false</LinksUpToDate>
  <CharactersWithSpaces>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Fabricação de um compósito laminado com pré-preg.</dc:title>
  <dc:subject>Ensaio de tração transversal e longitudinalmente às fibras</dc:subject>
  <dc:creator>ze</dc:creator>
  <cp:lastModifiedBy>Sara Ferreira</cp:lastModifiedBy>
  <cp:revision>2</cp:revision>
  <dcterms:created xsi:type="dcterms:W3CDTF">2016-01-04T01:13:00Z</dcterms:created>
  <dcterms:modified xsi:type="dcterms:W3CDTF">2016-01-04T01:13:00Z</dcterms:modified>
</cp:coreProperties>
</file>