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  <w:sz w:val="48"/>
        </w:rPr>
        <w:t>Índice de la Entrega — Kriptome MiniSOC</w:t>
      </w:r>
    </w:p>
    <w:p>
      <w:pPr>
        <w:spacing w:after="160"/>
        <w:jc w:val="both"/>
      </w:pPr>
      <w:r>
        <w:t xml:space="preserve">Esta carpeta contiene la entrega completa del diseño de Kriptome MiniSOC. Está organizada en </w:t>
      </w:r>
      <w:r>
        <w:rPr>
          <w:b/>
        </w:rPr>
        <w:t>6 documentos principales</w:t>
      </w:r>
      <w:r>
        <w:t>, para leer en orden del 1 al 6, más dos carpetas de material técnico de referencia.</w:t>
      </w:r>
    </w:p>
    <w:p>
      <w:pPr>
        <w:pStyle w:val="Heading2"/>
      </w:pPr>
      <w:r>
        <w:rPr>
          <w:color w:val="1F3A5F"/>
        </w:rPr>
        <w:t>Los 6 documentos (léelos en este orden)</w:t>
      </w:r>
    </w:p>
    <w:p>
      <w:pPr>
        <w:pStyle w:val="ListNumber"/>
        <w:ind w:left="340"/>
      </w:pPr>
      <w:r>
        <w:rPr>
          <w:b/>
        </w:rPr>
        <w:t>Visión y Alcance del Proyecto</w:t>
      </w:r>
      <w:r>
        <w:t xml:space="preserve"> — empieza aquí. Qué es Kriptome, qué contiene esta entrega, qué está listo y qué falta, y qué decisiones de negocio quedan pendientes.</w:t>
      </w:r>
    </w:p>
    <w:p>
      <w:pPr>
        <w:pStyle w:val="ListNumber"/>
        <w:ind w:left="340"/>
      </w:pPr>
      <w:r>
        <w:rPr>
          <w:b/>
        </w:rPr>
        <w:t>Flujo Completo del Sistema</w:t>
      </w:r>
      <w:r>
        <w:t xml:space="preserve"> — el recorrido de un evento de seguridad de principio a fin, y los principios de diseño que nunca se pueden romper.</w:t>
      </w:r>
    </w:p>
    <w:p>
      <w:pPr>
        <w:pStyle w:val="ListNumber"/>
        <w:ind w:left="340"/>
      </w:pPr>
      <w:r>
        <w:rPr>
          <w:b/>
        </w:rPr>
        <w:t>Contratos de Datos</w:t>
      </w:r>
      <w:r>
        <w:t xml:space="preserve"> — qué información maneja el sistema en cada etapa y qué reglas protege cada dato.</w:t>
      </w:r>
    </w:p>
    <w:p>
      <w:pPr>
        <w:pStyle w:val="ListNumber"/>
        <w:ind w:left="340"/>
      </w:pPr>
      <w:r>
        <w:rPr>
          <w:b/>
        </w:rPr>
        <w:t>Reglas de Negocio</w:t>
      </w:r>
      <w:r>
        <w:t xml:space="preserve"> — los tipos de incidente, los estados de un caso, la fórmula de riesgo y los procedimientos de respuesta.</w:t>
      </w:r>
    </w:p>
    <w:p>
      <w:pPr>
        <w:pStyle w:val="ListNumber"/>
        <w:ind w:left="340"/>
      </w:pPr>
      <w:r>
        <w:rPr>
          <w:b/>
        </w:rPr>
        <w:t>Reglas Técnicas de Wazuh</w:t>
      </w:r>
      <w:r>
        <w:t xml:space="preserve"> — el detalle de las reglas de detección personalizadas y qué se corrigió en ellas.</w:t>
      </w:r>
    </w:p>
    <w:p>
      <w:pPr>
        <w:pStyle w:val="ListNumber"/>
        <w:ind w:left="340"/>
      </w:pPr>
      <w:r>
        <w:rPr>
          <w:b/>
        </w:rPr>
        <w:t>Guía de Despliegue e Implementación</w:t>
      </w:r>
      <w:r>
        <w:t xml:space="preserve"> — el camino paso a paso para llevar este diseño a un sistema funcionando.</w:t>
      </w:r>
    </w:p>
    <w:p>
      <w:pPr>
        <w:pStyle w:val="Heading2"/>
      </w:pPr>
      <w:r>
        <w:rPr>
          <w:color w:val="1F3A5F"/>
        </w:rPr>
        <w:t>Las dos carpetas técnicas de referencia</w:t>
      </w:r>
    </w:p>
    <w:p>
      <w:pPr>
        <w:pStyle w:val="ListBullet"/>
        <w:ind w:left="340"/>
      </w:pPr>
      <w:r>
        <w:rPr>
          <w:b/>
        </w:rPr>
        <w:t>`Reglas_Tecnicas_Wazuh/`</w:t>
      </w:r>
      <w:r>
        <w:t xml:space="preserve"> — los archivos técnicos reales (configuración, reglas, listas) listos para copiarse a un servidor Wazuh. Esto lo usa quien instale el sistema, no es lectura general.</w:t>
      </w:r>
    </w:p>
    <w:p>
      <w:pPr>
        <w:pStyle w:val="ListBullet"/>
        <w:ind w:left="340"/>
      </w:pPr>
      <w:r>
        <w:rPr>
          <w:b/>
        </w:rPr>
        <w:t>`_HERRAMIENTAS_VALIDACION/`</w:t>
      </w:r>
      <w:r>
        <w:t xml:space="preserve"> — scripts que verifican automáticamente la consistencia del proyecto. Uso exclusivo del equipo de desarrollo.</w:t>
      </w:r>
    </w:p>
    <w:p>
      <w:pPr>
        <w:pStyle w:val="Heading2"/>
      </w:pPr>
      <w:r>
        <w:rPr>
          <w:color w:val="1F3A5F"/>
        </w:rPr>
        <w:t>Una aclaración importante</w:t>
      </w:r>
    </w:p>
    <w:p>
      <w:pPr>
        <w:spacing w:after="160"/>
        <w:jc w:val="both"/>
      </w:pPr>
      <w:r>
        <w:t xml:space="preserve">Este proyecto es el </w:t>
      </w:r>
      <w:r>
        <w:rPr>
          <w:b/>
        </w:rPr>
        <w:t>diseño completo</w:t>
      </w:r>
      <w:r>
        <w:t xml:space="preserve"> de Kriptome MiniSOC: las reglas de negocio, los contratos de datos y la configuración técnica de detección, todo verificado y corregido. </w:t>
      </w:r>
      <w:r>
        <w:rPr>
          <w:b/>
        </w:rPr>
        <w:t>No es el sistema funcionando todavía</w:t>
      </w:r>
      <w:r>
        <w:t xml:space="preserve"> — construir el software que ejecute este diseño es el siguiente paso, y es responsabilidad del equipo de desarrollo que lo implemente, siguiendo exactamente lo que describen estos 6 documentos.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