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Flujo Completo del Sistema — Kriptome MiniSOC</w:t>
      </w:r>
    </w:p>
    <w:p>
      <w:pPr>
        <w:pStyle w:val="Heading2"/>
      </w:pPr>
      <w:r>
        <w:rPr>
          <w:color w:val="1F3A5F"/>
        </w:rPr>
        <w:t>1. Introducción: el recorrido de un evento</w:t>
      </w:r>
    </w:p>
    <w:p>
      <w:pPr>
        <w:spacing w:after="160"/>
        <w:jc w:val="both"/>
      </w:pPr>
      <w:r>
        <w:t>Este documento describe, de principio a fin, el camino que sigue un evento de seguridad desde que ocurre en el equipo de un cliente hasta que se convierte en una comunicación entendible para ese cliente. El diseño reconoce veintitrés etapas encadenadas, cada una con una entrada, una salida, un responsable y un estado real de madurez. El documento que fija esta secuencia como referencia oficial es la arquitectura canónica del proyecto: cualquier otro documento debe ser consistente con ella, y si algo la contradice, es la arquitectura canónica la que prevalece.</w:t>
      </w:r>
    </w:p>
    <w:p>
      <w:pPr>
        <w:spacing w:after="160"/>
        <w:jc w:val="both"/>
      </w:pPr>
      <w:r>
        <w:t xml:space="preserve">Antes de entrar al detalle, conviene fijar el vocabulario que se usa de aquí en adelante, porque el proyecto tiene una regla estricta al respecto: nunca se usa la palabra "orquestador". En su lugar se habla de </w:t>
      </w:r>
      <w:r>
        <w:rPr>
          <w:b/>
        </w:rPr>
        <w:t>Kriptome App</w:t>
      </w:r>
      <w:r>
        <w:t xml:space="preserve"> (el sistema completo de gestión de casos, en general), </w:t>
      </w:r>
      <w:r>
        <w:rPr>
          <w:b/>
        </w:rPr>
        <w:t>servicio de procesamiento</w:t>
      </w:r>
      <w:r>
        <w:t xml:space="preserve"> (el componente que transforma eventos en casos), </w:t>
      </w:r>
      <w:r>
        <w:rPr>
          <w:b/>
        </w:rPr>
        <w:t>motor de casos</w:t>
      </w:r>
      <w:r>
        <w:t xml:space="preserve"> (específicamente la lógica de abrir, actualizar y cerrar casos), </w:t>
      </w:r>
      <w:r>
        <w:rPr>
          <w:b/>
        </w:rPr>
        <w:t>servicio de ingesta</w:t>
      </w:r>
      <w:r>
        <w:t xml:space="preserve"> (el componente que lee del Indexer de Wazuh y normaliza eventos), y </w:t>
      </w:r>
      <w:r>
        <w:rPr>
          <w:b/>
        </w:rPr>
        <w:t>capa Kriptome</w:t>
      </w:r>
      <w:r>
        <w:t xml:space="preserve"> (todo lo que no es Wazuh, para contraponerla al motor de detección).</w:t>
      </w:r>
    </w:p>
    <w:p>
      <w:pPr>
        <w:pStyle w:val="Heading2"/>
      </w:pPr>
      <w:r>
        <w:rPr>
          <w:color w:val="1F3A5F"/>
        </w:rPr>
        <w:t>2. Las cinco etapas de origen: de un equipo del cliente al servidor Wazuh</w:t>
      </w:r>
    </w:p>
    <w:p>
      <w:pPr>
        <w:spacing w:after="160"/>
        <w:jc w:val="both"/>
      </w:pPr>
      <w:r>
        <w:t xml:space="preserve">El recorrido comienza en el </w:t>
      </w:r>
      <w:r>
        <w:rPr>
          <w:b/>
        </w:rPr>
        <w:t>origen del evento</w:t>
      </w:r>
      <w:r>
        <w:t>: el equipo, servidor o servicio del cliente donde ocurre algo observable — un intento de inicio de sesión, un archivo que cambia, un proceso que se ejecuta. Este activo es propiedad y responsabilidad del cliente; el proyecto no lo controla, solo lo observa.</w:t>
      </w:r>
    </w:p>
    <w:p>
      <w:pPr>
        <w:spacing w:after="160"/>
        <w:jc w:val="both"/>
      </w:pPr>
      <w:r>
        <w:t xml:space="preserve">Ese origen es observado por el </w:t>
      </w:r>
      <w:r>
        <w:rPr>
          <w:b/>
        </w:rPr>
        <w:t>agente o recolector Wazuh</w:t>
      </w:r>
      <w:r>
        <w:t xml:space="preserve">, el software liviano que se instala en cada equipo y que envía lo que detecta hacia el </w:t>
      </w:r>
      <w:r>
        <w:rPr>
          <w:b/>
        </w:rPr>
        <w:t>servidor Wazuh</w:t>
      </w:r>
      <w:r>
        <w:t xml:space="preserve"> (el "Manager", en la terminología técnica del propio Wazuh). El servidor Wazuh es donde vive el ruleset personalizado de este proyecto: aplica las reglas de detección, genera alertas con un nivel de severidad técnica, y las envía al </w:t>
      </w:r>
      <w:r>
        <w:rPr>
          <w:b/>
        </w:rPr>
        <w:t>indexador Wazuh</w:t>
      </w:r>
      <w:r>
        <w:t xml:space="preserve"> (basado en OpenSearch), que las almacena de forma consultable.</w:t>
      </w:r>
    </w:p>
    <w:p>
      <w:pPr>
        <w:spacing w:after="160"/>
        <w:jc w:val="both"/>
      </w:pPr>
      <w:r>
        <w:t xml:space="preserve">Estas cuatro primeras etapas —origen, agente, servidor y almacén de eventos— están </w:t>
      </w:r>
      <w:r>
        <w:rPr>
          <w:b/>
        </w:rPr>
        <w:t>configuradas</w:t>
      </w:r>
      <w:r>
        <w:t xml:space="preserve">: el paquete de reglas y la configuración de agentes están completos y listos para copiarse a una instalación real, pero nunca se han ejecutado contra un servidor Wazuh en producción, así que su comprobación de funcionamiento real sigue </w:t>
      </w:r>
      <w:r>
        <w:rPr>
          <w:b/>
        </w:rPr>
        <w:t>pendiente</w:t>
      </w:r>
      <w:r>
        <w:t>.</w:t>
      </w:r>
    </w:p>
    <w:p>
      <w:pPr>
        <w:spacing w:after="160"/>
        <w:jc w:val="both"/>
      </w:pPr>
      <w:r>
        <w:t xml:space="preserve">La quinta etapa es el </w:t>
      </w:r>
      <w:r>
        <w:rPr>
          <w:b/>
        </w:rPr>
        <w:t>servicio de ingesta interno</w:t>
      </w:r>
      <w:r>
        <w:t xml:space="preserve"> (llamado en el diseño técnico "Global Internal Ingestor"): un componente, todavía sin construir, cuya única función es leer periódicamente los eventos nuevos que llegan al indexador. Es importante entender por qué existe como pieza separada: en el momento en que un evento recién llega, el sistema todavía no sabe con certeza a qué cliente pertenece — determinar eso es trabajo de una etapa posterior. Por eso este servicio de ingesta es el único componente de todo el sistema autorizado a leer eventos sin tener un cliente ya confirmado; su trabajo es precisamente descubrirlo, nunca servir esos datos a un operador o a un informe directamente.</w:t>
      </w:r>
    </w:p>
    <w:p>
      <w:pPr>
        <w:pStyle w:val="Heading2"/>
      </w:pPr>
      <w:r>
        <w:rPr>
          <w:color w:val="1F3A5F"/>
        </w:rPr>
        <w:t>3. De la extracción cruda a la identificación del cliente</w:t>
      </w:r>
    </w:p>
    <w:p>
      <w:pPr>
        <w:spacing w:after="160"/>
        <w:jc w:val="both"/>
      </w:pPr>
      <w:r>
        <w:t xml:space="preserve">Cuando el servicio de ingesta lee un documento del indexador, primero realiza una </w:t>
      </w:r>
      <w:r>
        <w:rPr>
          <w:b/>
        </w:rPr>
        <w:t>extracción mínima</w:t>
      </w:r>
      <w:r>
        <w:t xml:space="preserve"> ("Raw Event Extraction"): toma únicamente los campos que el propio documento ya trae —identificador del agente, marca de tiempo, regla que disparó, nivel de severidad— sin resolver ni verificar nada todavía. Este paso existe como una etapa separada y deliberada, porque una versión anterior del diseño intentaba normalizar el evento completo (incluyendo a qué cliente pertenece) antes de tener esa información confirmada, lo cual era contradictorio: no se puede completar un dato que todavía no se conoce.</w:t>
      </w:r>
    </w:p>
    <w:p>
      <w:pPr>
        <w:spacing w:after="160"/>
        <w:jc w:val="both"/>
      </w:pPr>
      <w:r>
        <w:t xml:space="preserve">Justo después viene la etapa más delicada de todo el flujo: la </w:t>
      </w:r>
      <w:r>
        <w:rPr>
          <w:b/>
        </w:rPr>
        <w:t>resolución de cliente</w:t>
      </w:r>
      <w:r>
        <w:t xml:space="preserve"> ("Tenant Resolver"). Aquí el sistema determina, con una cadena de verificación en varios pasos, a qué cliente pertenece realmente ese evento. El agente que originó el evento trae consigo una etiqueta declarativa (algo así como "yo pertenezco al cliente X"), pero esa etiqueta nunca se acepta como verdad por sí sola —es evidencia, no autoridad—. El sistema la contrasta contra el grupo real al que el servidor Wazuh asignó ese agente (una asignación operativa que solo puede cambiar quien administra el servidor, no el propio agente) y, más allá de eso, contra un registro de negocio que declara qué clientes existen y qué activos les pertenecen. Solo si las seis verificaciones de esa cadena coinciden, el evento se marca como resuelto y continúa su camino. Si cualquiera falla —un agente desconocido, una etiqueta que no coincide con el grupo asignado, un cliente inactivo—, el evento va a un área de cuarentena: se registra para investigación, se genera una alerta interna, y bajo ninguna circunstancia continúa hacia la apertura de un caso, una llamada de inteligencia artificial o una comunicación al cliente.</w:t>
      </w:r>
    </w:p>
    <w:p>
      <w:pPr>
        <w:spacing w:after="160"/>
        <w:jc w:val="both"/>
      </w:pPr>
      <w:r>
        <w:t xml:space="preserve">Solo cuando la resolución de cliente tiene éxito ocurre la </w:t>
      </w:r>
      <w:r>
        <w:rPr>
          <w:b/>
        </w:rPr>
        <w:t>normalización final</w:t>
      </w:r>
      <w:r>
        <w:t xml:space="preserve"> del evento: se combina la extracción cruda con el resultado de la resolución para producir un evento completo, con el cliente y el activo ya verificados, listo para las etapas siguientes. Estas tres etapas —extracción, resolución y normalización— tienen su forma de datos completamente definida como contrato, pero la responsabilidad de construir el código que las ejecute recae en el equipo que construya la aplicación completa, no en este repositorio.</w:t>
      </w:r>
    </w:p>
    <w:p>
      <w:pPr>
        <w:pStyle w:val="Heading2"/>
      </w:pPr>
      <w:r>
        <w:rPr>
          <w:color w:val="1F3A5F"/>
        </w:rPr>
        <w:t>4. Almacenamiento sin duplicados y clasificación</w:t>
      </w:r>
    </w:p>
    <w:p>
      <w:pPr>
        <w:spacing w:after="160"/>
        <w:jc w:val="both"/>
      </w:pPr>
      <w:r>
        <w:t xml:space="preserve">El evento normalizado entra entonces al </w:t>
      </w:r>
      <w:r>
        <w:rPr>
          <w:b/>
        </w:rPr>
        <w:t>almacén de eventos con protección contra duplicados</w:t>
      </w:r>
      <w:r>
        <w:t xml:space="preserve"> ("Idempotent Event Store"). La razón de ser de esta etapa es evitar un problema real: si el mismo evento se procesa dos veces —por un reintento de red, por una recuperación tras una caída— el sistema no debe abrir dos casos ni enviar dos correos por lo mismo. El mecanismo de identidad de cada evento está diseñado precisamente para eso: nunca se basa solo en la combinación de fecha, regla y agente (dos ataques legítimos y distintos podrían compartir exactamente esos tres datos en el mismo segundo), sino en un identificador estable del documento de origen o, cuando eso no es posible, en un resumen criptográfico del contenido completo del evento.</w:t>
      </w:r>
    </w:p>
    <w:p>
      <w:pPr>
        <w:spacing w:after="160"/>
        <w:jc w:val="both"/>
      </w:pPr>
      <w:r>
        <w:t xml:space="preserve">Con el evento ya almacenado de forma segura, entra en juego el </w:t>
      </w:r>
      <w:r>
        <w:rPr>
          <w:b/>
        </w:rPr>
        <w:t>enrutador determinístico</w:t>
      </w:r>
      <w:r>
        <w:t xml:space="preserve"> ("Deterministic Router"), que consulta las políticas de tipos de caso del proyecto para decidir a qué categoría de negocio pertenece ese evento —por ejemplo, si corresponde a un intento de fuerza bruta, a una detección de malware, o a ninguna categoría reconocida todavía, en cuyo caso va a una cola de revisión en lugar de descartarse en silencio. Esta clasificación es completamente determinística: la misma regla de Wazuh siempre produce la misma categoría de negocio mientras las políticas no cambien, sin intervención de inteligencia artificial ni de azar.</w:t>
      </w:r>
    </w:p>
    <w:p>
      <w:pPr>
        <w:pStyle w:val="Heading2"/>
      </w:pPr>
      <w:r>
        <w:rPr>
          <w:color w:val="1F3A5F"/>
        </w:rPr>
        <w:t>5. El corazón del sistema: el motor de casos</w:t>
      </w:r>
    </w:p>
    <w:p>
      <w:pPr>
        <w:spacing w:after="160"/>
        <w:jc w:val="both"/>
      </w:pPr>
      <w:r>
        <w:t xml:space="preserve">La etapa número once del flujo es la más importante conceptualmente, porque es aquí donde se aplica el segundo de los cinco principios irrompibles del proyecto: </w:t>
      </w:r>
      <w:r>
        <w:rPr>
          <w:b/>
        </w:rPr>
        <w:t>una alerta no equivale a un caso</w:t>
      </w:r>
      <w:r>
        <w:t xml:space="preserve">. El </w:t>
      </w:r>
      <w:r>
        <w:rPr>
          <w:b/>
        </w:rPr>
        <w:t>motor de casos</w:t>
      </w:r>
      <w:r>
        <w:t xml:space="preserve"> ("Transactional Case Engine") es el único componente autorizado a abrir, actualizar o cerrar un caso. Todas las diez etapas anteriores solo extraen, verifican y clasifican eventos; ninguna de ellas decide nada sobre casos.</w:t>
      </w:r>
    </w:p>
    <w:p>
      <w:pPr>
        <w:spacing w:after="160"/>
        <w:jc w:val="both"/>
      </w:pPr>
      <w:r>
        <w:t>El motor de casos agrupa eventos relacionados usando lo que el proyecto llama una "huella" (fingerprint): una combinación de campos —cliente, activo, tipo de caso y algún dato variable propio de cada familia, como la dirección de origen de un ataque o la cuenta afectada— que nunca incluye una marca de tiempo ni un contador, precisamente para que eventos repetidos del mismo patrón caigan en el mismo caso en lugar de abrir uno nuevo cada vez. El diseño de concurrencia de este motor está pensado para un escenario real y frecuente: durante un ataque de fuerza bruta llegan muchos eventos casi simultáneos con la misma huella, y el sistema debe garantizar que abran o actualicen un único caso, nunca varios en paralelo por una condición de carrera.</w:t>
      </w:r>
    </w:p>
    <w:p>
      <w:pPr>
        <w:spacing w:after="160"/>
        <w:jc w:val="both"/>
      </w:pPr>
      <w:r>
        <w:t xml:space="preserve">Alrededor del motor de casos giran varios componentes de apoyo, todos con la responsabilidad de construirlos delegada al equipo de la aplicación: el </w:t>
      </w:r>
      <w:r>
        <w:rPr>
          <w:b/>
        </w:rPr>
        <w:t>contexto del activo</w:t>
      </w:r>
      <w:r>
        <w:t xml:space="preserve"> (una base de datos de configuración que sabe, por ejemplo, que un servidor se llama "Servidor de facturación" y tiene criticidad alta, aunque técnicamente Wazuh solo conoce un identificador interno), la </w:t>
      </w:r>
      <w:r>
        <w:rPr>
          <w:b/>
        </w:rPr>
        <w:t>caché de enriquecimiento</w:t>
      </w:r>
      <w:r>
        <w:t xml:space="preserve"> (que evita consultar el mismo dato externo —una reputación de IP, un CVE— una y otra vez para eventos repetidos), y el </w:t>
      </w:r>
      <w:r>
        <w:rPr>
          <w:b/>
        </w:rPr>
        <w:t>motor de riesgo determinístico</w:t>
      </w:r>
      <w:r>
        <w:t>, que calcula la prioridad de negocio del caso siguiendo una fórmula fija de nueve factores, nunca copiando directamente el nivel de severidad técnica que asigna Wazuh a un evento individual.</w:t>
      </w:r>
    </w:p>
    <w:p>
      <w:pPr>
        <w:pStyle w:val="Heading2"/>
      </w:pPr>
      <w:r>
        <w:rPr>
          <w:color w:val="1F3A5F"/>
        </w:rPr>
        <w:t>6. De la evidencia a la comunicación con el cliente</w:t>
      </w:r>
    </w:p>
    <w:p>
      <w:pPr>
        <w:spacing w:after="160"/>
        <w:jc w:val="both"/>
      </w:pPr>
      <w:r>
        <w:t xml:space="preserve">Una vez que el caso existe y tiene una prioridad calculada, el sistema busca un </w:t>
      </w:r>
      <w:r>
        <w:rPr>
          <w:b/>
        </w:rPr>
        <w:t>procedimiento autorizado</w:t>
      </w:r>
      <w:r>
        <w:t xml:space="preserve"> que le corresponda según su tipo y su prioridad —el catálogo de acciones concretas que se le pueden recomendar al cliente—. Solo un procedimiento formalmente aprobado por una persona responsable puede usarse aquí; si no existe uno aprobado para ese caso, la comunicación no se improvisa: el caso va a una cola de revisión humana.</w:t>
      </w:r>
    </w:p>
    <w:p>
      <w:pPr>
        <w:spacing w:after="160"/>
        <w:jc w:val="both"/>
      </w:pPr>
      <w:r>
        <w:t xml:space="preserve">Con el procedimiento identificado, entra la etapa de redacción: una </w:t>
      </w:r>
      <w:r>
        <w:rPr>
          <w:b/>
        </w:rPr>
        <w:t>plantilla determinística o, opcionalmente, un modelo de lenguaje</w:t>
      </w:r>
      <w:r>
        <w:t xml:space="preserve">. Este es el punto exacto donde interviene la inteligencia artificial en el sistema, y solo para una tarea concreta —mejorar la redacción de un texto ya decidido por las etapas anteriores—, nunca para decidir nada de negocio. El texto generado pasa entonces por un </w:t>
      </w:r>
      <w:r>
        <w:rPr>
          <w:b/>
        </w:rPr>
        <w:t>validador de salida</w:t>
      </w:r>
      <w:r>
        <w:t xml:space="preserve"> que comprueba que cumple las reglas exigidas, y por una etapa de </w:t>
      </w:r>
      <w:r>
        <w:rPr>
          <w:b/>
        </w:rPr>
        <w:t>revisión humana</w:t>
      </w:r>
      <w:r>
        <w:t xml:space="preserve"> cuando el tipo de caso o su prioridad lo requieren —para los casos más críticos, esta revisión es siempre obligatoria, sin excepción, porque el diseño establece que la inteligencia artificial nunca descarta un caso por su cuenta—.</w:t>
      </w:r>
    </w:p>
    <w:p>
      <w:pPr>
        <w:spacing w:after="160"/>
        <w:jc w:val="both"/>
      </w:pPr>
      <w:r>
        <w:t xml:space="preserve">La </w:t>
      </w:r>
      <w:r>
        <w:rPr>
          <w:b/>
        </w:rPr>
        <w:t>política de comunicación</w:t>
      </w:r>
      <w:r>
        <w:t xml:space="preserve"> define entonces el mensaje final que verá el cliente: un solo correo con una acción recomendada clara, donde el cliente responde con texto libre —nunca un menú de opciones prefijadas—. Ese mensaje no se envía directamente: se registra en la </w:t>
      </w:r>
      <w:r>
        <w:rPr>
          <w:b/>
        </w:rPr>
        <w:t>bandeja de salida transaccional</w:t>
      </w:r>
      <w:r>
        <w:t xml:space="preserve"> ("Transactional Outbox"), pasa por el </w:t>
      </w:r>
      <w:r>
        <w:rPr>
          <w:b/>
        </w:rPr>
        <w:t>proveedor de correo</w:t>
      </w:r>
      <w:r>
        <w:t xml:space="preserve"> (todavía no contratado), y cualquier respuesta que el cliente envíe de vuelta pasa por el </w:t>
      </w:r>
      <w:r>
        <w:rPr>
          <w:b/>
        </w:rPr>
        <w:t>enrutador de respuestas entrantes</w:t>
      </w:r>
      <w:r>
        <w:t xml:space="preserve">, que verifica con mucho cuidado que esa respuesta sea legítima antes de dejarla influir en el caso. Finalmente, cada paso relevante de todo este recorrido queda registrado en la </w:t>
      </w:r>
      <w:r>
        <w:rPr>
          <w:b/>
        </w:rPr>
        <w:t>auditoría</w:t>
      </w:r>
      <w:r>
        <w:t xml:space="preserve"> del sistema, de forma permanente e inalterable.</w:t>
      </w:r>
    </w:p>
    <w:p>
      <w:pPr>
        <w:pStyle w:val="Heading2"/>
      </w:pPr>
      <w:r>
        <w:rPr>
          <w:color w:val="1F3A5F"/>
        </w:rPr>
        <w:t>7. Los cinco principios que ningún componente puede violar</w:t>
      </w:r>
    </w:p>
    <w:p>
      <w:pPr>
        <w:spacing w:after="160"/>
        <w:jc w:val="both"/>
      </w:pPr>
      <w:r>
        <w:t>El diseño eleva a regla de arquitectura cinco principios que no admiten excepción, cada uno con una razón concreta detrás.</w:t>
      </w:r>
    </w:p>
    <w:p>
      <w:pPr>
        <w:spacing w:after="160"/>
        <w:jc w:val="both"/>
      </w:pPr>
      <w:r>
        <w:rPr>
          <w:b/>
        </w:rPr>
        <w:t>Primero: Wazuh detecta, la capa Kriptome administra casos y decisiones de negocio.</w:t>
      </w:r>
      <w:r>
        <w:t xml:space="preserve"> Ninguna regla de Wazuh decide la prioridad de un caso, redacta una comunicación ni cierra nada — eso vive exclusivamente en las etapas posteriores a la clasificación. Ejemplo concreto: una regla de Wazuh puede marcar un evento con severidad técnica alta (nivel 13, digamos), pero eso no significa automáticamente que el caso resultante sea "crítico" para el cliente — esa decisión de negocio la toma el motor de riesgo combinando varios factores, no la etiqueta técnica de Wazuh por sí sola.</w:t>
      </w:r>
    </w:p>
    <w:p>
      <w:pPr>
        <w:spacing w:after="160"/>
        <w:jc w:val="both"/>
      </w:pPr>
      <w:r>
        <w:rPr>
          <w:b/>
        </w:rPr>
        <w:t>Segundo: una alerta no equivale a un caso.</w:t>
      </w:r>
      <w:r>
        <w:t xml:space="preserve"> Solo el motor de casos abre, actualiza o cierra casos; todo lo anterior únicamente extrae, resuelve y clasifica. Ejemplo: si un atacante hace veinte intentos fallidos de acceso en diez minutos, eso no son veinte casos — es un único caso que acumula veinte eventos, porque todos comparten la misma huella de cliente, activo y origen del ataque.</w:t>
      </w:r>
    </w:p>
    <w:p>
      <w:pPr>
        <w:spacing w:after="160"/>
        <w:jc w:val="both"/>
      </w:pPr>
      <w:r>
        <w:rPr>
          <w:b/>
        </w:rPr>
        <w:t>Tercero: una repetición no equivale a otra llamada de inteligencia artificial.</w:t>
      </w:r>
      <w:r>
        <w:t xml:space="preserve"> El sistema calcula un resumen del contexto exacto que se envió a la inteligencia artificial la última vez, y si ese contexto no cambió sustancialmente, reutiliza el resultado anterior en lugar de volver a invocar el modelo. Ejemplo: si un caso ya abierto recibe tres eventos más del mismo patrón sin ningún cambio material, el sistema no vuelve a pagar ni a esperar una respuesta de inteligencia artificial para cada uno — solo incrementa el contador de eventos del caso existente.</w:t>
      </w:r>
    </w:p>
    <w:p>
      <w:pPr>
        <w:spacing w:after="160"/>
        <w:jc w:val="both"/>
      </w:pPr>
      <w:r>
        <w:rPr>
          <w:b/>
        </w:rPr>
        <w:t>Cuarto: una llamada de inteligencia artificial no equivale automáticamente a un correo.</w:t>
      </w:r>
      <w:r>
        <w:t xml:space="preserve"> Entre que el modelo redacta un texto y que ese texto realmente sale al cliente existen dos controles obligatorios: el validador de salida y, cuando corresponde, la revisión humana. Ejemplo: si el validador detecta que el texto generado afirma una capacidad que el servicio no tiene (por ejemplo, "ya bloqueamos la dirección atacante" cuando esa acción automática no existe), el mensaje se rechaza antes de llegar a la bandeja de salida, nunca se envía "porque la inteligencia artificial ya lo escribió".</w:t>
      </w:r>
    </w:p>
    <w:p>
      <w:pPr>
        <w:spacing w:after="160"/>
        <w:jc w:val="both"/>
      </w:pPr>
      <w:r>
        <w:rPr>
          <w:b/>
        </w:rPr>
        <w:t>Quinto: ningún dato de un cliente puede mezclarse con otro.</w:t>
      </w:r>
      <w:r>
        <w:t xml:space="preserve"> Este principio aplica a la extracción, resolución y normalización de eventos, a la pertenencia de cada caso a un único cliente, y a cualquier correlación de campaña entre casos, que nunca cruza la frontera de un cliente hacia otro. Ejemplo: si la misma dirección de internet ataca a dos clientes distintos de Kriptome el mismo día, eso nunca se agrupa como "una sola campaña" visible para ambos — cada cliente ve únicamente sus propios casos, y una eventual correlación de inteligencia de amenazas interna del equipo de Kriptome, si llegara a existir, tendría que construirse como una capa completamente separada.</w:t>
      </w:r>
    </w:p>
    <w:p>
      <w:pPr>
        <w:pStyle w:val="Heading2"/>
      </w:pPr>
      <w:r>
        <w:rPr>
          <w:color w:val="1F3A5F"/>
        </w:rPr>
        <w:t>8. Cómo se ingiere el evento sin perderlo ni duplicarlo</w:t>
      </w:r>
    </w:p>
    <w:p>
      <w:pPr>
        <w:spacing w:after="160"/>
        <w:jc w:val="both"/>
      </w:pPr>
      <w:r>
        <w:t xml:space="preserve">El diseño de ingesta resuelve un problema clásico de cualquier sistema que lee datos por consultas periódicas en lugar de recibir un aviso en tiempo real: cómo saber qué ya se leyó, cómo no perder eventos que llegan tarde, y cómo no reprocesar de más. La solución adoptada usa </w:t>
      </w:r>
      <w:r>
        <w:rPr>
          <w:b/>
        </w:rPr>
        <w:t>dos mecanismos de lectura independientes</w:t>
      </w:r>
      <w:r>
        <w:t xml:space="preserve"> trabajando en paralelo.</w:t>
      </w:r>
    </w:p>
    <w:p>
      <w:pPr>
        <w:spacing w:after="160"/>
        <w:jc w:val="both"/>
      </w:pPr>
      <w:r>
        <w:t xml:space="preserve">El primero es un </w:t>
      </w:r>
      <w:r>
        <w:rPr>
          <w:b/>
        </w:rPr>
        <w:t>cursor principal</w:t>
      </w:r>
      <w:r>
        <w:t xml:space="preserve"> que avanza siempre hacia adelante, nunca hacia atrás: lee los eventos más recientes ordenados por fecha, y recuerda exactamente dónde se quedó para no releer lo mismo en el siguiente ciclo. El segundo es una </w:t>
      </w:r>
      <w:r>
        <w:rPr>
          <w:b/>
        </w:rPr>
        <w:t>búsqueda de eventos tardíos</w:t>
      </w:r>
      <w:r>
        <w:t>, completamente independiente del primero: revisa periódicamente una ventana reciente de tiempo (diez minutos, por defecto) buscando eventos cuya fecha de origen es anterior a donde ya avanzó el cursor principal, pero que se indexaron con retraso —por ejemplo, porque la cola de envío del agente se demoró, o porque el reloj del equipo estaba ligeramente desfasado—. Cada evento tiene una identidad calculada de forma que reprocesarlo por accidente nunca produce un efecto duplicado: el sistema simplemente reconoce que ya lo vio y lo descarta sin abrir un segundo caso ni disparar una segunda comunicación.</w:t>
      </w:r>
    </w:p>
    <w:p>
      <w:pPr>
        <w:spacing w:after="160"/>
        <w:jc w:val="both"/>
      </w:pPr>
      <w:r>
        <w:t>Este diseño es honesto sobre su propio límite: si un evento llega con un retraso mayor a esa ventana de eventos tardíos, el mecanismo no lo recupera — eso se documenta explícitamente como una limitación conocida, no como una garantía que el sistema no puede sostener. Si el sistema de procesamiento posterior no logra absorber el ritmo de eventos que llegan (por ejemplo, si la base de datos está saturada), el ingestor reduce su velocidad de lectura en lugar de acumular datos sin control o descartar eventos para "ponerse al día".</w:t>
      </w:r>
    </w:p>
    <w:p>
      <w:pPr>
        <w:pStyle w:val="Heading2"/>
      </w:pPr>
      <w:r>
        <w:rPr>
          <w:color w:val="1F3A5F"/>
        </w:rPr>
        <w:t>9. Qué puede y qué nunca puede hacer la inteligencia artificial</w:t>
      </w:r>
    </w:p>
    <w:p>
      <w:pPr>
        <w:spacing w:after="160"/>
        <w:jc w:val="both"/>
      </w:pPr>
      <w:r>
        <w:t xml:space="preserve">El principio rector, repetido varias veces en la documentación técnica porque es central al diseño, es que </w:t>
      </w:r>
      <w:r>
        <w:rPr>
          <w:b/>
        </w:rPr>
        <w:t>la inteligencia artificial nunca es la fuente de verdad de a qué cliente pertenece un evento, de qué tan grave es, de qué procedimiento aplica, de en qué estado está un caso, ni de qué acción se ejecuta</w:t>
      </w:r>
      <w:r>
        <w:t>. Todo lo demás es una consecuencia de ese principio.</w:t>
      </w:r>
    </w:p>
    <w:p>
      <w:pPr>
        <w:spacing w:after="160"/>
        <w:jc w:val="both"/>
      </w:pPr>
      <w:r>
        <w:t>La inteligencia artificial solo puede invocarse para cinco tareas concretas, y ninguna otra: redactar el borrador de la primera comunicación de un caso a partir de un resumen y un procedimiento ya aprobados; redactar la actualización cuando un caso ya notificado sufre un cambio relevante; redactar el mensaje de cierre a partir de un motivo de resolución ya decidido; resumir la evidencia de un caso para que un operador humano lo lea más rápido (uso interno, nunca sale directo al cliente); y ajustar el tono o nivel de detalle de un mensaje ya redactado y validado para un destinatario técnico o no técnico, sin cambiar hechos, cifras ni plazos.</w:t>
      </w:r>
    </w:p>
    <w:p>
      <w:pPr>
        <w:spacing w:after="160"/>
        <w:jc w:val="both"/>
      </w:pPr>
      <w:r>
        <w:t xml:space="preserve">Frente a eso, hay siete cosas que la inteligencia artificial </w:t>
      </w:r>
      <w:r>
        <w:rPr>
          <w:b/>
        </w:rPr>
        <w:t>nunca</w:t>
      </w:r>
      <w:r>
        <w:t xml:space="preserve"> hace bajo ninguna circunstancia: no decide a qué cliente pertenece un evento; no calcula ni ajusta la prioridad de un caso; no selecciona qué procedimiento aplica; no decide el estado o la transición de un caso; no inventa una acción que no esté en el procedimiento ya aprobado correspondiente; no decide si algo cuenta como un cambio relevante que amerita una nueva comunicación; y no envía un mensaje directamente al cliente sin pasar por la bandeja de salida transaccional y, cuando corresponde, por revisión humana.</w:t>
      </w:r>
    </w:p>
    <w:p>
      <w:pPr>
        <w:spacing w:after="160"/>
        <w:jc w:val="both"/>
      </w:pPr>
      <w:r>
        <w:t>El diseño también contempla el riesgo de manipulación del contenido que la inteligencia artificial procesa —por ejemplo, si algún día lee el texto de un correo entrante de un cliente—: ese contenido siempre se trata como un dato delimitado, nunca como una instrucción que el modelo deba obedecer, y cualquier patrón que parezca un intento de manipular al modelo (frases como "ignora las instrucciones anteriores") se marca para revisión humana en lugar de ejecutarse o descartarse en silencio. Toda invocación de inteligencia artificial queda registrada en la auditoría del sistema con el contexto exacto que se le entregó, de forma que sea posible reconstruir después qué información determinística originó cada mensaje enviado.</w:t>
      </w:r>
    </w:p>
    <w:p>
      <w:pPr>
        <w:pStyle w:val="Heading2"/>
      </w:pPr>
      <w:r>
        <w:rPr>
          <w:color w:val="1F3A5F"/>
        </w:rPr>
        <w:t>10. Auditoría y la bandeja de salida transaccional</w:t>
      </w:r>
    </w:p>
    <w:p>
      <w:pPr>
        <w:spacing w:after="160"/>
        <w:jc w:val="both"/>
      </w:pPr>
      <w:r>
        <w:t xml:space="preserve">El sistema distingue dos mecanismos relacionados pero distintos. El primero es el </w:t>
      </w:r>
      <w:r>
        <w:rPr>
          <w:b/>
        </w:rPr>
        <w:t>registro de auditoría</w:t>
      </w:r>
      <w:r>
        <w:t>, que únicamente añade hechos —nunca los edita ni los borra—. Si un registro resulta estar mal escrito por un error del propio sistema, la corrección es un evento nuevo que hace referencia al original y lo explica, nunca una edición silenciosa del registro existente. Cada cambio de estado de un caso, cada invocación de inteligencia artificial, cada mensaje enviado o suprimido y cada decisión sobre una respuesta entrante queda registrado aquí, siempre separado por cliente salvo los eventos internos del propio sistema (como un arranque en frío del servicio de ingesta), que no pertenecen a ningún cliente y solo son visibles para el personal interno de Kriptome.</w:t>
      </w:r>
    </w:p>
    <w:p>
      <w:pPr>
        <w:spacing w:after="160"/>
        <w:jc w:val="both"/>
      </w:pPr>
      <w:r>
        <w:t xml:space="preserve">El segundo mecanismo es la </w:t>
      </w:r>
      <w:r>
        <w:rPr>
          <w:b/>
        </w:rPr>
        <w:t>bandeja de salida transaccional</w:t>
      </w:r>
      <w:r>
        <w:t>, que resuelve un problema real de consistencia: si actualizar un caso y enviar un correo fueran dos operaciones separadas sin ninguna garantía conjunta, podría darse el caso de que el sistema actualice el caso pero falle al enviar el correo, o que envíe el correo pero después la actualización del caso falle — dejando al sistema en un estado contradictorio. La solución es escribir la intención de envío en la misma operación de base de datos que el cambio de negocio que la origina, y despachar el envío real de forma separada a partir de esa tabla. Cada intento de envío tiene una clave de idempotencia única, de forma que un reintento de envío —por ejemplo, tras una caída momentánea del proveedor de correo— nunca produce un segundo correo duplicado. El campo del caso que registra "este mensaje ya se envió" solo se marca cuando el envío se confirmó realmente, nunca en el momento de encolar la intención: encolar no es enviar, exactamente el mismo espíritu del cuarto principio de la sección 7.</w:t>
      </w:r>
    </w:p>
    <w:p>
      <w:pPr>
        <w:pStyle w:val="Heading2"/>
      </w:pPr>
      <w:r>
        <w:rPr>
          <w:color w:val="1F3A5F"/>
        </w:rPr>
        <w:t>11. La decisión sobre el panel interno de Wazuh</w:t>
      </w:r>
    </w:p>
    <w:p>
      <w:pPr>
        <w:spacing w:after="160"/>
        <w:jc w:val="both"/>
      </w:pPr>
      <w:r>
        <w:t>Wazuh incluye de fábrica un panel visual (el "Dashboard") con capacidad de exploración de eventos y visualizaciones. Existía el riesgo de que, por estar ya disponible sin costo adicional, terminara tratándose implícitamente como la interfaz que ve el cliente final de Kriptome — sin que nadie tomara esa decisión de forma explícita. Eso habría entrado en conflicto directo con el modelo de negocio: el cliente de Kriptome no opera un sistema de seguridad, recibe casos gestionados y comunicación por correo.</w:t>
      </w:r>
    </w:p>
    <w:p>
      <w:pPr>
        <w:spacing w:after="160"/>
        <w:jc w:val="both"/>
      </w:pPr>
      <w:r>
        <w:t xml:space="preserve">La decisión formal, registrada como el primer documento de decisión de arquitectura del proyecto, es que </w:t>
      </w:r>
      <w:r>
        <w:rPr>
          <w:b/>
        </w:rPr>
        <w:t>el panel de Wazuh es una herramienta exclusivamente interna del equipo de Kriptome, nunca la interfaz orientada al cliente, bajo ninguna circunstancia</w:t>
      </w:r>
      <w:r>
        <w:t>. Solo el personal de Kriptome, autenticado con sus propias credenciales, lo usa para investigación y revisión de casos. Ningún cliente final recibe jamás una credencial de este panel. Cualquier cuenta de demostración o de prueba creada allí debe marcarse explícitamente como tal, para que nunca se confunda con una cuenta operativa real ni se use por accidente contra datos de un cliente real. La razón técnica de fondo es que el panel de Wazuh, tal como lo entrega el fabricante, no tiene un aislamiento entre clientes compatible con el modelo de negocio de Kriptome — exponerlo directamente a un cliente sin una capa propia de filtrado habría sido un riesgo real de que un cliente viera datos de otro. La interfaz del cliente, hoy y hasta que se decida construir algo distinto, es exclusivamente la comunicación por correo electrónico.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