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Contratos de Datos — Kriptome MiniSOC</w:t>
      </w:r>
    </w:p>
    <w:p>
      <w:pPr>
        <w:pStyle w:val="Heading2"/>
      </w:pPr>
      <w:r>
        <w:rPr>
          <w:color w:val="1F3A5F"/>
        </w:rPr>
        <w:t>1. Qué es un contrato de datos, en lenguaje simple</w:t>
      </w:r>
    </w:p>
    <w:p>
      <w:pPr>
        <w:spacing w:after="160"/>
        <w:jc w:val="both"/>
      </w:pPr>
      <w:r>
        <w:t>Antes de entrar en el detalle de cada uno, vale la pena explicar qué es un "contrato de datos" para quien no programa. La mejor analogía es un formulario oficial con campos obligatorios y reglas de validación: cuando una entidad pública exige un formulario con campos específicos, no es solo por orden — es para garantizar que, sin importar quién lo llene ni en qué oficina, el dato resultante siempre tiene la misma forma y cumple las mismas reglas mínimas, de modo que cualquier otra oficina que lo reciba después sepa exactamente qué esperar.</w:t>
      </w:r>
    </w:p>
    <w:p>
      <w:pPr>
        <w:spacing w:after="160"/>
        <w:jc w:val="both"/>
      </w:pPr>
      <w:r>
        <w:t>Un contrato de datos hace lo mismo para un sistema informático. Kriptome MiniSOC define diecisiete contratos de este tipo (en un formato técnico llamado JSON Schema, que no es más que una forma precisa de escribir "este campo es obligatorio", "este otro solo puede tener uno de estos cuatro valores", "si el estado es X, entonces este otro campo también debe estar lleno"). El propósito de tenerlos definidos ahora, antes de que exista el sistema real, es que cualquier equipo que construya una pieza del sistema —el motor de casos, el generador de correos, el módulo de riesgo— lo haga produciendo y consumiendo datos con exactamente la misma forma, sin que cada desarrollador reinterprete a su manera qué significa "un caso" o "un correo al cliente". Esta sección explica, para cada grupo de contratos, qué información contiene, por qué existe esa separación entre piezas, y qué reglas de negocio protege cada uno, traducidas a lenguaje llano en lugar de jerga técnica.</w:t>
      </w:r>
    </w:p>
    <w:p>
      <w:pPr>
        <w:pStyle w:val="Heading2"/>
      </w:pPr>
      <w:r>
        <w:rPr>
          <w:color w:val="1F3A5F"/>
        </w:rPr>
        <w:t>2. Evento y cliente: quién generó qué, y de quién es</w:t>
      </w:r>
    </w:p>
    <w:p>
      <w:pPr>
        <w:spacing w:after="160"/>
        <w:jc w:val="both"/>
      </w:pPr>
      <w:r>
        <w:t>Este primer grupo de contratos responde a dos preguntas que deben resolverse antes que cualquier otra: qué pasó técnicamente, y a quién pertenece.</w:t>
      </w:r>
    </w:p>
    <w:p>
      <w:pPr>
        <w:spacing w:after="160"/>
        <w:jc w:val="both"/>
      </w:pPr>
      <w:r>
        <w:t xml:space="preserve">El </w:t>
      </w:r>
      <w:r>
        <w:rPr>
          <w:b/>
        </w:rPr>
        <w:t>evento crudo mínimo</w:t>
      </w:r>
      <w:r>
        <w:t xml:space="preserve"> es la primera forma que toma un evento apenas se extrae del almacén de Wazuh, antes de que el sistema sepa a qué cliente pertenece. Contiene solo lo que el propio documento de origen ya trae: el identificador técnico del agente, la marca de tiempo, la regla que disparó y su nivel de severidad. Deliberadamente no contiene ningún dato de cliente confirmado, porque en este punto del proceso ese dato todavía no existe con certeza — asignarlo aquí habría sido inventarlo antes de tiempo.</w:t>
      </w:r>
    </w:p>
    <w:p>
      <w:pPr>
        <w:spacing w:after="160"/>
        <w:jc w:val="both"/>
      </w:pPr>
      <w:r>
        <w:t xml:space="preserve">La </w:t>
      </w:r>
      <w:r>
        <w:rPr>
          <w:b/>
        </w:rPr>
        <w:t>identidad del evento</w:t>
      </w:r>
      <w:r>
        <w:t xml:space="preserve"> es un contrato aparte cuyo único propósito es evitar procesar el mismo evento dos veces. La regla de negocio que protege es sutil pero importante: nunca se puede usar solo la combinación de fecha, regla y agente como identificador único, porque dos eventos legítimos y distintos —dos intentos de acceso fallidos en el mismo segundo desde el mismo agente— podrían compartir esos tres valores exactos, y un reintento del mismo lote de procesamiento produciría también los mismos tres valores para algo que ya se procesó. Por eso la identidad real se calcula, siempre que sea posible, a partir del identificador único del documento de origen en el almacén de Wazuh, y solo si eso no está disponible se recurre a un resumen criptográfico de todo el contenido normalizado del evento.</w:t>
      </w:r>
    </w:p>
    <w:p>
      <w:pPr>
        <w:spacing w:after="160"/>
        <w:jc w:val="both"/>
      </w:pPr>
      <w:r>
        <w:t xml:space="preserve">El </w:t>
      </w:r>
      <w:r>
        <w:rPr>
          <w:b/>
        </w:rPr>
        <w:t>evento normalizado</w:t>
      </w:r>
      <w:r>
        <w:t xml:space="preserve"> es la forma completa de un evento puntual, ya con el cliente y el activo confirmados. Aquí opera una regla de separación de capas estricta: este contrato representa únicamente el evento técnico tal como lo entrega Wazuh, y deliberadamente no repite datos que pertenecen a otras capas —el nombre de negocio del equipo afectado, los contadores acumulados de un caso, el riesgo calculado— porque duplicar esos datos aquí crearía dos fuentes de verdad distintas para el mismo dato, con el riesgo real de que se desincronizaran entre sí.</w:t>
      </w:r>
    </w:p>
    <w:p>
      <w:pPr>
        <w:spacing w:after="160"/>
        <w:jc w:val="both"/>
      </w:pPr>
      <w:r>
        <w:t xml:space="preserve">El </w:t>
      </w:r>
      <w:r>
        <w:rPr>
          <w:b/>
        </w:rPr>
        <w:t>cliente</w:t>
      </w:r>
      <w:r>
        <w:t xml:space="preserve"> (llamado "tenant" en la terminología técnica, traducido aquí como cliente o inquilino según el contexto) es el registro de negocio central: quién es cada cliente de Kriptome, en qué estado comercial está, y con qué idioma y zona horaria opera. Una regla de negocio clave aquí es la separación entre el identificador técnico interno del cliente (una clave inmutable de uso interno) y su código operativo legible (el que efectivamente viaja en la configuración de los agentes, y que en teoría podría cambiar si el cliente hace un cambio de marca comercial sin que eso implique perder su historial). Solo un cliente en estado activo debe generar comunicaciones reales; uno en borrador, suspendido o dado de baja no.</w:t>
      </w:r>
    </w:p>
    <w:p>
      <w:pPr>
        <w:spacing w:after="160"/>
        <w:jc w:val="both"/>
      </w:pPr>
      <w:r>
        <w:t xml:space="preserve">La </w:t>
      </w:r>
      <w:r>
        <w:rPr>
          <w:b/>
        </w:rPr>
        <w:t>asignación de activo a cliente</w:t>
      </w:r>
      <w:r>
        <w:t xml:space="preserve"> es el registro que vincula un agente técnico concreto con el equipo de negocio que representa y el cliente al que pertenece. La regla de integridad más importante de este contrato —que no se puede expresar directamente en el formato técnico del contrato, y por eso se documenta aparte como regla que cualquier implementación futura debe aplicar— es que un mismo activo no puede pertenecer, al mismo tiempo, a dos clientes distintos de forma verificada: si eso llegara a ocurrir, la segunda asignación debe marcarse como inconsistente, nunca reemplazar silenciosamente a la primera.</w:t>
      </w:r>
    </w:p>
    <w:p>
      <w:pPr>
        <w:spacing w:after="160"/>
        <w:jc w:val="both"/>
      </w:pPr>
      <w:r>
        <w:t xml:space="preserve">Finalmente, el </w:t>
      </w:r>
      <w:r>
        <w:rPr>
          <w:b/>
        </w:rPr>
        <w:t>resultado de resolución de cliente</w:t>
      </w:r>
      <w:r>
        <w:t xml:space="preserve"> es el contrato que documenta, para cada evento, el resultado completo de la cadena de verificación descrita en el documento de flujo del sistema: qué se esperaba, qué se observó, y si coincidieron. La regla de negocio que protege es estricta: si el estado de esa resolución es "resuelto", entonces todos los datos esperados deben estar completos y sin ninguna inconsistencia registrada; si el estado es cualquier otro, el sistema no exige que esos datos estén completos, precisamente porque la resolución no llegó a completarse con éxito — no tendría sentido exigir datos que la propia falla de resolución no permitió obtener.</w:t>
      </w:r>
    </w:p>
    <w:p>
      <w:pPr>
        <w:pStyle w:val="Heading2"/>
      </w:pPr>
      <w:r>
        <w:rPr>
          <w:color w:val="1F3A5F"/>
        </w:rPr>
        <w:t>3. Caso y contexto: la unidad de trabajo del sistema</w:t>
      </w:r>
    </w:p>
    <w:p>
      <w:pPr>
        <w:spacing w:after="160"/>
        <w:jc w:val="both"/>
      </w:pPr>
      <w:r>
        <w:t>Este segundo grupo de contratos define qué es un "caso" —la unidad de trabajo real del sistema, distinta de una alerta técnica individual— y el contexto de negocio que lo rodea.</w:t>
      </w:r>
    </w:p>
    <w:p>
      <w:pPr>
        <w:spacing w:after="160"/>
        <w:jc w:val="both"/>
      </w:pPr>
      <w:r>
        <w:t xml:space="preserve">El </w:t>
      </w:r>
      <w:r>
        <w:rPr>
          <w:b/>
        </w:rPr>
        <w:t>caso</w:t>
      </w:r>
      <w:r>
        <w:t xml:space="preserve"> es el contrato central de todo el proyecto. Contiene un identificador con un formato específico y legible (el mismo que aparece en las plantillas de correo), el cliente y el activo a los que pertenece, su tipo, su estado actual, su nivel de prioridad visible para el cliente, y su historial de apertura, cierre y posibles reaperturas. Aquí aparecen dos reglas de negocio que merecen explicarse con detalle porque son ejemplos claros de cómo un contrato de datos impide errores operativos concretos. La primera: </w:t>
      </w:r>
      <w:r>
        <w:rPr>
          <w:b/>
        </w:rPr>
        <w:t>un caso no puede declararse cerrado sin registrar la fecha real de cierre y el motivo de cierre</w:t>
      </w:r>
      <w:r>
        <w:t xml:space="preserve"> — el contrato exige explícitamente ambos campos poblados cuando el estado es "cerrado", y a la inversa, exige que ambos estén vacíos si el caso no está cerrado, de forma que sea imposible tener un caso marcado como cerrado sin saber cuándo ni por qué. La segunda: el nivel de prioridad que ve el cliente nunca es una copia directa del nivel de severidad técnica que Wazuh asigna a un evento individual — es el resultado de un cálculo de negocio aparte (ver el documento de reglas de negocio para el detalle completo de esa fórmula).</w:t>
      </w:r>
    </w:p>
    <w:p>
      <w:pPr>
        <w:spacing w:after="160"/>
        <w:jc w:val="both"/>
      </w:pPr>
      <w:r>
        <w:t xml:space="preserve">El </w:t>
      </w:r>
      <w:r>
        <w:rPr>
          <w:b/>
        </w:rPr>
        <w:t>resumen agregado del caso</w:t>
      </w:r>
      <w:r>
        <w:t xml:space="preserve"> es un contrato deliberadamente distinto del caso mismo: mientras el caso es el objeto de estado completo, el resumen es una vista de solo lectura con los contadores ya calculados, pensada para alimentar notificaciones e informes. La regla de negocio que protege este contrato es una distinción que podría pasar desapercibida y generar errores de comunicación: el contador total de eventos de un caso </w:t>
      </w:r>
      <w:r>
        <w:rPr>
          <w:b/>
        </w:rPr>
        <w:t>no</w:t>
      </w:r>
      <w:r>
        <w:t xml:space="preserve"> es lo mismo que el contador de intentos fallidos de autenticación, porque un mismo caso puede mezclar eventos de distinto tipo —por ejemplo, varios intentos fallidos más el acceso finalmente exitoso—. Confundir ambos contadores llevaría a afirmarle al cliente un número de intentos fallidos incorrecto.</w:t>
      </w:r>
    </w:p>
    <w:p>
      <w:pPr>
        <w:spacing w:after="160"/>
        <w:jc w:val="both"/>
      </w:pPr>
      <w:r>
        <w:t xml:space="preserve">El </w:t>
      </w:r>
      <w:r>
        <w:rPr>
          <w:b/>
        </w:rPr>
        <w:t>contexto del activo</w:t>
      </w:r>
      <w:r>
        <w:t xml:space="preserve"> es la ficha de negocio de un equipo o servicio: su nombre legible para el cliente (nunca su identificador técnico crudo), su nivel de criticidad, si está expuesto a internet, y a qué servicio de negocio sirve. La regla que protege es explícita: el identificador técnico de un activo nunca debe mostrarse solo al cliente — siempre debe traducirse a su nombre de negocio, algo como "Servidor de facturación" en lugar de un código interno sin significado para quien no es técnico. Este contrato también admite, de forma deliberada, el caso de un cliente residencial (por ejemplo la casa de un directivo) sin forzarlo dentro del molde de una empresa: separa el tipo de entorno (productivo, personal, de pruebas) del tipo de sitio físico (oficina, hogar, nube), de forma que ambos combinados puedan describir con precisión tanto una empresa típica como un domicilio.</w:t>
      </w:r>
    </w:p>
    <w:p>
      <w:pPr>
        <w:spacing w:after="160"/>
        <w:jc w:val="both"/>
      </w:pPr>
      <w:r>
        <w:t xml:space="preserve">La </w:t>
      </w:r>
      <w:r>
        <w:rPr>
          <w:b/>
        </w:rPr>
        <w:t>evidencia de autenticación</w:t>
      </w:r>
      <w:r>
        <w:t xml:space="preserve"> es un contrato que existe para resolver una limitación técnica real y muy concreta de dos de las reglas de Wazuh de este proyecto: la correlación nativa que agrupa varios intentos fallidos con un acceso exitoso posterior lo hace por dirección de origen, no necesariamente por la misma cuenta de usuario. La regla de negocio que este contrato protege es de las más importantes de todo el proyecto en términos de honestidad hacia el cliente: </w:t>
      </w:r>
      <w:r>
        <w:rPr>
          <w:b/>
        </w:rPr>
        <w:t>el sistema nunca puede afirmar "se realizaron N intentos fallidos contra la cuenta X" a menos que se haya verificado explícitamente que cada uno de esos intentos fallidos fue efectivamente contra esa cuenta</w:t>
      </w:r>
      <w:r>
        <w:t xml:space="preserve"> — si esa verificación no se hizo o no coincide, el texto correcto separa ambos hechos ("se detectaron N intentos fallidos desde la misma dirección, y posteriormente un acceso exitoso con la cuenta X"), sin insinuar una relación que no está confirmada.</w:t>
      </w:r>
    </w:p>
    <w:p>
      <w:pPr>
        <w:spacing w:after="160"/>
        <w:jc w:val="both"/>
      </w:pPr>
      <w:r>
        <w:t xml:space="preserve">La </w:t>
      </w:r>
      <w:r>
        <w:rPr>
          <w:b/>
        </w:rPr>
        <w:t>correlación de campaña</w:t>
      </w:r>
      <w:r>
        <w:t xml:space="preserve"> relaciona casos distintos —con identidades distintas, cada uno con su propio ciclo de vida— que comparten un origen o patrón común: la misma dirección atacando varios equipos, el mismo archivo malicioso apareciendo en varios activos. La regla dura que protege, repetida en varios lugares del proyecto porque es una de las columnas del diseño, es que esta correlación </w:t>
      </w:r>
      <w:r>
        <w:rPr>
          <w:b/>
        </w:rPr>
        <w:t>nunca cruza la frontera de un cliente hacia otro</w:t>
      </w:r>
      <w:r>
        <w:t>, aunque el mismo atacante afecte a dos clientes distintos de Kriptome el mismo día.</w:t>
      </w:r>
    </w:p>
    <w:p>
      <w:pPr>
        <w:pStyle w:val="Heading2"/>
      </w:pPr>
      <w:r>
        <w:rPr>
          <w:color w:val="1F3A5F"/>
        </w:rPr>
        <w:t>4. Riesgo y enriquecimiento: cuánto importa y con qué contexto externo</w:t>
      </w:r>
    </w:p>
    <w:p>
      <w:pPr>
        <w:spacing w:after="160"/>
        <w:jc w:val="both"/>
      </w:pPr>
      <w:r>
        <w:t xml:space="preserve">El </w:t>
      </w:r>
      <w:r>
        <w:rPr>
          <w:b/>
        </w:rPr>
        <w:t>resultado de riesgo</w:t>
      </w:r>
      <w:r>
        <w:t xml:space="preserve"> es el contrato que registra el nivel de prioridad final calculado para un caso, junto con la lista completa y auditable de los factores que contribuyeron a esa decisión —nunca una "caja negra" sin explicación—. La regla de negocio central, repetida como advertencia en varios documentos del proyecto porque corrige un error de diseño que sí llegó a existir en versiones anteriores, es que este nivel de prioridad </w:t>
      </w:r>
      <w:r>
        <w:rPr>
          <w:b/>
        </w:rPr>
        <w:t>nunca es una copia directa del nivel de severidad técnica de Wazuh</w:t>
      </w:r>
      <w:r>
        <w:t>: es una decisión de negocio calculada combinando varios factores que Wazuh no conoce, como la criticidad del activo afectado o si hay explotación activa confirmada de una vulnerabilidad.</w:t>
      </w:r>
    </w:p>
    <w:p>
      <w:pPr>
        <w:spacing w:after="160"/>
        <w:jc w:val="both"/>
      </w:pPr>
      <w:r>
        <w:t xml:space="preserve">El </w:t>
      </w:r>
      <w:r>
        <w:rPr>
          <w:b/>
        </w:rPr>
        <w:t>resultado de enriquecimiento</w:t>
      </w:r>
      <w:r>
        <w:t xml:space="preserve"> es el contrato de una única consulta a una fuente externa de información —reputación de una dirección, ubicación geográfica, traducción de un identificador de vulnerabilidad, o el estado de un CVE en el catálogo de vulnerabilidades bajo explotación activa de la agencia estadounidense CISA—. Dos reglas de negocio importantes protege este contrato. La primera es sobre cuándo se consulta: la consulta al catálogo CISA solo se dispara cuando Wazuh ya entregó un identificador de vulnerabilidad válido con el formato correcto, nunca de forma especulativa. La segunda es sobre cómo se interpreta un resultado incompleto: si la copia local del catálogo está desactualizada, o si la consulta falla por completo, el sistema </w:t>
      </w:r>
      <w:r>
        <w:rPr>
          <w:b/>
        </w:rPr>
        <w:t>nunca</w:t>
      </w:r>
      <w:r>
        <w:t xml:space="preserve"> debe interpretar eso como "no está en el catálogo" — un dato incompleto se trata explícitamente como incompleto, nunca se rellena con un valor por defecto que podría leerse como una respuesta real. Esta distinción importa porque confundir "no lo sé" con "no está listada" podría hacer que el sistema subestime la urgencia real de una vulnerabilidad.</w:t>
      </w:r>
    </w:p>
    <w:p>
      <w:pPr>
        <w:pStyle w:val="Heading2"/>
      </w:pPr>
      <w:r>
        <w:rPr>
          <w:color w:val="1F3A5F"/>
        </w:rPr>
        <w:t>5. Comunicación: lo que finalmente ve el cliente</w:t>
      </w:r>
    </w:p>
    <w:p>
      <w:pPr>
        <w:spacing w:after="160"/>
        <w:jc w:val="both"/>
      </w:pPr>
      <w:r>
        <w:t xml:space="preserve">La </w:t>
      </w:r>
      <w:r>
        <w:rPr>
          <w:b/>
        </w:rPr>
        <w:t>notificación al cliente</w:t>
      </w:r>
      <w:r>
        <w:t xml:space="preserve"> es el contrato de un correo electrónico completo dirigido al cliente. La decisión de negocio vigente, y que este contrato materializa, es que se envía un único mensaje con una acción recomendada clara, y el cliente responde con texto libre —nunca un menú de opciones prefijadas—. El contrato exige una estructura obligatoria de secciones en lenguaje simple (qué pasó, por qué importa, qué debe hacer el cliente, qué no debe hacer, qué está haciendo Kriptome) y separa estrictamente esa parte del "apéndice técnico" que solo se incluye para el soporte técnico del cliente si lo tiene — ningún identificador técnico interno de Wazuh debe aparecer jamás en el cuerpo del mensaje dirigido al cliente. Dos reglas de negocio muy concretas protege este contrato, y ambas fueron correcciones reales aplicadas durante el desarrollo del proyecto: </w:t>
      </w:r>
      <w:r>
        <w:rPr>
          <w:b/>
        </w:rPr>
        <w:t>un correo no puede marcarse como enviado sin una fecha de envío real y verificable</w:t>
      </w:r>
      <w:r>
        <w:t xml:space="preserve"> (antes de la corrección, era posible declarar un mensaje como "enviado" sin ninguna fecha asociada), y las acciones comunicadas al cliente deben provenir siempre de un procedimiento formalmente aprobado — la inteligencia artificial puede mejorar la redacción, pero nunca puede inventar una acción que no esté en ese procedimiento aprobado, y un procedimiento todavía en borrador no puede ser la fuente de una comunicación real.</w:t>
      </w:r>
    </w:p>
    <w:p>
      <w:pPr>
        <w:spacing w:after="160"/>
        <w:jc w:val="both"/>
      </w:pPr>
      <w:r>
        <w:t xml:space="preserve">El </w:t>
      </w:r>
      <w:r>
        <w:rPr>
          <w:b/>
        </w:rPr>
        <w:t>mensaje entrante</w:t>
      </w:r>
      <w:r>
        <w:t xml:space="preserve"> es el contrato de la respuesta que el cliente envía de vuelta. Aquí el proyecto documenta con mucho detalle un riesgo real: el correo entrante es la única vía de texto libre no controlado por Kriptome que llega al sistema, y un mensaje que lograra pasar como respuesta legítima sin serlo podría cerrar un caso indebidamente o hacer creer al sistema que el cliente confirmó algo que nunca confirmó. La regla de negocio que protege este contrato es exigente a propósito: un mensaje entrante solo se procesa automáticamente como entrada válida al caso cuando </w:t>
      </w:r>
      <w:r>
        <w:rPr>
          <w:b/>
        </w:rPr>
        <w:t>cuatro condiciones se cumplen simultáneamente</w:t>
      </w:r>
      <w:r>
        <w:t xml:space="preserve"> — el remitente es un contacto autorizado y verificado para ese cliente específico, el hilo de la conversación es coherente y verificable, no hay sospecha de que el buzón del remitente esté comprometido, y el mensaje no es un simple reenvío de contenido de un tercero. Si cualquiera de esas cuatro condiciones falla, el mensaje va a revisión humana o a cuarentena, nunca se procesa de forma parcial ni automática.</w:t>
      </w:r>
    </w:p>
    <w:p>
      <w:pPr>
        <w:spacing w:after="160"/>
        <w:jc w:val="both"/>
      </w:pPr>
      <w:r>
        <w:t xml:space="preserve">El </w:t>
      </w:r>
      <w:r>
        <w:rPr>
          <w:b/>
        </w:rPr>
        <w:t>procedimiento autorizado</w:t>
      </w:r>
      <w:r>
        <w:t xml:space="preserve"> es el catálogo formal de acciones permitidas para cada tipo de caso: qué se le puede pedir al cliente, qué acciones ejecuta internamente el equipo de Kriptome, y qué está prohibido. La regla de negocio más estricta de este contrato es la que gobierna su propio ciclo de aprobación: un procedimiento solo puede marcarse como aprobado si tiene registrado quién lo aprobó y cuándo, con ambos campos poblados de verdad — y a la inversa, mientras esté en borrador, esos dos campos deben estar vacíos, precisamente para que sea imposible simular una aprobación humana que nunca ocurrió (algo que, de hecho, sucedió por error en una versión temprana del proyecto y tuvo que corregirse explícitamente).</w:t>
      </w:r>
    </w:p>
    <w:p>
      <w:pPr>
        <w:pStyle w:val="Heading2"/>
      </w:pPr>
      <w:r>
        <w:rPr>
          <w:color w:val="1F3A5F"/>
        </w:rPr>
        <w:t>6. Cierre</w:t>
      </w:r>
    </w:p>
    <w:p>
      <w:pPr>
        <w:spacing w:after="160"/>
        <w:jc w:val="both"/>
      </w:pPr>
      <w:r>
        <w:t>Estos diecisiete contratos, en conjunto, funcionan como el vocabulario común y verificable de todo el sistema: cualquier pieza de software que se construya después de este diseño, sin importar qué equipo la construya, debe producir y consumir datos que cumplan exactamente estas formas y estas reglas. Ese es el valor real de tenerlos definidos antes de escribir código: convierten decisiones de negocio que de otro modo quedarían solo en la cabeza de quien las pensó —"un caso no puede cerrarse sin fecha", "nunca se afirma algo que no se verificó"— en reglas que un sistema informático puede hacer cumplir de forma automática, sin depender de que cada desarrollador las recuerde todas correctamente cada vez.</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