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Reglas de Negocio — Kriptome MiniSOC</w:t>
      </w:r>
    </w:p>
    <w:p>
      <w:pPr>
        <w:pStyle w:val="Heading2"/>
      </w:pPr>
      <w:r>
        <w:rPr>
          <w:color w:val="1F3A5F"/>
        </w:rPr>
        <w:t>1. Introducción</w:t>
      </w:r>
    </w:p>
    <w:p>
      <w:pPr>
        <w:spacing w:after="160"/>
        <w:jc w:val="both"/>
      </w:pPr>
      <w:r>
        <w:t>Este documento explica las reglas que gobiernan cómo el sistema clasifica, prioriza y responde a un incidente de seguridad. Cubre tres piezas que trabajan juntas: los cinco tipos de caso activos que el sistema reconoce hoy, la máquina de estados que define el ciclo de vida de cualquier caso, la fórmula completa con la que se calcula su prioridad, y los seis procedimientos de respuesta que —aunque están completos en su contenido— siguen todos pendientes de aprobación formal por una decisión de negocio, no por un defecto técnico.</w:t>
      </w:r>
    </w:p>
    <w:p>
      <w:pPr>
        <w:pStyle w:val="Heading2"/>
      </w:pPr>
      <w:r>
        <w:rPr>
          <w:color w:val="1F3A5F"/>
        </w:rPr>
        <w:t>2. Los cinco tipos de caso activos</w:t>
      </w:r>
    </w:p>
    <w:p>
      <w:pPr>
        <w:spacing w:after="160"/>
        <w:jc w:val="both"/>
      </w:pPr>
      <w:r>
        <w:t>El sistema reconoce hoy cinco categorías de incidente, cada una definida como una política independiente. Un sexto archivo existe pero está formalmente descontinuado (se explica al final de esta sección).</w:t>
      </w:r>
    </w:p>
    <w:p>
      <w:pPr>
        <w:spacing w:after="160"/>
        <w:jc w:val="both"/>
      </w:pPr>
      <w:r>
        <w:rPr>
          <w:b/>
        </w:rPr>
        <w:t>Fuerza bruta exitosa</w:t>
      </w:r>
      <w:r>
        <w:t xml:space="preserve"> (</w:t>
      </w:r>
      <w:r>
        <w:rPr>
          <w:rFonts w:ascii="Consolas" w:hAnsi="Consolas"/>
          <w:color w:val="A62C2C"/>
          <w:sz w:val="19"/>
        </w:rPr>
        <w:t>AUTH_BRUTEFORCE_SUCCESS</w:t>
      </w:r>
      <w:r>
        <w:t>) es, en términos de negocio, el escenario más crítico de todos: un acceso que finalmente tiene éxito después de una serie de intentos fallidos desde el mismo origen — la señal clásica de una credencial comprometida. Cubre tanto Linux/SSH como Windows con la misma lógica de negocio, aunque cada sistema operativo se detecta con reglas técnicas distintas. Los eventos se agrupan por la combinación de cliente, activo, dirección de origen y cuenta afectada — de modo que dos ataques simultáneos desde la misma dirección contra dos cuentas distintas del mismo equipo abren dos casos separados, no uno mezclado. Un caso de este tipo se cierra siempre con intervención humana explícita: nunca se cierra solo por el paso del tiempo, precisamente porque un acceso comprometido no es algo que deba darse por resuelto automáticamente.</w:t>
      </w:r>
    </w:p>
    <w:p>
      <w:pPr>
        <w:spacing w:after="160"/>
        <w:jc w:val="both"/>
      </w:pPr>
      <w:r>
        <w:rPr>
          <w:b/>
        </w:rPr>
        <w:t>Malware confirmado</w:t>
      </w:r>
      <w:r>
        <w:t xml:space="preserve"> (</w:t>
      </w:r>
      <w:r>
        <w:rPr>
          <w:rFonts w:ascii="Consolas" w:hAnsi="Consolas"/>
          <w:color w:val="A62C2C"/>
          <w:sz w:val="19"/>
        </w:rPr>
        <w:t>MALWARE_CONFIRMED</w:t>
      </w:r>
      <w:r>
        <w:t xml:space="preserve">) cubre un archivo o proceso identificado positivamente como dañino — no una sospecha, una confirmación real, ya sea porque coincide con un hash conocido de malware o porque una consulta de reputación de archivos lo marcó como malicioso. Los casos se agrupan por cliente, activo y el identificador único del archivo (su hash). También requiere siempre cierre humano. Un detalle de diseño importante: si el mismo archivo dañino aparece en un segundo equipo del mismo cliente, eso </w:t>
      </w:r>
      <w:r>
        <w:rPr>
          <w:b/>
        </w:rPr>
        <w:t>no</w:t>
      </w:r>
      <w:r>
        <w:t xml:space="preserve"> es una continuación del mismo caso — es un caso nuevo, porque el activo forma parte de la identidad que agrupa los eventos, y ambos casos quedan relacionados entre sí como posible propagación, sin fusionarse.</w:t>
      </w:r>
    </w:p>
    <w:p>
      <w:pPr>
        <w:spacing w:after="160"/>
        <w:jc w:val="both"/>
      </w:pPr>
      <w:r>
        <w:rPr>
          <w:b/>
        </w:rPr>
        <w:t>Cambio en archivo crítico</w:t>
      </w:r>
      <w:r>
        <w:t xml:space="preserve"> (</w:t>
      </w:r>
      <w:r>
        <w:rPr>
          <w:rFonts w:ascii="Consolas" w:hAnsi="Consolas"/>
          <w:color w:val="A62C2C"/>
          <w:sz w:val="19"/>
        </w:rPr>
        <w:t>FIM_CRITICAL_PATH</w:t>
      </w:r>
      <w:r>
        <w:t>) detecta un cambio de integridad —modificación, borrado o creación— en una ruta de archivos que el cliente o Kriptome marcó como sensible, sin que exista todavía evidencia de que el archivo involucrado sea malicioso (si esa evidencia aparece después, el caso escala a Malware Confirmado como un caso nuevo relacionado, nunca cambiando su propia identidad). Este tipo de caso sí puede cerrarse automáticamente tras siete días si nunca hubo un cambio relevante y el cliente confirmó que el cambio original era esperado.</w:t>
      </w:r>
    </w:p>
    <w:p>
      <w:pPr>
        <w:spacing w:after="160"/>
        <w:jc w:val="both"/>
      </w:pPr>
      <w:r>
        <w:rPr>
          <w:b/>
        </w:rPr>
        <w:t>Salud del agente</w:t>
      </w:r>
      <w:r>
        <w:t xml:space="preserve"> (</w:t>
      </w:r>
      <w:r>
        <w:rPr>
          <w:rFonts w:ascii="Consolas" w:hAnsi="Consolas"/>
          <w:color w:val="A62C2C"/>
          <w:sz w:val="19"/>
        </w:rPr>
        <w:t>AGENT_HEALTH</w:t>
      </w:r>
      <w:r>
        <w:t>) cubre el caso de un sensor que deja de reportar. Es el único tipo de caso donde el cierre no depende de un plazo ni de una respuesta del cliente, sino de otro evento técnico: el propio agente reconectándose. El diseño incorpora varios matices operativos pensados para evitar ruido innecesario: espera dos minutos tras una desconexión antes de considerarla real (para no abrir un caso por un corte de red de treinta segundos), distingue una desconexión reciente de una prolongada, reconoce cuando la desconexión coincide con una ventana de mantenimiento programado (en cuyo caso no se notifica al cliente), y detecta cuando un mismo equipo entra y sale de conexión varias veces seguidas (llamado "parpadeo") para agrupar esos ciclos en lugar de abrir un caso nuevo cada vez.</w:t>
      </w:r>
    </w:p>
    <w:p>
      <w:pPr>
        <w:spacing w:after="160"/>
        <w:jc w:val="both"/>
      </w:pPr>
      <w:r>
        <w:rPr>
          <w:b/>
        </w:rPr>
        <w:t>Vulnerabilidad</w:t>
      </w:r>
      <w:r>
        <w:t xml:space="preserve"> (</w:t>
      </w:r>
      <w:r>
        <w:rPr>
          <w:rFonts w:ascii="Consolas" w:hAnsi="Consolas"/>
          <w:color w:val="A62C2C"/>
          <w:sz w:val="19"/>
        </w:rPr>
        <w:t>VULNERABILITY</w:t>
      </w:r>
      <w:r>
        <w:t>) es el tipo de caso con el diseño más cuidadoso de los cinco, precisamente porque tuvo que corregirse una vez que se detectó un error de diseño real. Cubre cualquier vulnerabilidad de software detectada por el motor de vulnerabilidades de Wazuh, sin importar si está o no en el catálogo de vulnerabilidades bajo explotación activa de CISA (conocido como KEV). Este tipo de caso tiene una identidad única y estable: nunca cambia según el estado de esa consulta externa, y el detalle de esa corrección se explica en la siguiente sección junto con la fórmula de riesgo, porque están directamente relacionadas.</w:t>
      </w:r>
    </w:p>
    <w:p>
      <w:pPr>
        <w:spacing w:after="160"/>
        <w:jc w:val="both"/>
      </w:pPr>
      <w:r>
        <w:rPr>
          <w:b/>
        </w:rPr>
        <w:t>El archivo descontinuado</w:t>
      </w:r>
      <w:r>
        <w:t>: existe un sexto archivo de política (</w:t>
      </w:r>
      <w:r>
        <w:rPr>
          <w:rFonts w:ascii="Consolas" w:hAnsi="Consolas"/>
          <w:color w:val="A62C2C"/>
          <w:sz w:val="19"/>
        </w:rPr>
        <w:t>VULNERABILITY_KEV</w:t>
      </w:r>
      <w:r>
        <w:t>) que ya no debe usarse para nada nuevo. Fue la versión original de la política de vulnerabilidades, reemplazada por la política única descrita arriba; se conserva únicamente por trazabilidad histórica de decisiones y casos antiguos que pudieron haberse registrado bajo ese nombre.</w:t>
      </w:r>
    </w:p>
    <w:p>
      <w:pPr>
        <w:pStyle w:val="Heading2"/>
      </w:pPr>
      <w:r>
        <w:rPr>
          <w:color w:val="1F3A5F"/>
        </w:rPr>
        <w:t>3. La máquina de estados de un caso</w:t>
      </w:r>
    </w:p>
    <w:p>
      <w:pPr>
        <w:spacing w:after="160"/>
        <w:jc w:val="both"/>
      </w:pPr>
      <w:r>
        <w:t xml:space="preserve">Todo caso pasa por una máquina de nueve estados posibles, y el proyecto define con precisión cuáles transiciones entre ellos son válidas, quién puede ejecutarlas y qué condición debe cumplirse. Traducidos al español, los nueve estados son: </w:t>
      </w:r>
      <w:r>
        <w:rPr>
          <w:b/>
        </w:rPr>
        <w:t>nuevo</w:t>
      </w:r>
      <w:r>
        <w:t xml:space="preserve"> (recién creado, sin evaluar todavía), </w:t>
      </w:r>
      <w:r>
        <w:rPr>
          <w:b/>
        </w:rPr>
        <w:t>en evaluación</w:t>
      </w:r>
      <w:r>
        <w:t xml:space="preserve"> (el sistema está aplicando la política de riesgo y buscando un procedimiento aplicable), </w:t>
      </w:r>
      <w:r>
        <w:rPr>
          <w:b/>
        </w:rPr>
        <w:t>en observación</w:t>
      </w:r>
      <w:r>
        <w:t xml:space="preserve"> (el caso sigue abierto acumulando eventos repetidos sin que haya ocurrido ningún cambio relevante), </w:t>
      </w:r>
      <w:r>
        <w:rPr>
          <w:b/>
        </w:rPr>
        <w:t>pendiente de revisión humana</w:t>
      </w:r>
      <w:r>
        <w:t xml:space="preserve"> (requiere que una persona lo revise antes de continuar; mientras está en este estado, ningún mensaje sale al cliente), </w:t>
      </w:r>
      <w:r>
        <w:rPr>
          <w:b/>
        </w:rPr>
        <w:t>listo para comunicar</w:t>
      </w:r>
      <w:r>
        <w:t xml:space="preserve"> (el mensaje ya fue generado, validado y, si hacía falta, aprobado por un humano), </w:t>
      </w:r>
      <w:r>
        <w:rPr>
          <w:b/>
        </w:rPr>
        <w:t>esperando al cliente</w:t>
      </w:r>
      <w:r>
        <w:t xml:space="preserve"> (el mensaje ya se envió y el caso espera una respuesta), </w:t>
      </w:r>
      <w:r>
        <w:rPr>
          <w:b/>
        </w:rPr>
        <w:t>en monitoreo</w:t>
      </w:r>
      <w:r>
        <w:t xml:space="preserve"> (ya no requiere acción inmediata, pero se mantiene una ventana de observación antes de darlo por resuelto), </w:t>
      </w:r>
      <w:r>
        <w:rPr>
          <w:b/>
        </w:rPr>
        <w:t>resuelto</w:t>
      </w:r>
      <w:r>
        <w:t xml:space="preserve"> (la acción definida ya se ejecutó, pero todavía no cumple los requisitos formales de cierre) y </w:t>
      </w:r>
      <w:r>
        <w:rPr>
          <w:b/>
        </w:rPr>
        <w:t>cerrado</w:t>
      </w:r>
      <w:r>
        <w:t xml:space="preserve"> (estado final, que exige tener registrado un motivo de cierre).</w:t>
      </w:r>
    </w:p>
    <w:p>
      <w:pPr>
        <w:spacing w:after="160"/>
        <w:jc w:val="both"/>
      </w:pPr>
      <w:r>
        <w:t xml:space="preserve">Una decisión de diseño importante, y que corrigió un problema real detectado en una versión anterior del sistema, es que el </w:t>
      </w:r>
      <w:r>
        <w:rPr>
          <w:b/>
        </w:rPr>
        <w:t>motivo de cierre es un dato separado del estado</w:t>
      </w:r>
      <w:r>
        <w:t>, no parte del nombre del estado. Antes, el sistema tenía estados como "cerrado por falso positivo" o "cerrado automáticamente" mezclados en un solo campo; ahora el estado es simplemente "cerrado", y un campo aparte registra si el motivo fue una resolución real, un falso positivo, una actividad esperada, una recuperación automática, falta de respuesta del cliente, o un duplicado.</w:t>
      </w:r>
    </w:p>
    <w:p>
      <w:pPr>
        <w:spacing w:after="160"/>
        <w:jc w:val="both"/>
      </w:pPr>
      <w:r>
        <w:t xml:space="preserve">Otra decisión relevante es cómo se trata la reapertura de un caso: no existe un estado permanente llamado "reabierto" — la reapertura es una </w:t>
      </w:r>
      <w:r>
        <w:rPr>
          <w:b/>
        </w:rPr>
        <w:t>transición explícita</w:t>
      </w:r>
      <w:r>
        <w:t xml:space="preserve"> desde "cerrado" de vuelta a "en evaluación", que exige registrar cuándo se reabrió, por qué motivo, y cuál era la fecha de cierre anterior, de forma que quede un historial completo sin necesitar una tabla separada para reconstruirlo. Las transiciones en general siguen una lógica consistente: un caso nuevo pasa a evaluación automáticamente; desde evaluación, el sistema decide si el caso puede seguir un camino automático hacia "listo para comunicar" (solo si existe un procedimiento aprobado para ese tipo de caso y prioridad, y la validación del mensaje generado fue exitosa) o si debe escalar a revisión humana (porque la política del tipo de caso lo exige, o porque el validador rechazó el mensaje generado). Un operador humano, desde revisión pendiente, puede aprobar la comunicación propuesta, pedir más evidencia antes de decidir, o cerrar directamente el caso si determina que es un falso positivo o una actividad esperada.</w:t>
      </w:r>
    </w:p>
    <w:p>
      <w:pPr>
        <w:pStyle w:val="Heading2"/>
      </w:pPr>
      <w:r>
        <w:rPr>
          <w:color w:val="1F3A5F"/>
        </w:rPr>
        <w:t>4. La fórmula de cálculo de riesgo</w:t>
      </w:r>
    </w:p>
    <w:p>
      <w:pPr>
        <w:spacing w:after="160"/>
        <w:jc w:val="both"/>
      </w:pPr>
      <w:r>
        <w:t xml:space="preserve">La política de riesgo es, junto con la máquina de estados, el mecanismo de negocio más importante del proyecto, porque de ella depende qué tan urgente le parece un caso al cliente. El principio de partida es tajante: </w:t>
      </w:r>
      <w:r>
        <w:rPr>
          <w:b/>
        </w:rPr>
        <w:t>el nivel de severidad técnica que asigna Wazuh a un evento nunca es, por sí solo, el nivel de prioridad final</w:t>
      </w:r>
      <w:r>
        <w:t xml:space="preserve"> — es solo uno de nueve factores que se combinan.</w:t>
      </w:r>
    </w:p>
    <w:p>
      <w:pPr>
        <w:spacing w:after="160"/>
        <w:jc w:val="both"/>
      </w:pPr>
      <w:r>
        <w:t xml:space="preserve">Los nueve factores considerados son: la </w:t>
      </w:r>
      <w:r>
        <w:rPr>
          <w:b/>
        </w:rPr>
        <w:t>severidad técnica</w:t>
      </w:r>
      <w:r>
        <w:t xml:space="preserve"> del evento según Wazuh; la </w:t>
      </w:r>
      <w:r>
        <w:rPr>
          <w:b/>
        </w:rPr>
        <w:t>criticidad del activo</w:t>
      </w:r>
      <w:r>
        <w:t xml:space="preserve"> afectado según el registro de negocio; la </w:t>
      </w:r>
      <w:r>
        <w:rPr>
          <w:b/>
        </w:rPr>
        <w:t>exposición</w:t>
      </w:r>
      <w:r>
        <w:t xml:space="preserve"> del activo (si está solo en la red interna, parcialmente expuesto, o directamente accesible desde internet); la </w:t>
      </w:r>
      <w:r>
        <w:rPr>
          <w:b/>
        </w:rPr>
        <w:t>fuerza de la evidencia</w:t>
      </w:r>
      <w:r>
        <w:t xml:space="preserve"> (por ejemplo, si un acceso exitoso tras varios intentos fallidos se verificó contra la misma cuenta, o solo se sabe que vino de la misma dirección); si existe </w:t>
      </w:r>
      <w:r>
        <w:rPr>
          <w:b/>
        </w:rPr>
        <w:t>explotación conocida</w:t>
      </w:r>
      <w:r>
        <w:t xml:space="preserve"> de una vulnerabilidad según el catálogo de CISA; si hubo un </w:t>
      </w:r>
      <w:r>
        <w:rPr>
          <w:b/>
        </w:rPr>
        <w:t>acceso efectivamente logrado</w:t>
      </w:r>
      <w:r>
        <w:t xml:space="preserve"> y no solo un intento; el </w:t>
      </w:r>
      <w:r>
        <w:rPr>
          <w:b/>
        </w:rPr>
        <w:t>alcance</w:t>
      </w:r>
      <w:r>
        <w:t xml:space="preserve"> del incidente (si afecta a un solo activo o a varios del mismo cliente a la vez); el </w:t>
      </w:r>
      <w:r>
        <w:rPr>
          <w:b/>
        </w:rPr>
        <w:t>contexto histórico</w:t>
      </w:r>
      <w:r>
        <w:t xml:space="preserve"> (si es la primera vez que ocurre este patrón o si ya es recurrente); y el </w:t>
      </w:r>
      <w:r>
        <w:rPr>
          <w:b/>
        </w:rPr>
        <w:t>impacto de negocio</w:t>
      </w:r>
      <w:r>
        <w:t xml:space="preserve"> del servicio que depende del activo afectado.</w:t>
      </w:r>
    </w:p>
    <w:p>
      <w:pPr>
        <w:spacing w:after="160"/>
        <w:jc w:val="both"/>
      </w:pPr>
      <w:r>
        <w:t xml:space="preserve">Cada factor se traduce a una de cuatro categorías internas —baja, media, alta o crítica— o a uno de dos valores especiales que merecen explicarse porque son la parte más cuidadosa del diseño: </w:t>
      </w:r>
      <w:r>
        <w:rPr>
          <w:b/>
        </w:rPr>
        <w:t>neutral</w:t>
      </w:r>
      <w:r>
        <w:t xml:space="preserve">, que significa que el valor es legítimo pero no debe mover el resultado ni hacia arriba ni hacia abajo (por ejemplo, un activo sin criticidad registrada en el inventario no se asume automáticamente como de bajo riesgo, simplemente no participa en el cálculo), y </w:t>
      </w:r>
      <w:r>
        <w:rPr>
          <w:b/>
        </w:rPr>
        <w:t>no aplicable</w:t>
      </w:r>
      <w:r>
        <w:t>, que significa que ese factor no tiene sentido para el tipo de caso en cuestión.</w:t>
      </w:r>
    </w:p>
    <w:p>
      <w:pPr>
        <w:spacing w:after="160"/>
        <w:jc w:val="both"/>
      </w:pPr>
      <w:r>
        <w:t xml:space="preserve">La regla de combinación es clara y deliberadamente simple: el resultado final es el </w:t>
      </w:r>
      <w:r>
        <w:rPr>
          <w:b/>
        </w:rPr>
        <w:t>máximo</w:t>
      </w:r>
      <w:r>
        <w:t xml:space="preserve"> de los factores aplicables, nunca un promedio ni una suma ponderada. Basta con que un solo factor llegue al nivel crítico para que todo el caso escale, sin que factores más bajos puedan "diluir" ese resultado — el mismo espíritu de "la inteligencia artificial nunca descarta un caso crítico" aplicado aquí al cálculo determinístico de riesgo.</w:t>
      </w:r>
    </w:p>
    <w:p>
      <w:pPr>
        <w:spacing w:after="160"/>
        <w:jc w:val="both"/>
      </w:pPr>
      <w:r>
        <w:t xml:space="preserve">El caso especial más importante, y que fue una corrección real aplicada durante el desarrollo del proyecto tras detectar una contradicción entre dos políticas del propio sistema, es el de las vulnerabilidades: </w:t>
      </w:r>
      <w:r>
        <w:rPr>
          <w:b/>
        </w:rPr>
        <w:t>una vulnerabilidad marcada como crítica por su severidad técnica, pero sin evidencia de explotación activa conocida, no debe subir automáticamente a la prioridad máxima</w:t>
      </w:r>
      <w:r>
        <w:t>. Antes de la corrección, el factor de severidad técnica sí participaba en el cálculo para este tipo de caso, lo que podía hacer que un CVE crítico sin explotación real despertara al equipo de guardia fuera de horario sin necesidad. La corrección excluyó ese factor del cálculo para vulnerabilidades: en ese tipo de caso específico, la urgencia real la decide únicamente si existe explotación activa confirmada, nunca la severidad técnica del propio CVE por sí sola. Dos reglas de escalamiento forzado complementan el cálculo: si el factor de explotación conocida llega a su nivel máximo, la prioridad nunca puede quedar por debajo de "urgente", sin importar el resto de factores; y lo mismo aplica si hubo un acceso efectivamente logrado, no solo intentado.</w:t>
      </w:r>
    </w:p>
    <w:p>
      <w:pPr>
        <w:pStyle w:val="Heading2"/>
      </w:pPr>
      <w:r>
        <w:rPr>
          <w:color w:val="1F3A5F"/>
        </w:rPr>
        <w:t>5. Los seis procedimientos, todos en borrador</w:t>
      </w:r>
    </w:p>
    <w:p>
      <w:pPr>
        <w:spacing w:after="160"/>
        <w:jc w:val="both"/>
      </w:pPr>
      <w:r>
        <w:t>Un procedimiento es el catálogo formal y cerrado de qué acciones se le pueden pedir al cliente y qué ejecuta internamente el equipo de Kriptome para un tipo de caso concreto. El proyecto define seis: uno para cada uno de los cinco tipos de caso activos, más uno adicional específico para el momento exacto en que una vulnerabilidad ya comunicada como genérica escala a estar en el catálogo de explotación activa —un procedimiento distinto del general de vulnerabilidades porque cubre una comunicación de actualización, no una primera notificación.</w:t>
      </w:r>
    </w:p>
    <w:p>
      <w:pPr>
        <w:spacing w:after="160"/>
        <w:jc w:val="both"/>
      </w:pPr>
      <w:r>
        <w:t xml:space="preserve">Cada procedimiento define tres tipos de contenido. Primero, las </w:t>
      </w:r>
      <w:r>
        <w:rPr>
          <w:b/>
        </w:rPr>
        <w:t>acciones para el cliente</w:t>
      </w:r>
      <w:r>
        <w:t xml:space="preserve">: pasos concretos y realizables por alguien sin conocimiento técnico, como cambiar una contraseña desde otro equipo o confirmar con su soporte de tecnología si un cambio fue planificado. Segundo, las </w:t>
      </w:r>
      <w:r>
        <w:rPr>
          <w:b/>
        </w:rPr>
        <w:t>acciones internas</w:t>
      </w:r>
      <w:r>
        <w:t xml:space="preserve"> que ejecuta el propio equipo de Kriptome, como escalar el caso a un operador humano de inmediato. Tercero, y aquí está uno de los aspectos de diseño más cuidados del proyecto, los </w:t>
      </w:r>
      <w:r>
        <w:rPr>
          <w:b/>
        </w:rPr>
        <w:t>puntos de decisión condicionales</w:t>
      </w:r>
      <w:r>
        <w:t>: en lugar de reglas universales sin contexto (como "nunca cerrar la sesión activa", que podría impedir cortar una sesión hostil real cuando sí hace falta hacerlo), cada procedimiento define qué acción corresponde según una circunstancia observable del incidente — por ejemplo, si se detectó una sesión activa iniciada por la cuenta comprometida, o si el cliente tiene capacidad técnica real para aislar un equipo de la red. Esta decisión de diseño reemplazó explícitamente prohibiciones universales que existían en versiones anteriores y que, en la práctica, podían ser operativamente riesgosas.</w:t>
      </w:r>
    </w:p>
    <w:p>
      <w:pPr>
        <w:spacing w:after="160"/>
        <w:jc w:val="both"/>
      </w:pPr>
      <w:r>
        <w:t xml:space="preserve">Todos los seis procedimientos, sin excepción, están hoy en estado de </w:t>
      </w:r>
      <w:r>
        <w:rPr>
          <w:b/>
        </w:rPr>
        <w:t>borrador</w:t>
      </w:r>
      <w:r>
        <w:t xml:space="preserve">: ninguno ha sido revisado línea por línea ni aprobado formalmente por una persona con responsabilidad operativa sobre el servicio. Esto es una decisión intencional del diseño, no un defecto ni un olvido — el propio proyecto documenta explícitamente que marcar un procedimiento como aprobado sin que esa revisión humana real haya ocurrido sería simular una garantía de calidad inexistente, el mismo error que en efecto llegó a cometerse en una versión temprana del proyecto (donde un ejemplo llegó a mostrar una aprobación con un nombre de marcador de posición) y que tuvo que corregirse explícitamente. Un procedimiento en borrador </w:t>
      </w:r>
      <w:r>
        <w:rPr>
          <w:b/>
        </w:rPr>
        <w:t>no puede</w:t>
      </w:r>
      <w:r>
        <w:t>, bajo ninguna circunstancia, ser la fuente de una comunicación real a un cliente: si un caso de ese tipo se presenta antes de que exista la aprobación, debe ir a una cola de revisión humana con decisiones tomadas caso por caso, nunca comunicarse con acciones improvisadas o con un procedimiento sin aprobar.</w:t>
      </w:r>
    </w:p>
    <w:p>
      <w:pPr>
        <w:spacing w:after="160"/>
        <w:jc w:val="both"/>
      </w:pPr>
      <w:r>
        <w:t>La aprobación de cada procedimiento queda en manos de quien tenga la responsabilidad operativa del servicio (el responsable del equipo de seguridad o el responsable técnico del proyecto, según se defina formalmente), y debe registrar, como mínimo, quién revisó el contenido y cuándo — nunca un marcador de posición ni una fecha ficticia. Antes de aprobar, quien revise debe confirmar que las acciones pedidas al cliente son seguras y realizables sin conocimiento técnico, que los puntos de decisión condicionales cubren las circunstancias reales que pueden presentarse sin dejar vacíos que obliguen a improvisar, que ninguna acción afirma una capacidad que el servicio no tiene hoy, y que las acciones sensibles están correctamente marcadas como necesitadas de revisión humana y de confirmación por un canal alterno al correo. Esta aprobación formal, para al menos los tipos de caso que se esperan activar en el piloto con los dos clientes de referencia, es un requisito explícito antes de poder avanzar a esa fase — sin ella, cualquier caso de esos tipos debe tratarse manualmente, caso por caso.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