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Reglas Técnicas de Wazuh — Kriptome MiniSOC</w:t>
      </w:r>
    </w:p>
    <w:p>
      <w:pPr>
        <w:pStyle w:val="Heading2"/>
      </w:pPr>
      <w:r>
        <w:rPr>
          <w:color w:val="1F3A5F"/>
        </w:rPr>
        <w:t>1. Introducción y principio de diseño</w:t>
      </w:r>
    </w:p>
    <w:p>
      <w:pPr>
        <w:spacing w:after="160"/>
        <w:jc w:val="both"/>
      </w:pPr>
      <w:r>
        <w:t xml:space="preserve">Wazuh, el motor de detección sobre el que se construye Kriptome MiniSOC, ya trae de fábrica un conjunto amplio de reglas oficiales que cubren la gran mayoría de los escenarios de detección estándar (intentos de acceso fallidos, cambios de integridad de archivos, vulnerabilidades detectadas, etc.). El paquete de reglas personalizadas de este proyecto no busca duplicar ese trabajo. El principio que guía su diseño, repetido en la cabecera del propio archivo de reglas, es: </w:t>
      </w:r>
      <w:r>
        <w:rPr>
          <w:b/>
        </w:rPr>
        <w:t>Wazuh detecta de forma amplia; la capa Kriptome agrupa esas detecciones en casos y decide cómo enrutarlas</w:t>
      </w:r>
      <w:r>
        <w:t>. Las reglas personalizadas cumplen exactamente tres funciones: rellenar huecos reales de detección que el ruleset oficial no cubre, corregir reglas personalizadas de un diseño anterior que estaban rotas y nunca habrían funcionado, y etiquetar los eventos con marcadores que permiten a la capa Kriptome enrutarlos de forma determinística sin depender únicamente del identificador numérico de la regla.</w:t>
      </w:r>
    </w:p>
    <w:p>
      <w:pPr>
        <w:spacing w:after="160"/>
        <w:jc w:val="both"/>
      </w:pPr>
      <w:r>
        <w:t xml:space="preserve">Todo el ruleset fue verificado línea por línea contra el código fuente oficial de Wazuh en su versión 4.14.6 — no se trata de suposiciones sobre cómo debería comportarse Wazuh, sino de una comparación directa contra el código real del motor. Dicho esto, es importante ser preciso: esa verificación confirma que las reglas están </w:t>
      </w:r>
      <w:r>
        <w:rPr>
          <w:b/>
        </w:rPr>
        <w:t>sintácticamente correctas y usan los campos correctos</w:t>
      </w:r>
      <w:r>
        <w:t>, pero ninguna de ellas se ha ejecutado todavía contra un servidor Wazuh real, así que su comportamiento efectivo en producción sigue sin comprobarse con evidencia real.</w:t>
      </w:r>
    </w:p>
    <w:p>
      <w:pPr>
        <w:pStyle w:val="Heading2"/>
      </w:pPr>
      <w:r>
        <w:rPr>
          <w:color w:val="1F3A5F"/>
        </w:rPr>
        <w:t>2. Las cinco reglas activas</w:t>
      </w:r>
    </w:p>
    <w:p>
      <w:pPr>
        <w:spacing w:after="160"/>
        <w:jc w:val="both"/>
      </w:pPr>
      <w:r>
        <w:t>El paquete carga cinco reglas personalizadas, identificadas con los números 100010 a 100013 y 100030.</w:t>
      </w:r>
    </w:p>
    <w:p>
      <w:pPr>
        <w:spacing w:after="160"/>
        <w:jc w:val="both"/>
      </w:pPr>
      <w:r>
        <w:rPr>
          <w:b/>
        </w:rPr>
        <w:t>Regla 100010 — Confirmación de fuerza bruta SSH.</w:t>
      </w:r>
      <w:r>
        <w:t xml:space="preserve"> Esta regla no detecta nada nuevo por sí misma: es una unificación. El ruleset oficial de Wazuh ya detecta fuerza bruta contra SSH mediante cuatro variantes distintas de reglas nativas (usuario inexistente, contraseña fallida con usuario válido, una variante genérica, y usuario denegado explícitamente). La regla 100010 toma esas cuatro variantes y las agrupa bajo un identificador propio y estable, con su propio marcador de enrutamiento, para que la capa Kriptome no tenga que conocer las cuatro reglas nativas por separado ni preocuparse de que cambien en futuras versiones de Wazuh. El diseño original que se corrigió aquí proponía anclar la regla a una sola variante nativa con un umbral más bajo, lo cual habría duplicado detección que Wazuh ya hace y además habría contado de menos en sistemas Linux modernos, donde esa variante específica casi nunca es la que efectivamente dispara.</w:t>
      </w:r>
    </w:p>
    <w:p>
      <w:pPr>
        <w:spacing w:after="160"/>
        <w:jc w:val="both"/>
      </w:pPr>
      <w:r>
        <w:rPr>
          <w:b/>
        </w:rPr>
        <w:t>Regla 100011 — Fuerza bruta contra una cuenta específica en Windows.</w:t>
      </w:r>
      <w:r>
        <w:t xml:space="preserve"> Esta sí rellena un hueco real: el ruleset oficial de Wazuh tiene una correlación nativa que agrupa múltiples fallos de inicio de sesión en Windows por dirección de origen (útil para detectar un ataque distribuido contra muchas cuentas), pero no existe una regla nativa equivalente que agrupe múltiples fallos contra la </w:t>
      </w:r>
      <w:r>
        <w:rPr>
          <w:b/>
        </w:rPr>
        <w:t>misma cuenta específica</w:t>
      </w:r>
      <w:r>
        <w:t>, sin importar desde cuántas direcciones distintas. La regla 100011 llena ese vacío. Aquí se identificó y corrigió un error real del diseño original: la propuesta inicial intentaba correlacionar por un campo genérico de "mismo usuario" que, verificado contra el código fuente, no existe con ese nombre en los eventos de Windows — de haberse desplegado tal cual, la regla simplemente nunca habría correlacionado nada. Se corrigió usando el campo real que Wazuh sí expone para el nombre de la cuenta objetivo en eventos de Windows.</w:t>
      </w:r>
    </w:p>
    <w:p>
      <w:pPr>
        <w:spacing w:after="160"/>
        <w:jc w:val="both"/>
      </w:pPr>
      <w:r>
        <w:rPr>
          <w:b/>
        </w:rPr>
        <w:t>Regla 100012 — Acceso SSH exitoso tras fuerza bruta.</w:t>
      </w:r>
      <w:r>
        <w:t xml:space="preserve"> Esta es la regla que detecta el cambio material más crítico del sistema en el mundo Linux/SSH: un inicio de sesión exitoso que llega justo después de una racha de intentos fallidos desde la misma dirección — la señal más clara posible de que una credencial pudo haberse visto comprometida. Aquí se corrigió un error de diseño que habría impedido que la regla cargara en absoluto: la versión original intentaba condicionar la regla a dos disparadores distintos simultáneamente, algo que el motor de reglas de Wazuh no permite — solo admite un disparador de ese tipo por regla. La forma corregida usa un único disparador (el evento actual es el inicio de sesión exitoso) combinado con la condición de que haya habido fuerza bruta reciente desde la misma dirección de origen, dentro de una ventana de diez minutos.</w:t>
      </w:r>
    </w:p>
    <w:p>
      <w:pPr>
        <w:spacing w:after="160"/>
        <w:jc w:val="both"/>
      </w:pPr>
      <w:r>
        <w:rPr>
          <w:b/>
        </w:rPr>
        <w:t>Regla 100013 — Acceso Windows exitoso tras fuerza bruta.</w:t>
      </w:r>
      <w:r>
        <w:t xml:space="preserve"> Es el equivalente de la regla anterior para el mundo Windows; no estaba contemplada en el diseño original pero se agregó porque Windows representa una parte sustancial del parque de una PyME típica y el mismo razonamiento de negocio aplica igual. Aquí es donde vive la limitación técnica más importante y mejor documentada de todo el ruleset: la correlación nativa de Wazuh que esta regla utiliza agrupa los intentos fallidos previos </w:t>
      </w:r>
      <w:r>
        <w:rPr>
          <w:b/>
        </w:rPr>
        <w:t>por dirección de origen</w:t>
      </w:r>
      <w:r>
        <w:t xml:space="preserve">, no por cuenta de usuario. Eso significa que la regla, por sí sola, confirma que hubo varios fallos y luego un éxito desde la misma dirección, pero </w:t>
      </w:r>
      <w:r>
        <w:rPr>
          <w:b/>
        </w:rPr>
        <w:t>no</w:t>
      </w:r>
      <w:r>
        <w:t xml:space="preserve"> demuestra que todos esos fallos hayan sido contra la misma cuenta que finalmente tuvo éxito — solo demuestra que vinieron del mismo lugar. Verificar esa coincidencia de cuenta es trabajo de la capa Kriptome, no de esta regla, y el propio ruleset documenta con precisión los cinco pasos que ese verificador futuro deberá seguir. Deliberadamente no se creó una regla XML nueva que correlacionara por dirección y cuenta a la vez, porque eso requeriría antes probarla contra un servidor Wazuh real, y esa prueba no se ha hecho.</w:t>
      </w:r>
    </w:p>
    <w:p>
      <w:pPr>
        <w:spacing w:after="160"/>
        <w:jc w:val="both"/>
      </w:pPr>
      <w:r>
        <w:rPr>
          <w:b/>
        </w:rPr>
        <w:t>Regla 100030 — Lista blanca global de integridad de archivos.</w:t>
      </w:r>
      <w:r>
        <w:t xml:space="preserve"> A diferencia de las cuatro anteriores, esta regla no abre casos: silencia ruido. Existen rutas de archivo que generan alertas de cambio de integridad en absolutamente todos los clientes por igual —por ejemplo, un archivo de latidos ("heartbeat") propio de la infraestructura de Kriptome— y no tiene sentido que ese ruido universal llegue a abrir un caso en ningún cliente. La regla consulta una lista externa de rutas conocidas (en lugar de tener las rutas escritas directamente en el código de la regla), de forma que el equipo de operaciones pueda añadir rutas nuevas sin tocar el archivo de reglas. Aquí el proyecto documenta con mucho cuidado una limitación de alcance que fue objeto de una corrección real: esta lista es </w:t>
      </w:r>
      <w:r>
        <w:rPr>
          <w:b/>
        </w:rPr>
        <w:t>global al servidor Wazuh</w:t>
      </w:r>
      <w:r>
        <w:t>, que en la arquitectura de Kriptome puede atender a varios clientes a la vez, así que solo puede contener ruido que sea universal para absolutamente todos los clientes atendidos por ese servidor — nunca una excepción que solo aplique a un cliente específico, porque eso silenciaría esa misma ruta también para los demás clientes que comparten el servidor, incluso si en ellos esa ruta sí fuera sospechosa. Las excepciones específicas de un cliente deben vivir en otro nivel: la configuración propia del grupo de ese cliente, o una futura política de falsos positivos de la aplicación de negocio — nunca en esta lista compartida.</w:t>
      </w:r>
    </w:p>
    <w:p>
      <w:pPr>
        <w:pStyle w:val="Heading2"/>
      </w:pPr>
      <w:r>
        <w:rPr>
          <w:color w:val="1F3A5F"/>
        </w:rPr>
        <w:t>3. La regla descartada a propósito: 100040</w:t>
      </w:r>
    </w:p>
    <w:p>
      <w:pPr>
        <w:spacing w:after="160"/>
        <w:jc w:val="both"/>
      </w:pPr>
      <w:r>
        <w:t xml:space="preserve">Existió una sexta regla, identificada como 100040, diseñada para detectar cuándo una vulnerabilidad reportada por Wazuh coincide con el catálogo de vulnerabilidades bajo explotación activa conocida que mantiene la agencia estadounidense CISA (conocido por sus siglas en inglés, KEV). Esta regla no está cargada en producción, y la decisión de no cargarla no es un defecto técnico: su sintaxis y sus campos fueron verificados como correctos contra el código fuente de Wazuh. Es una </w:t>
      </w:r>
      <w:r>
        <w:rPr>
          <w:b/>
        </w:rPr>
        <w:t>decisión de arquitectura tomada deliberadamente en su contra</w:t>
      </w:r>
      <w:r>
        <w:t>.</w:t>
      </w:r>
    </w:p>
    <w:p>
      <w:pPr>
        <w:spacing w:after="160"/>
        <w:jc w:val="both"/>
      </w:pPr>
      <w:r>
        <w:t>La razón es doble. Primero, la fuente de verdad para saber si una vulnerabilidad está en el catálogo CISA se decidió que viviera como un enriquecimiento de datos dentro de la aplicación de negocio (consultando el catálogo real solo cuando Wazuh ya entregó un identificador de vulnerabilidad válido), no como una segunda regla independiente de Wazuh — activar ambos mecanismos en paralelo habría abierto dos casos distintos para el mismo hallazgo, contradiciendo la regla de que una vulnerabilidad y su eventual escalamiento a explotación conocida deben ser siempre el mismo caso. Segundo, la lista que esta regla necesitaría consultar dentro de Wazuh contiene hoy solamente tres identificadores de vulnerabilidad fijos, puestos como ejemplo de prueba — no es una conexión real y actualizada al catálogo público de CISA, que en realidad contiene del orden de mil seiscientas entradas y cambia constantemente. El archivo de esta regla se conserva únicamente como referencia histórica de la corrección técnica que se le aplicó en su momento, no como una pieza pendiente de activar en el futuro.</w:t>
      </w:r>
    </w:p>
    <w:p>
      <w:pPr>
        <w:pStyle w:val="Heading2"/>
      </w:pPr>
      <w:r>
        <w:rPr>
          <w:color w:val="1F3A5F"/>
        </w:rPr>
        <w:t>4. La corrección del archivo de configuración del servidor</w:t>
      </w:r>
    </w:p>
    <w:p>
      <w:pPr>
        <w:spacing w:after="160"/>
        <w:jc w:val="both"/>
      </w:pPr>
      <w:r>
        <w:t>El fragmento de configuración que se copia al archivo principal del servidor Wazuh (</w:t>
      </w:r>
      <w:r>
        <w:rPr>
          <w:rFonts w:ascii="Consolas" w:hAnsi="Consolas"/>
          <w:color w:val="A62C2C"/>
          <w:sz w:val="19"/>
        </w:rPr>
        <w:t>ossec.conf</w:t>
      </w:r>
      <w:r>
        <w:t>) fue diseñado para conservar exactamente todo lo que trae la configuración por defecto de Wazuh 4.14.6 y añadirle únicamente lo necesario para Kriptome — incluyendo una exclusión de reglas heredadas que ya viene activa por defecto en cualquier instalación oficial, y que se debe preservar para no generar ruido innecesario, además de las listas de referencia estándar que Wazuh necesita para arrancar correctamente (si se retira una de esas listas sin retirar también las reglas que la usan, el motor de análisis del servidor directamente no arranca).</w:t>
      </w:r>
    </w:p>
    <w:p>
      <w:pPr>
        <w:spacing w:after="160"/>
        <w:jc w:val="both"/>
      </w:pPr>
      <w:r>
        <w:t xml:space="preserve">La corrección más importante y más reciente de este archivo tiene que ver con un conjunto de exclusiones de tecnología —Amazon Web Services, Google Cloud, Microsoft Azure, Docker, Microsoft 365 y GitHub— que en una versión anterior del archivo estaban </w:t>
      </w:r>
      <w:r>
        <w:rPr>
          <w:b/>
        </w:rPr>
        <w:t>activas por defecto</w:t>
      </w:r>
      <w:r>
        <w:t xml:space="preserve">, a pesar de que el propio comentario del archivo las describía como "solo un ejemplo de sintaxis". El problema real es que el archivo de configuración del servidor es </w:t>
      </w:r>
      <w:r>
        <w:rPr>
          <w:b/>
        </w:rPr>
        <w:t>global</w:t>
      </w:r>
      <w:r>
        <w:t xml:space="preserve">: en la arquitectura de Kriptome, un mismo servidor puede atender a varios clientes a la vez, así que una exclusión pensada "porque este cliente no usa AWS" desactivaría la detección de AWS para </w:t>
      </w:r>
      <w:r>
        <w:rPr>
          <w:b/>
        </w:rPr>
        <w:t>todos</w:t>
      </w:r>
      <w:r>
        <w:t xml:space="preserve"> los clientes de ese servidor, incluidos los que sí la usan. Si un operador hubiera seguido la instrucción literal de "reemplazar el bloque de configuración por este" sin leer las más de cincuenta líneas de advertencia que preceden a esas siete líneas, habría desactivado por accidente la detección de seis tecnologías distintas para todo el parque de clientes. La corrección aplicada fue simple pero importante: esas siete líneas ahora están comentadas (inactivas) por defecto, y el operador debe decidir explícitamente, tecnología por tecnología, cuáles excluir, solo después de confirmar que absolutamente ningún cliente atendido por ese servidor usa esa tecnología.</w:t>
      </w:r>
    </w:p>
    <w:p>
      <w:pPr>
        <w:spacing w:after="160"/>
        <w:jc w:val="both"/>
      </w:pPr>
      <w:r>
        <w:t>Para personalización específica de un cliente individual —que es distinta de una exclusión de todo el parque— el diseño ofrece cuatro alternativas correctas: activar o desactivar módulos de recolección a nivel del grupo de configuración de ese cliente (no del archivo global del servidor); filtrar el enrutamiento en la capa de negocio de Kriptome, de forma que una regla siga disparando en Wazuh pero el sistema decida no abrir un caso ni notificar para ese cliente en particular si esa tecnología no aplica a su contrato; configurar una integración específica por agente; o, si el diseño futuro de la aplicación llegara a soportarlo, una política explícita por cliente.</w:t>
      </w:r>
    </w:p>
    <w:p>
      <w:pPr>
        <w:pStyle w:val="Heading2"/>
      </w:pPr>
      <w:r>
        <w:rPr>
          <w:color w:val="1F3A5F"/>
        </w:rPr>
        <w:t>5. El riesgo de correlación entre clientes en fuentes compartidas</w:t>
      </w:r>
    </w:p>
    <w:p>
      <w:pPr>
        <w:spacing w:after="160"/>
        <w:jc w:val="both"/>
      </w:pPr>
      <w:r>
        <w:t xml:space="preserve">El proyecto documenta con precisión un riesgo real y todavía sin resolver del todo: bajo qué condiciones los eventos de dos clientes distintos podrían mezclarse dentro del conteo de una misma correlación de Wazuh. La aclaración importante, verificada directamente contra el código fuente del motor de análisis, es que el comportamiento por defecto de las correlaciones por frecuencia y ventana de tiempo en Wazuh cuenta eventos </w:t>
      </w:r>
      <w:r>
        <w:rPr>
          <w:b/>
        </w:rPr>
        <w:t>del mismo agente técnico</w:t>
      </w:r>
      <w:r>
        <w:t xml:space="preserve"> que originó el primer evento de la secuencia — no mezcla automáticamente eventos de agentes distintos, a menos que la regla use explícitamente una opción de alcance global, y ninguna de las cinco reglas personalizadas de este proyecto la usa.</w:t>
      </w:r>
    </w:p>
    <w:p>
      <w:pPr>
        <w:spacing w:after="160"/>
        <w:jc w:val="both"/>
      </w:pPr>
      <w:r>
        <w:t xml:space="preserve">Esto significa que el riesgo real </w:t>
      </w:r>
      <w:r>
        <w:rPr>
          <w:b/>
        </w:rPr>
        <w:t>no</w:t>
      </w:r>
      <w:r>
        <w:t xml:space="preserve"> es que "todo el servidor se mezcle siempre" — es mucho más específico. Dos clientes con agentes normales, cada uno con su propio identificador técnico, no deben asumirse mezclados. El riesgo real vive en las </w:t>
      </w:r>
      <w:r>
        <w:rPr>
          <w:b/>
        </w:rPr>
        <w:t>fuentes compartidas</w:t>
      </w:r>
      <w:r>
        <w:t xml:space="preserve">: un canal de registro centralizado sin agente propio, una integración sin agente (por ejemplo, ciertos servicios en la nube), o un recolector por sede que reenvía eventos de varios sistemas bajo un único identificador de agente. En esos casos sí puede existir un conteo compartido entre lo que, en la capa de negocio, son clientes distintos, porque desde la perspectiva de Wazuh es exactamente el mismo agente. Es importante aclarar que este riesgo afecta únicamente al </w:t>
      </w:r>
      <w:r>
        <w:rPr>
          <w:b/>
        </w:rPr>
        <w:t>conteo o disparo</w:t>
      </w:r>
      <w:r>
        <w:t xml:space="preserve"> de la correlación técnica — la atribución final de a qué cliente pertenece el caso resultante nunca se ve afectada, porque esa atribución se resuelve de forma independiente y verificada en una etapa posterior del flujo, descrita en el documento de flujo del sistema.</w:t>
      </w:r>
    </w:p>
    <w:p>
      <w:pPr>
        <w:spacing w:after="160"/>
        <w:jc w:val="both"/>
      </w:pPr>
      <w:r>
        <w:t xml:space="preserve">Antes de dar por segura la separación de cualquier fuente compartida entre clientes, el proyecto exige una </w:t>
      </w:r>
      <w:r>
        <w:rPr>
          <w:b/>
        </w:rPr>
        <w:t>prueba obligatoria con datos reales</w:t>
      </w:r>
      <w:r>
        <w:t xml:space="preserve"> que confirme que los eventos de dos clientes que pasan por esa fuente compartida no disparan una correlación combinada — nunca se asume por diseño sin verificarlo. Si esa prueba llegara a detectar mezcla real, la mitigación documentada consiste en añadir una condición adicional a las reglas afectadas exigiendo que coincida también el código de cliente, pero esa mitigación no se aplica de forma preventiva: requiere primero confirmar, contra un servidor real, que ese dato está disponible en el momento exacto en que la regla se evalúa.</w:t>
      </w:r>
    </w:p>
    <w:p>
      <w:pPr>
        <w:pStyle w:val="Heading2"/>
      </w:pPr>
      <w:r>
        <w:rPr>
          <w:color w:val="1F3A5F"/>
        </w:rPr>
        <w:t>6. Tabla resumen de las familias del ruleset</w:t>
      </w:r>
    </w:p>
    <w:p>
      <w:pPr>
        <w:spacing w:after="160"/>
        <w:jc w:val="both"/>
      </w:pPr>
      <w:r>
        <w:t>El proyecto organiza el conjunto completo de reglas relevantes —nativas de Wazuh y personalizadas de Kriptome— en una matriz de enrutamiento que agrupa las detecciones en familias según su origen técnico. Esa matriz existe en dos formas: una versión histórica mantenida a mano, con el detalle más fino por cada regla individual (umbrales, ventanas de correlación, notas de ajuste), que sigue siendo la referencia completa para auditoría regla por regla; y una versión generada automáticamente a partir de las políticas de tipos de caso descritas en el documento de reglas de negocio, que sirve para verificar consistencia (por ejemplo, si el identificador de agrupación que declara una política coincide con lo esperado) pero que nunca se edita a mano — se regenera cada vez que cambia una política, y un proceso automático confirma que ambas versiones no se hayan desincronizado.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sz w:val="20"/>
              </w:rPr>
            </w:r>
            <w:r>
              <w:rPr>
                <w:b/>
                <w:color w:val="FFFFFF"/>
                <w:sz w:val="20"/>
              </w:rPr>
              <w:t>Familia</w:t>
            </w:r>
          </w:p>
        </w:tc>
        <w:tc>
          <w:tcPr>
            <w:tcW w:type="dxa" w:w="3135"/>
            <w:shd w:val="clear" w:color="auto" w:fill="1F3A5F"/>
          </w:tcPr>
          <w:p>
            <w:r>
              <w:rPr>
                <w:b/>
                <w:color w:val="FFFFFF"/>
                <w:sz w:val="20"/>
              </w:rPr>
            </w:r>
            <w:r>
              <w:rPr>
                <w:b/>
                <w:color w:val="FFFFFF"/>
                <w:sz w:val="20"/>
              </w:rPr>
              <w:t>Qué cubre</w:t>
            </w:r>
          </w:p>
        </w:tc>
        <w:tc>
          <w:tcPr>
            <w:tcW w:type="dxa" w:w="3135"/>
            <w:shd w:val="clear" w:color="auto" w:fill="1F3A5F"/>
          </w:tcPr>
          <w:p>
            <w:r>
              <w:rPr>
                <w:b/>
                <w:color w:val="FFFFFF"/>
                <w:sz w:val="20"/>
              </w:rPr>
            </w:r>
            <w:r>
              <w:rPr>
                <w:b/>
                <w:color w:val="FFFFFF"/>
                <w:sz w:val="20"/>
              </w:rPr>
              <w:t>Estado de validación</w:t>
            </w:r>
          </w:p>
        </w:tc>
      </w:tr>
      <w:tr>
        <w:tc>
          <w:tcPr>
            <w:tcW w:type="dxa" w:w="3135"/>
          </w:tcPr>
          <w:p>
            <w:r>
              <w:rPr>
                <w:sz w:val="20"/>
              </w:rPr>
            </w:r>
            <w:r>
              <w:rPr>
                <w:sz w:val="20"/>
              </w:rPr>
              <w:t>SSH / Linux</w:t>
            </w:r>
          </w:p>
        </w:tc>
        <w:tc>
          <w:tcPr>
            <w:tcW w:type="dxa" w:w="3135"/>
          </w:tcPr>
          <w:p>
            <w:r>
              <w:rPr>
                <w:sz w:val="20"/>
              </w:rPr>
            </w:r>
            <w:r>
              <w:rPr>
                <w:sz w:val="20"/>
              </w:rPr>
              <w:t>Fuerza bruta y acceso exitoso posterior, vía reglas 100010 y 100012</w:t>
            </w:r>
          </w:p>
        </w:tc>
        <w:tc>
          <w:tcPr>
            <w:tcW w:type="dxa" w:w="3135"/>
          </w:tcPr>
          <w:p>
            <w:r>
              <w:rPr>
                <w:sz w:val="20"/>
              </w:rPr>
            </w:r>
            <w:r>
              <w:rPr>
                <w:sz w:val="20"/>
              </w:rPr>
              <w:t>Verificado contra el código fuente de Wazuh; sin prueba contra un servidor real</w:t>
            </w:r>
          </w:p>
        </w:tc>
      </w:tr>
      <w:tr>
        <w:tc>
          <w:tcPr>
            <w:tcW w:type="dxa" w:w="3135"/>
          </w:tcPr>
          <w:p>
            <w:r>
              <w:rPr>
                <w:sz w:val="20"/>
              </w:rPr>
            </w:r>
            <w:r>
              <w:rPr>
                <w:sz w:val="20"/>
              </w:rPr>
              <w:t>Windows (autenticación)</w:t>
            </w:r>
          </w:p>
        </w:tc>
        <w:tc>
          <w:tcPr>
            <w:tcW w:type="dxa" w:w="3135"/>
          </w:tcPr>
          <w:p>
            <w:r>
              <w:rPr>
                <w:sz w:val="20"/>
              </w:rPr>
            </w:r>
            <w:r>
              <w:rPr>
                <w:sz w:val="20"/>
              </w:rPr>
              <w:t>Fuerza bruta contra cuenta específica y por dirección, y acceso exitoso posterior, vía reglas 100011 y 100013</w:t>
            </w:r>
          </w:p>
        </w:tc>
        <w:tc>
          <w:tcPr>
            <w:tcW w:type="dxa" w:w="3135"/>
          </w:tcPr>
          <w:p>
            <w:r>
              <w:rPr>
                <w:sz w:val="20"/>
              </w:rPr>
            </w:r>
            <w:r>
              <w:rPr>
                <w:sz w:val="20"/>
              </w:rPr>
              <w:t>Verificado contra el código fuente; la limitación de 100013 (correlación por dirección, no por cuenta) está documentada y pendiente de resolución en la capa de negocio</w:t>
            </w:r>
          </w:p>
        </w:tc>
      </w:tr>
      <w:tr>
        <w:tc>
          <w:tcPr>
            <w:tcW w:type="dxa" w:w="3135"/>
          </w:tcPr>
          <w:p>
            <w:r>
              <w:rPr>
                <w:sz w:val="20"/>
              </w:rPr>
            </w:r>
            <w:r>
              <w:rPr>
                <w:sz w:val="20"/>
              </w:rPr>
              <w:t>Integridad de archivos (FIM)</w:t>
            </w:r>
          </w:p>
        </w:tc>
        <w:tc>
          <w:tcPr>
            <w:tcW w:type="dxa" w:w="3135"/>
          </w:tcPr>
          <w:p>
            <w:r>
              <w:rPr>
                <w:sz w:val="20"/>
              </w:rPr>
            </w:r>
            <w:r>
              <w:rPr>
                <w:sz w:val="20"/>
              </w:rPr>
              <w:t>Cambios, borrados y creaciones en rutas sensibles; lista blanca global vía regla 100030</w:t>
            </w:r>
          </w:p>
        </w:tc>
        <w:tc>
          <w:tcPr>
            <w:tcW w:type="dxa" w:w="3135"/>
          </w:tcPr>
          <w:p>
            <w:r>
              <w:rPr>
                <w:sz w:val="20"/>
              </w:rPr>
            </w:r>
            <w:r>
              <w:rPr>
                <w:sz w:val="20"/>
              </w:rPr>
              <w:t>Verificado contra el código fuente; la lista blanca requiere que el equipo de operaciones la mantenga poblada solo con ruido universal</w:t>
            </w:r>
          </w:p>
        </w:tc>
      </w:tr>
      <w:tr>
        <w:tc>
          <w:tcPr>
            <w:tcW w:type="dxa" w:w="3135"/>
          </w:tcPr>
          <w:p>
            <w:r>
              <w:rPr>
                <w:sz w:val="20"/>
              </w:rPr>
            </w:r>
            <w:r>
              <w:rPr>
                <w:sz w:val="20"/>
              </w:rPr>
              <w:t>Malware / antivirus</w:t>
            </w:r>
          </w:p>
        </w:tc>
        <w:tc>
          <w:tcPr>
            <w:tcW w:type="dxa" w:w="3135"/>
          </w:tcPr>
          <w:p>
            <w:r>
              <w:rPr>
                <w:sz w:val="20"/>
              </w:rPr>
            </w:r>
            <w:r>
              <w:rPr>
                <w:sz w:val="20"/>
              </w:rPr>
              <w:t>Coincidencia con hash conocido y detecciones de reputación de archivos, usando reglas nativas de Wazuh sin modificar</w:t>
            </w:r>
          </w:p>
        </w:tc>
        <w:tc>
          <w:tcPr>
            <w:tcW w:type="dxa" w:w="3135"/>
          </w:tcPr>
          <w:p>
            <w:r>
              <w:rPr>
                <w:sz w:val="20"/>
              </w:rPr>
            </w:r>
            <w:r>
              <w:rPr>
                <w:sz w:val="20"/>
              </w:rPr>
              <w:t>Reglas nativas, verificadas por referencia cruzada documental, no por revisión línea por línea del código</w:t>
            </w:r>
          </w:p>
        </w:tc>
      </w:tr>
      <w:tr>
        <w:tc>
          <w:tcPr>
            <w:tcW w:type="dxa" w:w="3135"/>
          </w:tcPr>
          <w:p>
            <w:r>
              <w:rPr>
                <w:sz w:val="20"/>
              </w:rPr>
            </w:r>
            <w:r>
              <w:rPr>
                <w:sz w:val="20"/>
              </w:rPr>
              <w:t>Vulnerabilidades</w:t>
            </w:r>
          </w:p>
        </w:tc>
        <w:tc>
          <w:tcPr>
            <w:tcW w:type="dxa" w:w="3135"/>
          </w:tcPr>
          <w:p>
            <w:r>
              <w:rPr>
                <w:sz w:val="20"/>
              </w:rPr>
            </w:r>
            <w:r>
              <w:rPr>
                <w:sz w:val="20"/>
              </w:rPr>
              <w:t>Detección de CVEs por el motor nativo de vulnerabilidades de Wazuh, con enriquecimiento posterior contra el catálogo CISA en la capa de negocio (regla 100040 descartada, ver sección 3)</w:t>
            </w:r>
          </w:p>
        </w:tc>
        <w:tc>
          <w:tcPr>
            <w:tcW w:type="dxa" w:w="3135"/>
          </w:tcPr>
          <w:p>
            <w:r>
              <w:rPr>
                <w:sz w:val="20"/>
              </w:rPr>
            </w:r>
            <w:r>
              <w:rPr>
                <w:sz w:val="20"/>
              </w:rPr>
              <w:t>Reglas nativas verificadas contra el código fuente; el enriquecimiento CISA depende de una integración externa todavía no construida</w:t>
            </w:r>
          </w:p>
        </w:tc>
      </w:tr>
    </w:tbl>
    <w:p>
      <w:pPr>
        <w:spacing w:after="160"/>
      </w:pPr>
    </w:p>
    <w:p>
      <w:pPr>
        <w:spacing w:after="160"/>
        <w:jc w:val="both"/>
      </w:pPr>
      <w:r>
        <w:t>En conjunto, estas cinco familias son la base técnica de detección sobre la que se apoyan los cinco tipos de caso de negocio descritos en el documento de reglas de negocio — cada regla o familia de reglas alimenta, a través del enrutamiento determinístico, exactamente uno de esos tipos de caso, nunca decide por su cuenta la prioridad ni el contenido de la comunicación final al cliente.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