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Guía de Despliegue e Implementación — Kriptome MiniSOC</w:t>
      </w:r>
    </w:p>
    <w:p>
      <w:pPr>
        <w:pStyle w:val="Heading2"/>
      </w:pPr>
      <w:r>
        <w:rPr>
          <w:color w:val="1F3A5F"/>
        </w:rPr>
        <w:t>1. Propósito de este documento</w:t>
      </w:r>
    </w:p>
    <w:p>
      <w:pPr>
        <w:spacing w:after="160"/>
        <w:jc w:val="both"/>
      </w:pPr>
      <w:r>
        <w:t>Este documento es la hoja de ruta general para pasar de este proyecto —contratos, reglas y diseño— a un sistema funcionando de verdad. No reproduce cada comando técnico paso a paso (eso vive en los procedimientos operativos detallados, llamados "runbooks", que forman parte del proyecto); en su lugar, explica el orden completo de trabajo, el objetivo de cada etapa, y qué procedimiento detallado la cubre. También resume cómo se garantiza, capa por capa, que los datos de un cliente nunca se mezclan con los de otro, qué debe entregar el equipo que construya la aplicación completa, y qué riesgos de seguridad se consideraron y siguen abiertos.</w:t>
      </w:r>
    </w:p>
    <w:p>
      <w:pPr>
        <w:pStyle w:val="Heading2"/>
      </w:pPr>
      <w:r>
        <w:rPr>
          <w:color w:val="1F3A5F"/>
        </w:rPr>
        <w:t>2. El orden completo de trabajo</w:t>
      </w:r>
    </w:p>
    <w:p>
      <w:pPr>
        <w:spacing w:after="160"/>
        <w:jc w:val="both"/>
      </w:pPr>
      <w:r>
        <w:t>El camino desde este proyecto hasta un sistema operando con clientes reales tiene ocho pasos secuenciales.</w:t>
      </w:r>
    </w:p>
    <w:p>
      <w:pPr>
        <w:spacing w:after="160"/>
        <w:jc w:val="both"/>
      </w:pPr>
      <w:r>
        <w:rPr>
          <w:b/>
        </w:rPr>
        <w:t>Paso uno: desplegar Wazuh.</w:t>
      </w:r>
      <w:r>
        <w:t xml:space="preserve"> El objetivo es tener el servidor Wazuh, su almacén de eventos (Indexer) y su panel interno corriendo, con el paquete de reglas personalizadas de Kriptome cargado sin errores. El procedimiento detallado que cubre este paso exige, antes que nada, un respaldo completo de la configuración existente —para poder revertir cualquier cambio si algo falla—, luego la instalación de los tres componentes oficiales de Wazuh, y finalmente la copia de las reglas, decodificadores y listas personalizadas de este proyecto, verificando con la propia herramienta de comprobación de sintaxis del servidor que todo carga sin errores antes de reiniciar el servicio.</w:t>
      </w:r>
    </w:p>
    <w:p>
      <w:pPr>
        <w:spacing w:after="160"/>
        <w:jc w:val="both"/>
      </w:pPr>
      <w:r>
        <w:rPr>
          <w:b/>
        </w:rPr>
        <w:t>Paso dos: instalar agentes.</w:t>
      </w:r>
      <w:r>
        <w:t xml:space="preserve"> El objetivo es tener el software liviano de Wazuh corriendo en los equipos que se van a monitorear, correctamente enrolados al servidor y asignados al grupo correcto de su cliente. El procedimiento detallado abre una ventana de tiempo acotada para permitir el registro de agentes nuevos (nunca la deja abierta de forma permanente, por principio de exposición mínima), instala el paquete correspondiente al sistema operativo de cada equipo, y verifica en el servidor que el agente aparece activo y en el grupo correcto antes de cerrar de nuevo esa ventana.</w:t>
      </w:r>
    </w:p>
    <w:p>
      <w:pPr>
        <w:spacing w:after="160"/>
        <w:jc w:val="both"/>
      </w:pPr>
      <w:r>
        <w:rPr>
          <w:b/>
        </w:rPr>
        <w:t>Paso tres: dar de alta un cliente.</w:t>
      </w:r>
      <w:r>
        <w:t xml:space="preserve"> El objetivo es que todo agente de un cliente reporte con el código operativo correcto. El procedimiento crea un grupo dedicado en el servidor Wazuh para ese cliente, y configura el archivo de ese grupo para que todo agente asignado a él reporte automáticamente su código de cliente correcto en cada evento. Es importante notar que este paso cubre únicamente el nivel de configuración de Wazuh — el registro de negocio completo del cliente (contactos, plan de servicio, inventario formal de activos) solo puede completarse cuando exista la aplicación de negocio, que hoy no está construida.</w:t>
      </w:r>
    </w:p>
    <w:p>
      <w:pPr>
        <w:spacing w:after="160"/>
        <w:jc w:val="both"/>
      </w:pPr>
      <w:r>
        <w:rPr>
          <w:b/>
        </w:rPr>
        <w:t>Paso cuatro: verificar aislamiento entre clientes.</w:t>
      </w:r>
      <w:r>
        <w:t xml:space="preserve"> El objetivo es demostrar, con evidencia real y no solo con la expectativa de que "debería funcionar", que un cliente nunca puede ver los datos de otro. El procedimiento crea roles de acceso con seguridad a nivel de documento en el almacén de eventos, uno por cliente, cada uno restringido a ver únicamente los eventos etiquetados con el código de ese cliente específico. Luego crea usuarios de prueba mapeados a esos roles y ejecuta una prueba de búsqueda cruzada deliberada: un usuario restringido a un cliente intenta consultar explícitamente los datos del otro, y el resultado esperado es cero resultados devueltos — si la consulta devuelve algo, la prueba falla y se corrige la configuración de seguridad, nunca se ajusta la consulta para "hacerla pasar".</w:t>
      </w:r>
    </w:p>
    <w:p>
      <w:pPr>
        <w:spacing w:after="160"/>
        <w:jc w:val="both"/>
      </w:pPr>
      <w:r>
        <w:rPr>
          <w:b/>
        </w:rPr>
        <w:t>Paso cinco: configurar el panel interno.</w:t>
      </w:r>
      <w:r>
        <w:t xml:space="preserve"> El objetivo es que el panel de Wazuh sea accesible únicamente por personal de Kriptome, nunca por un cliente, y que cada operador vea solo los clientes para los que tiene autorización. El procedimiento restringe el acceso de red al panel exclusivamente a una red privada administrativa, crea roles de operador mapeados a los mismos roles de aislamiento del paso anterior, y termina con una verificación explícita —no solo técnica, sino de proceso— de que ningún usuario del panel corresponde a un contacto de cliente.</w:t>
      </w:r>
    </w:p>
    <w:p>
      <w:pPr>
        <w:spacing w:after="160"/>
        <w:jc w:val="both"/>
      </w:pPr>
      <w:r>
        <w:rPr>
          <w:b/>
        </w:rPr>
        <w:t>Paso seis: recibir la aplicación del otro equipo.</w:t>
      </w:r>
      <w:r>
        <w:t xml:space="preserve"> El objetivo es confirmar que el equipo responsable de construir la aplicación completa —el motor de casos, la base de datos, la lógica de negocio— entregó la información mínima necesaria para integrarla: qué tecnología usa, cómo se despliega, qué credenciales necesita, cómo se verifica que está funcionando, y cómo se revierte una actualización si algo sale mal. Este paso es puramente de validación documental: se revisa que cada campo de la información requerida tenga un valor real, nunca se avanza con campos pendientes "para no bloquear", especialmente los que tienen que ver con gestión de credenciales y verificación de salud del sistema.</w:t>
      </w:r>
    </w:p>
    <w:p>
      <w:pPr>
        <w:spacing w:after="160"/>
        <w:jc w:val="both"/>
      </w:pPr>
      <w:r>
        <w:rPr>
          <w:b/>
        </w:rPr>
        <w:t>Paso siete: integrar.</w:t>
      </w:r>
      <w:r>
        <w:t xml:space="preserve"> El objetivo es que la aplicación entregada pueda leer del almacén de eventos de Wazuh de forma segura y sin escritura. El procedimiento crea un rol de acceso de solo lectura, sin ningún filtro por cliente —a diferencia de los roles del paso cuatro— porque este es precisamente el único componente autorizado a leer eventos antes de que se sepa a qué cliente pertenecen: su función es justamente resolverlo. Luego habilita conectividad de red privada entre la aplicación y el almacén de eventos, sin exponerlo nunca a internet, despliega la aplicación con esas credenciales restringidas, y finalmente ejecuta las pruebas de integración formales del proyecto.</w:t>
      </w:r>
    </w:p>
    <w:p>
      <w:pPr>
        <w:spacing w:after="160"/>
        <w:jc w:val="both"/>
      </w:pPr>
      <w:r>
        <w:rPr>
          <w:b/>
        </w:rPr>
        <w:t>Paso ocho: probar con el piloto de dos clientes de referencia.</w:t>
      </w:r>
      <w:r>
        <w:t xml:space="preserve"> El objetivo es validar el sistema completo con dos clientes deliberadamente distintos en su perfil de riesgo: un entorno residencial (la casa de un directivo) y una pequeña empresa todavía por identificar comercialmente. El plan de este piloto distingue con mucho cuidado dos niveles que no deben confundirse: el nivel del sistema de detección, que puede probarse hoy usando exclusivamente el código de cliente como evidencia observable en Wazuh, y el nivel de la aplicación de negocio futura, donde recién aparecerá un identificador interno de cliente resuelto y verificado — ese segundo nivel solo puede probarse cuando la aplicación exista. El plan define también cinco criterios de aprobación obligatorios antes de avanzar a una fase de observación paralela sin envío real de comunicaciones: ambos agentes deben aparecer activos con el grupo correcto, el código de cliente debe estar presente en el cien por ciento de los eventos indexados, cero documentos de un cliente deben ser visibles desde un rol restringido al otro, la configuración de reglas debe cargar sin errores, y las reglas personalizadas deben dispararse correctamente contra los datos de prueba del proyecto.</w:t>
      </w:r>
    </w:p>
    <w:p>
      <w:pPr>
        <w:pStyle w:val="Heading2"/>
      </w:pPr>
      <w:r>
        <w:rPr>
          <w:color w:val="1F3A5F"/>
        </w:rPr>
        <w:t>3. Cómo se garantiza el aislamiento entre clientes, capa por capa</w:t>
      </w:r>
    </w:p>
    <w:p>
      <w:pPr>
        <w:spacing w:after="160"/>
        <w:jc w:val="both"/>
      </w:pPr>
      <w:r>
        <w:t>El aislamiento entre los datos de distintos clientes no depende de un único mecanismo, sino de varias capas independientes que se refuerzan entre sí, cada una resolviendo un riesgo distinto.</w:t>
      </w:r>
    </w:p>
    <w:p>
      <w:pPr>
        <w:spacing w:after="160"/>
        <w:jc w:val="both"/>
      </w:pPr>
      <w:r>
        <w:t xml:space="preserve">En la </w:t>
      </w:r>
      <w:r>
        <w:rPr>
          <w:b/>
        </w:rPr>
        <w:t>capa del almacén de eventos</w:t>
      </w:r>
      <w:r>
        <w:t xml:space="preserve"> (el Indexer de Wazuh), el aislamiento se implementa con seguridad a nivel de documento: cada rol de acceso lleva incorporado un filtro obligatorio por código de cliente que el propio motor de búsqueda aplica, incluso si la consulta pidiera explícitamente ver datos de otro cliente. Existe además una distinción deliberada entre dos tipos de acceso: el servicio interno de ingesta, que sí puede leer eventos sin ningún filtro de cliente porque su función es precisamente descubrir a quién pertenecen, y todas las demás consultas —de un operador, de un informe, de cualquier otro componente—, que siempre están obligatoriamente restringidas a un cliente específico, sin que el propio código de la aplicación pueda decidir "consultar todos los clientes a la vez" salvo en ese único componente de ingesta.</w:t>
      </w:r>
    </w:p>
    <w:p>
      <w:pPr>
        <w:spacing w:after="160"/>
        <w:jc w:val="both"/>
      </w:pPr>
      <w:r>
        <w:t xml:space="preserve">En la futura </w:t>
      </w:r>
      <w:r>
        <w:rPr>
          <w:b/>
        </w:rPr>
        <w:t>capa de base de datos</w:t>
      </w:r>
      <w:r>
        <w:t xml:space="preserve"> del motor de casos, el diseño exige seguridad a nivel de fila directamente en el motor de base de datos —no solo como una disciplina de que cada consulta del código de la aplicación recuerde incluir el filtro correcto—. La razón de fondo es que confiar únicamente en que cada desarrollador recuerde escribir el filtro correcto en cada consulta es un control que falla en silencio: basta una consulta mal escrita, un reporte generado con lógica personalizada, o un desarrollador nuevo que no conoce la regla, para que datos de un cliente se filtren hacia otro sin que ningún aviso lo detecte hasta que ya ocurrió. Moviendo el control al propio motor de base de datos, cada fila queda protegida sin importar qué consulta se ejecute contra ella. El diseño exige además que este control se aplique incluso al usuario administrativo de la base de datos —normalmente exento por defecto en la mayoría de motores relacionales—, y que el valor de "cliente actual" se fije siempre dentro de cada operación de base de datos individual, nunca de forma persistente en una conexión que pueda reutilizarse entre distintas peticiones sin resetear ese valor.</w:t>
      </w:r>
    </w:p>
    <w:p>
      <w:pPr>
        <w:spacing w:after="160"/>
        <w:jc w:val="both"/>
      </w:pPr>
      <w:r>
        <w:t>Cualquier acceso legítimo que sí necesite ver datos de más de un cliente a la vez —por ejemplo, soporte ante un incidente real de datos, o una tarea de mantenimiento— pasa por un rol especial, separado de cualquier conexión habitual de la aplicación, cuyo uso queda siempre registrado con quién lo usó, cuándo y por qué.</w:t>
      </w:r>
    </w:p>
    <w:p>
      <w:pPr>
        <w:spacing w:after="160"/>
        <w:jc w:val="both"/>
      </w:pPr>
      <w:r>
        <w:t xml:space="preserve">En la </w:t>
      </w:r>
      <w:r>
        <w:rPr>
          <w:b/>
        </w:rPr>
        <w:t>capa de correo</w:t>
      </w:r>
      <w:r>
        <w:t>, el aislamiento cubre un riesgo distinto: que una respuesta de un cliente se asocie por error al caso equivocado, o que alguien suplantando a un cliente logre que el sistema procese automáticamente una instrucción falsa. El diseño exige que un mensaje entrante solo se procese de forma automática cuando se cumplen simultáneamente cuatro condiciones: el remitente es un contacto verificado del cliente correcto, la cadena de identificadores técnicos del hilo de correo es coherente, no hay señales de que el buzón esté comprometido, y el mensaje no es un simple reenvío de contenido de otra persona. Si cualquiera de esas condiciones falla, el mensaje va a revisión humana o a cuarentena — nunca a un procesamiento parcial ni automático.</w:t>
      </w:r>
    </w:p>
    <w:p>
      <w:pPr>
        <w:spacing w:after="160"/>
        <w:jc w:val="both"/>
      </w:pPr>
      <w:r>
        <w:t xml:space="preserve">En la </w:t>
      </w:r>
      <w:r>
        <w:rPr>
          <w:b/>
        </w:rPr>
        <w:t>capa de resiliencia de enriquecimiento externo</w:t>
      </w:r>
      <w:r>
        <w:t xml:space="preserve"> (las consultas a fuentes como reputación de direcciones o el catálogo de vulnerabilidades), el aislamiento no es entre clientes sino frente a fallas de terceros: cada conector tiene un límite de tiempo de espera corto, un número reducido de reintentos con espera creciente entre ellos, y un mecanismo que detiene por completo las consultas a un proveedor que está fallando reiteradamente, para no multiplicar la lentitud del sistema completo por culpa de un solo proveedor caído. El principio rector es que una consulta externa que falla </w:t>
      </w:r>
      <w:r>
        <w:rPr>
          <w:b/>
        </w:rPr>
        <w:t>nunca</w:t>
      </w:r>
      <w:r>
        <w:t xml:space="preserve"> bloquea la apertura de un caso — el caso sigue su curso sin ese dato adicional, y la ausencia del dato se distingue con precisión de una respuesta negativa real (por ejemplo, "no se pudo consultar el catálogo" nunca se confunde con "se consultó y no está listado").</w:t>
      </w:r>
    </w:p>
    <w:p>
      <w:pPr>
        <w:pStyle w:val="Heading2"/>
      </w:pPr>
      <w:r>
        <w:rPr>
          <w:color w:val="1F3A5F"/>
        </w:rPr>
        <w:t>4. Qué debe entregar el equipo que construya la aplicación</w:t>
      </w:r>
    </w:p>
    <w:p>
      <w:pPr>
        <w:spacing w:after="160"/>
        <w:jc w:val="both"/>
      </w:pPr>
      <w:r>
        <w:t>El proyecto define con precisión qué información y qué componentes debe entregar el equipo responsable de construir la aplicación completa —el motor de casos, la base de datos, la lógica de negocio—, organizados en tres categorías. Ningún campo de esta información se completa por suposición: todo lo que no se conoce hoy queda marcado explícitamente como pendiente de recibir del equipo de aplicación, nunca rellenado con un valor inventado.</w:t>
      </w:r>
    </w:p>
    <w:p>
      <w:pPr>
        <w:spacing w:after="160"/>
        <w:jc w:val="both"/>
      </w:pPr>
      <w:r>
        <w:t xml:space="preserve">En la categoría de </w:t>
      </w:r>
      <w:r>
        <w:rPr>
          <w:b/>
        </w:rPr>
        <w:t>infraestructura</w:t>
      </w:r>
      <w:r>
        <w:t>, el equipo debe declarar: la tecnología con la que construyó el sistema y su versión entregada, cómo se despliega (contenedor, paquete de sistema operativo, u otra forma), qué dependencias externas necesita, qué motor de base de datos usa y cómo gestiona los cambios de estructura de esa base de datos, qué puertos expone, y cuál es su procedimiento tanto de actualización de versión como de reversión ante un problema.</w:t>
      </w:r>
    </w:p>
    <w:p>
      <w:pPr>
        <w:spacing w:after="160"/>
        <w:jc w:val="both"/>
      </w:pPr>
      <w:r>
        <w:t xml:space="preserve">En la categoría de </w:t>
      </w:r>
      <w:r>
        <w:rPr>
          <w:b/>
        </w:rPr>
        <w:t>seguridad</w:t>
      </w:r>
      <w:r>
        <w:t>, debe declarar: el mecanismo de autenticación que usa —tanto para conectarse al almacén de eventos de Wazuh como para que sus propios operadores se autentiquen contra ella—, qué variables de entorno sensibles necesita (sin incluir nunca los valores reales de esas variables en la documentación), y qué mecanismo de gestión de credenciales espera usar. Esta categoría es especialmente crítica porque el proyecto identifica la ausencia de esta información como uno de los riesgos de seguridad abiertos más importantes del análisis de amenazas: sin saber cómo gestiona sus credenciales el sistema entregado, no se puede evaluar si esa gestión es segura.</w:t>
      </w:r>
    </w:p>
    <w:p>
      <w:pPr>
        <w:spacing w:after="160"/>
        <w:jc w:val="both"/>
      </w:pPr>
      <w:r>
        <w:t xml:space="preserve">En la categoría de </w:t>
      </w:r>
      <w:r>
        <w:rPr>
          <w:b/>
        </w:rPr>
        <w:t>observabilidad</w:t>
      </w:r>
      <w:r>
        <w:t>, debe declarar: el mecanismo o punto de verificación de que el sistema está funcionando correctamente (health check), el formato y destino de sus registros de actividad, y qué métricas expone para monitoreo. Ninguna de estas tres categorías se da por completada hasta que cada campo tiene un valor real y verificado — aceptar la entrega con campos pendientes "para no bloquear el avance" está explícitamente prohibido por el propio diseño del proyecto, especialmente en lo relativo a gestión de credenciales y verificación de salud del sistema.</w:t>
      </w:r>
    </w:p>
    <w:p>
      <w:pPr>
        <w:pStyle w:val="Heading2"/>
      </w:pPr>
      <w:r>
        <w:rPr>
          <w:color w:val="1F3A5F"/>
        </w:rPr>
        <w:t>5. Seguridad y riesgos abiertos</w:t>
      </w:r>
    </w:p>
    <w:p>
      <w:pPr>
        <w:spacing w:after="160"/>
        <w:jc w:val="both"/>
      </w:pPr>
      <w:r>
        <w:t xml:space="preserve">El proyecto incluye un análisis formal de quince amenazas de seguridad consideradas, cada una con su activo afectado, su impacto potencial, el control diseñado para mitigarla, y su estado real. Tres de esas quince amenazas quedan explícitamente marcadas como </w:t>
      </w:r>
      <w:r>
        <w:rPr>
          <w:b/>
        </w:rPr>
        <w:t>no mitigadas</w:t>
      </w:r>
      <w:r>
        <w:t xml:space="preserve"> hoy, sin disimularlo: que un agente de Wazuh comprometido fabrique eventos falsos (un riesgo inherente a cualquier sistema de este tipo, que se acepta como residual y se gestiona con buena higiene del equipo del cliente, no con un control de Kriptome); que existan copias de respaldo sin haber probado nunca una restauración real (un respaldo que nunca se restauró con éxito es, en la práctica, indistinguible de no tener respaldo); y la gestión de credenciales de la aplicación de negocio, que depende de información todavía no recibida del equipo que la construye.</w:t>
      </w:r>
    </w:p>
    <w:p>
      <w:pPr>
        <w:spacing w:after="160"/>
        <w:jc w:val="both"/>
      </w:pPr>
      <w:r>
        <w:t>El registro de riesgos del proyecto mantiene doce riesgos identificados, de los cuales once siguen abiertos hoy. Entre los más relevantes para quien vaya a desplegar el sistema: el riesgo de mezcla de conteo entre clientes en correlaciones de Wazuh sobre fuentes compartidas, que está mitigado por diseño para el caso normal de agentes independientes pero pendiente de una prueba real si el despliegue llega a incluir una fuente de datos compartida entre clientes; la ausencia total de un motor de casos implementado, que depende por completo de que el equipo de aplicación reciba el contrato de este proyecto y lo construya; los cuatro compromisos de continuidad operativa (respaldo configurado y funcionando, restauración probada, y los tiempos de recuperación acordados formalmente), ninguno cumplido hoy; y que ningún procedimiento de respuesta esté aprobado por una persona real, lo cual bloquea cualquier comunicación automática a un cliente hasta que esa aprobación ocurra.</w:t>
      </w:r>
    </w:p>
    <w:p>
      <w:pPr>
        <w:spacing w:after="160"/>
        <w:jc w:val="both"/>
      </w:pPr>
      <w:r>
        <w:t xml:space="preserve">El proyecto también define, de forma separada de los incidentes que le ocurren a un cliente, un proceso de respuesta para cuando </w:t>
      </w:r>
      <w:r>
        <w:rPr>
          <w:b/>
        </w:rPr>
        <w:t>Kriptome mismo</w:t>
      </w:r>
      <w:r>
        <w:t xml:space="preserve"> —el proveedor del servicio, no un cliente— sufre un incidente de seguridad propio: compromiso de su propia infraestructura, fuga de datos entre clientes, robo de credenciales administrativas. Este proceso define cuatro niveles de severidad con sus tiempos de respuesta objetivo (una fuga confirmada de datos entre clientes se clasifica siempre como el nivel más crítico, sin excepción, con respuesta esperada dentro de la hora de detección), y cinco etapas: detección con registro inmediato de la hora y quién detectó, clasificación de severidad dentro de los primeros treinta minutos, contención técnica sin destruir nunca evidencia en el proceso, investigación del alcance real usando el registro de auditoría del sistema como fuente, y finalmente comunicación —interna, a los clientes afectados si corresponde, y regulatoria si la jurisdicción lo exige— seguida de una remediación definitiva y un análisis posterior de qué falló y qué control lo habría prevenido. Este proceso, igual que el resto del proyecto, es honesto sobre su propio estado: nunca se ha ejecutado, ni siquiera como simulacro, y no existe todavía una plantilla de comunicación específica para el escenario de "Kriptome tuvo un incidente que te afectó a ti como cliente" — ese es un vacío documentado explícitamente, pendiente de construirse con el mismo cuidado que el resto de las comunicaciones del sistema, no de improvisarse si el momento llega.</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