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Kriptome MiniSOC — Arquitectura y Diseño</w:t>
      </w:r>
    </w:p>
    <w:p>
      <w:r>
        <w:rPr>
          <w:color w:val="666666"/>
        </w:rPr>
        <w:t>Kriptome MiniSOC · Julio 2026 · 1.0</w:t>
      </w:r>
    </w:p>
    <w:p>
      <w:pPr>
        <w:pStyle w:val="Heading1"/>
      </w:pPr>
      <w:r>
        <w:rPr>
          <w:b/>
          <w:color w:val="1F2A44"/>
        </w:rPr>
        <w:t>01 — Arquitectura y Diseño</w:t>
      </w:r>
    </w:p>
    <w:p>
      <w:r>
        <w:t>Consolida: documento maestro original, diseño multi-tenant, modelo de datos, topología de nube recomendada y controles de seguridad.</w:t>
      </w:r>
    </w:p>
    <w:p>
      <w:pPr>
        <w:jc w:val="center"/>
      </w:pPr>
      <w:r>
        <w:rPr>
          <w:color w:val="AAAAAA"/>
        </w:rPr>
        <w:t>――――――――――――――――――――――――――――――</w:t>
      </w:r>
    </w:p>
    <w:p>
      <w:pPr>
        <w:pStyle w:val="Heading2"/>
      </w:pPr>
      <w:r>
        <w:rPr>
          <w:b/>
          <w:color w:val="1F2A44"/>
        </w:rPr>
        <w:t>1. Alcance</w:t>
      </w:r>
    </w:p>
    <w:p>
      <w:pPr>
        <w:pStyle w:val="Heading3"/>
      </w:pPr>
      <w:r>
        <w:rPr>
          <w:b/>
          <w:color w:val="1F2A44"/>
        </w:rPr>
        <w:t>Incluido</w:t>
      </w:r>
    </w:p>
    <w:p>
      <w:r>
        <w:t xml:space="preserve">Instalación y monitoreo de agentes Wazuh · detección con reglas tuneadas · separación lógica por cliente · deduplicación y agrupación en </w:t>
      </w:r>
      <w:r>
        <w:rPr>
          <w:b/>
        </w:rPr>
        <w:t>casos</w:t>
      </w:r>
      <w:r>
        <w:t xml:space="preserve"> · falsos positivos conocidos · enriquecimiento selectivo con caché · uso controlado de IA · revisión humana cuando corresponda · comunicación por correo (A/B/C) · historial, auditoría y cierre · retención hot+cold · pruebas de aislamiento, carga y recuperación.</w:t>
      </w:r>
    </w:p>
    <w:p>
      <w:pPr>
        <w:pStyle w:val="Heading3"/>
      </w:pPr>
      <w:r>
        <w:rPr>
          <w:b/>
          <w:color w:val="1F2A44"/>
        </w:rPr>
        <w:t>Fuera de alcance inicial</w:t>
      </w:r>
    </w:p>
    <w:p>
      <w:r>
        <w:t>Acceso del cliente al Wazuh Dashboard · acciones destructivas automatizadas (aislar, bloquear, apagar sin autorización) · un Wazuh por PyME · IA para todas las alertas.</w:t>
      </w:r>
    </w:p>
    <w:p>
      <w:pPr>
        <w:jc w:val="center"/>
      </w:pPr>
      <w:r>
        <w:rPr>
          <w:color w:val="AAAAAA"/>
        </w:rPr>
        <w:t>――――――――――――――――――――――――――――――</w:t>
      </w:r>
    </w:p>
    <w:p>
      <w:pPr>
        <w:pStyle w:val="Heading2"/>
      </w:pPr>
      <w:r>
        <w:rPr>
          <w:b/>
          <w:color w:val="1F2A44"/>
        </w:rPr>
        <w:t>2. Arquitectura funcional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784223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ujo_pipelin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8422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Flujo de una alerta de endpoint a cliente</w:t>
      </w:r>
    </w:p>
    <w:p>
      <w:pPr>
        <w:spacing w:before="80" w:after="80"/>
        <w:ind w:left="216"/>
        <w:shd w:val="clear" w:fill="F2F2F2"/>
      </w:pPr>
      <w:r>
        <w:rPr>
          <w:rFonts w:ascii="Consolas" w:hAnsi="Consolas"/>
          <w:sz w:val="18"/>
        </w:rPr>
        <w:t>flowchart TD</w:t>
        <w:br/>
        <w:t xml:space="preserve">    A[Endpoint del cliente] --&gt; B[Wazuh Agent / Colector syslog por sede]</w:t>
        <w:br/>
        <w:t xml:space="preserve">    B --&gt; C[Wazuh Manager 4.14.6 + ruleset tuneado]</w:t>
        <w:br/>
        <w:t xml:space="preserve">    C --&gt; D[Wazuh Indexer]</w:t>
        <w:br/>
        <w:t xml:space="preserve">    D --&gt; E[Kriptome App]</w:t>
        <w:br/>
        <w:br/>
        <w:t xml:space="preserve">    E --&gt; F[Validar tenant client_id]</w:t>
        <w:br/>
        <w:t xml:space="preserve">    F --&gt; G[Deduplicar event_hash]</w:t>
        <w:br/>
        <w:t xml:space="preserve">    G --&gt; ML[Capa ML: score de ataque real]</w:t>
        <w:br/>
        <w:t xml:space="preserve">    ML --&gt; FP[Falsos positivos conocidos]</w:t>
        <w:br/>
        <w:t xml:space="preserve">    FP --&gt; H[Agrupar en caso case_fingerprint]</w:t>
        <w:br/>
        <w:t xml:space="preserve">    H --&gt; I[Contexto CMDB asset/criticality]</w:t>
        <w:br/>
        <w:t xml:space="preserve">    I --&gt; J[Enriquecimiento selectivo con cache]</w:t>
        <w:br/>
        <w:t xml:space="preserve">    J --&gt; K[Procedimiento autorizado]</w:t>
        <w:br/>
        <w:t xml:space="preserve">    K --&gt; L{Necesita IA}</w:t>
        <w:br/>
        <w:br/>
        <w:t xml:space="preserve">    L -- No --&gt; M[Plantilla deterministica]</w:t>
        <w:br/>
        <w:t xml:space="preserve">    L -- Si --&gt; N[IA con JSON minimo]</w:t>
        <w:br/>
        <w:br/>
        <w:t xml:space="preserve">    M --&gt; O[Validador]</w:t>
        <w:br/>
        <w:t xml:space="preserve">    N --&gt; O</w:t>
        <w:br/>
        <w:t xml:space="preserve">    O --&gt; P{Revision humana}</w:t>
        <w:br/>
        <w:t xml:space="preserve">    P -- Si --&gt; Q[Operador Kriptome]</w:t>
        <w:br/>
        <w:t xml:space="preserve">    P -- No --&gt; R[Politica de comunicacion]</w:t>
        <w:br/>
        <w:t xml:space="preserve">    Q --&gt; R</w:t>
        <w:br/>
        <w:t xml:space="preserve">    R --&gt; S[Correo con case_id]</w:t>
        <w:br/>
        <w:t xml:space="preserve">    S --&gt; T[Cliente]</w:t>
        <w:br/>
        <w:t xml:space="preserve">    T --&gt; U[Respuesta A / B / C]</w:t>
        <w:br/>
        <w:t xml:space="preserve">    U --&gt; V[Actualizar / cerrar / reabrir caso]</w:t>
      </w:r>
    </w:p>
    <w:p>
      <w:pPr>
        <w:pStyle w:val="Heading3"/>
      </w:pPr>
      <w:r>
        <w:rPr>
          <w:b/>
          <w:color w:val="1F2A44"/>
        </w:rPr>
        <w:t>2.1 La capa de Machine Learning (filtrado inteligente)</w:t>
      </w:r>
    </w:p>
    <w:p>
      <w:r>
        <w:t xml:space="preserve">Entre la deduplicación exacta y la gestión de casos opera un </w:t>
      </w:r>
      <w:r>
        <w:rPr>
          <w:b/>
        </w:rPr>
        <w:t>clasificador ML</w:t>
      </w:r>
      <w:r>
        <w:t xml:space="preserve"> que asigna a cada alerta un *score* de probabilidad de ataque real.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1F4E79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Aspecto</w:t>
            </w:r>
          </w:p>
        </w:tc>
        <w:tc>
          <w:tcPr>
            <w:tcW w:type="dxa" w:w="4320"/>
            <w:shd w:val="clear" w:fill="1F4E79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Definición</w:t>
            </w:r>
          </w:p>
        </w:tc>
      </w:tr>
      <w:tr>
        <w:tc>
          <w:tcPr>
            <w:tcW w:type="dxa" w:w="432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Posición en el pipeline</w:t>
            </w:r>
          </w:p>
        </w:tc>
        <w:tc>
          <w:tcPr>
            <w:tcW w:type="dxa" w:w="432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Después de </w:t>
            </w:r>
            <w:r>
              <w:rPr>
                <w:rFonts w:ascii="Consolas" w:hAnsi="Consolas"/>
                <w:color w:val="B03030"/>
                <w:sz w:val="19"/>
              </w:rPr>
              <w:t>event_hash</w:t>
            </w:r>
            <w:r>
              <w:rPr>
                <w:sz w:val="19"/>
              </w:rPr>
              <w:t xml:space="preserve"> (nunca gasta cómputo en duplicados) y antes de abrir caso (nunca deja pasar ruido a enriquecimiento/IA/humano)</w:t>
            </w:r>
          </w:p>
        </w:tc>
      </w:tr>
      <w:tr>
        <w:tc>
          <w:tcPr>
            <w:tcW w:type="dxa" w:w="432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Señales (features)</w:t>
            </w:r>
          </w:p>
        </w:tc>
        <w:tc>
          <w:tcPr>
            <w:tcW w:type="dxa" w:w="432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Familia de la regla y ruta Kriptome, criticidad del activo, frecuencia y horario, historial de FP del cliente/regla, reputación cacheada de IOCs, novedad del patrón (usuario/IP/proceso nunca visto)</w:t>
            </w:r>
          </w:p>
        </w:tc>
      </w:tr>
      <w:tr>
        <w:tc>
          <w:tcPr>
            <w:tcW w:type="dxa" w:w="432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Datos de entrenamiento</w:t>
            </w:r>
          </w:p>
        </w:tc>
        <w:tc>
          <w:tcPr>
            <w:tcW w:type="dxa" w:w="432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El feedback de la propia operación: decisiones del analista (aprobar/descartar/FP) + respuestas A/B/C del cliente. Cada semana de operación mejora el modelo</w:t>
            </w:r>
          </w:p>
        </w:tc>
      </w:tr>
      <w:tr>
        <w:tc>
          <w:tcPr>
            <w:tcW w:type="dxa" w:w="432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Tecnología</w:t>
            </w:r>
          </w:p>
        </w:tc>
        <w:tc>
          <w:tcPr>
            <w:tcW w:type="dxa" w:w="432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Modelos ligeros de clasificación (árboles de decisión potenciados / regresión logística, tipo scikit-learn/XGBoost). CPU-only, sin GPU, corre dentro de la App</w:t>
            </w:r>
          </w:p>
        </w:tc>
      </w:tr>
      <w:tr>
        <w:tc>
          <w:tcPr>
            <w:tcW w:type="dxa" w:w="432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Modos de despliegue</w:t>
            </w:r>
          </w:p>
        </w:tc>
        <w:tc>
          <w:tcPr>
            <w:tcW w:type="dxa" w:w="432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1) </w:t>
            </w:r>
            <w:r>
              <w:rPr>
                <w:b/>
                <w:sz w:val="19"/>
              </w:rPr>
              <w:t>Sombra</w:t>
            </w:r>
            <w:r>
              <w:rPr>
                <w:sz w:val="19"/>
              </w:rPr>
              <w:t xml:space="preserve">: calcula scores, no decide (fase de entrenamiento). 2) </w:t>
            </w:r>
            <w:r>
              <w:rPr>
                <w:b/>
                <w:sz w:val="19"/>
              </w:rPr>
              <w:t>Asistido</w:t>
            </w:r>
            <w:r>
              <w:rPr>
                <w:sz w:val="19"/>
              </w:rPr>
              <w:t xml:space="preserve">: el score se muestra al analista y ordena su cola. 3) </w:t>
            </w:r>
            <w:r>
              <w:rPr>
                <w:b/>
                <w:sz w:val="19"/>
              </w:rPr>
              <w:t>Activo</w:t>
            </w:r>
            <w:r>
              <w:rPr>
                <w:sz w:val="19"/>
              </w:rPr>
              <w:t>: enruta automáticamente (score alto → caso; score bajo → contexto/digest)</w:t>
            </w:r>
          </w:p>
        </w:tc>
      </w:tr>
      <w:tr>
        <w:tc>
          <w:tcPr>
            <w:tcW w:type="dxa" w:w="432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Límite de seguridad</w:t>
            </w:r>
          </w:p>
        </w:tc>
        <w:tc>
          <w:tcPr>
            <w:tcW w:type="dxa" w:w="432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Igual que la IA generativa: el ML </w:t>
            </w:r>
            <w:r>
              <w:rPr>
                <w:b/>
                <w:sz w:val="19"/>
              </w:rPr>
              <w:t>no puede descartar</w:t>
            </w:r>
            <w:r>
              <w:rPr>
                <w:sz w:val="19"/>
              </w:rPr>
              <w:t xml:space="preserve"> alertas de familias CRITICAL (malware confirmado, éxito tras brute force, IOC). Zona gris → analista. Toda decisión del ML queda auditada con su score</w:t>
            </w:r>
          </w:p>
        </w:tc>
      </w:tr>
      <w:tr>
        <w:tc>
          <w:tcPr>
            <w:tcW w:type="dxa" w:w="432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Métrica de éxito</w:t>
            </w:r>
          </w:p>
        </w:tc>
        <w:tc>
          <w:tcPr>
            <w:tcW w:type="dxa" w:w="432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Reducción de casos falsos que llegan al analista, manteniendo recall ≈ 100% sobre incidentes confirmados (medido contra el histórico etiquetado)</w:t>
            </w:r>
          </w:p>
        </w:tc>
      </w:tr>
    </w:tbl>
    <w:p>
      <w:pPr>
        <w:spacing w:after="40"/>
      </w:pPr>
    </w:p>
    <w:p>
      <w:pPr>
        <w:ind w:left="432"/>
      </w:pPr>
      <w:r>
        <w:rPr>
          <w:b/>
          <w:i/>
        </w:rPr>
        <w:t>Nota de honestidad técnica:</w:t>
      </w:r>
      <w:r>
        <w:rPr>
          <w:i/>
        </w:rPr>
        <w:t xml:space="preserve"> el ML eleva la confianza pero ningún clasificador da certeza absoluta; por eso las familias críticas conservan revisión humana obligatoria y el modelo arranca en modo sombra hasta demostrar su precisión con datos del propio parque.</w:t>
      </w:r>
    </w:p>
    <w:p>
      <w:pPr>
        <w:jc w:val="center"/>
      </w:pPr>
      <w:r>
        <w:rPr>
          <w:color w:val="AAAAAA"/>
        </w:rPr>
        <w:t>――――――――――――――――――――――――――――――</w:t>
      </w:r>
    </w:p>
    <w:p>
      <w:pPr>
        <w:pStyle w:val="Heading2"/>
      </w:pPr>
      <w:r>
        <w:rPr>
          <w:b/>
          <w:color w:val="1F2A44"/>
        </w:rPr>
        <w:t>3. Diseño multi-tenant</w:t>
      </w:r>
    </w:p>
    <w:p>
      <w:r>
        <w:t xml:space="preserve">Un único Wazuh compartido. Cada cliente tiene un </w:t>
      </w:r>
      <w:r>
        <w:rPr>
          <w:b/>
        </w:rPr>
        <w:t>grupo Wazuh</w:t>
      </w:r>
      <w:r>
        <w:t xml:space="preserve"> (</w:t>
      </w:r>
      <w:r>
        <w:rPr>
          <w:rFonts w:ascii="Consolas" w:hAnsi="Consolas"/>
          <w:color w:val="B03030"/>
          <w:sz w:val="19"/>
        </w:rPr>
        <w:t>CLI-001</w:t>
      </w:r>
      <w:r>
        <w:t xml:space="preserve">, </w:t>
      </w:r>
      <w:r>
        <w:rPr>
          <w:rFonts w:ascii="Consolas" w:hAnsi="Consolas"/>
          <w:color w:val="B03030"/>
          <w:sz w:val="19"/>
        </w:rPr>
        <w:t>CLI-002</w:t>
      </w:r>
      <w:r>
        <w:t xml:space="preserve">, …) cuyo </w:t>
      </w:r>
      <w:r>
        <w:rPr>
          <w:rFonts w:ascii="Consolas" w:hAnsi="Consolas"/>
          <w:color w:val="B03030"/>
          <w:sz w:val="19"/>
        </w:rPr>
        <w:t>agent.conf</w:t>
      </w:r>
      <w:r>
        <w:t xml:space="preserve"> inyecta el label </w:t>
      </w:r>
      <w:r>
        <w:rPr>
          <w:rFonts w:ascii="Consolas" w:hAnsi="Consolas"/>
          <w:color w:val="B03030"/>
          <w:sz w:val="19"/>
        </w:rPr>
        <w:t>client_id</w:t>
      </w:r>
      <w:r>
        <w:t>. Cada agente añade sus labels de activo.</w:t>
      </w:r>
    </w:p>
    <w:p>
      <w:r>
        <w:rPr>
          <w:b/>
        </w:rPr>
        <w:t>Toda alerta debe traer:</w:t>
      </w:r>
    </w:p>
    <w:p>
      <w:pPr>
        <w:spacing w:before="80" w:after="80"/>
        <w:ind w:left="216"/>
        <w:shd w:val="clear" w:fill="F2F2F2"/>
      </w:pPr>
      <w:r>
        <w:rPr>
          <w:rFonts w:ascii="Consolas" w:hAnsi="Consolas"/>
          <w:sz w:val="18"/>
        </w:rPr>
        <w:t>client_id · client_name · asset_id · asset_alias · criticality</w:t>
      </w:r>
    </w:p>
    <w:p>
      <w:r>
        <w:rPr>
          <w:b/>
        </w:rPr>
        <w:t>Reglas de seguridad de tenant (obligatorias):</w:t>
      </w:r>
    </w:p>
    <w:p>
      <w:pPr>
        <w:pStyle w:val="ListNumber"/>
      </w:pPr>
      <w:r>
        <w:t xml:space="preserve">Ninguna consulta al Indexer se ejecuta sin </w:t>
      </w:r>
      <w:r>
        <w:rPr>
          <w:rFonts w:ascii="Consolas" w:hAnsi="Consolas"/>
          <w:color w:val="B03030"/>
          <w:sz w:val="19"/>
        </w:rPr>
        <w:t>client_id</w:t>
      </w:r>
      <w:r>
        <w:t xml:space="preserve"> (</w:t>
      </w:r>
      <w:r>
        <w:rPr>
          <w:rFonts w:ascii="Consolas" w:hAnsi="Consolas"/>
          <w:color w:val="B03030"/>
          <w:sz w:val="19"/>
        </w:rPr>
        <w:t>data.labels.client_id</w:t>
      </w:r>
      <w:r>
        <w:t>).</w:t>
      </w:r>
    </w:p>
    <w:p>
      <w:pPr>
        <w:pStyle w:val="ListNumber"/>
      </w:pPr>
      <w:r>
        <w:t>Una única clase de acceso (</w:t>
      </w:r>
      <w:r>
        <w:rPr>
          <w:rFonts w:ascii="Consolas" w:hAnsi="Consolas"/>
          <w:color w:val="B03030"/>
          <w:sz w:val="19"/>
        </w:rPr>
        <w:t>WazuhIndexerClient</w:t>
      </w:r>
      <w:r>
        <w:t xml:space="preserve">); el </w:t>
      </w:r>
      <w:r>
        <w:rPr>
          <w:rFonts w:ascii="Consolas" w:hAnsi="Consolas"/>
          <w:color w:val="B03030"/>
          <w:sz w:val="19"/>
        </w:rPr>
        <w:t>client_id</w:t>
      </w:r>
      <w:r>
        <w:t xml:space="preserve"> se resuelve en </w:t>
      </w:r>
      <w:r>
        <w:rPr>
          <w:b/>
        </w:rPr>
        <w:t>backend</w:t>
      </w:r>
      <w:r>
        <w:t>, jamás lo define el frontend.</w:t>
      </w:r>
    </w:p>
    <w:p>
      <w:pPr>
        <w:pStyle w:val="ListNumber"/>
      </w:pPr>
      <w:r>
        <w:t xml:space="preserve">Test de aislamiento en CI + consulta diaria de alertas sin </w:t>
      </w:r>
      <w:r>
        <w:rPr>
          <w:rFonts w:ascii="Consolas" w:hAnsi="Consolas"/>
          <w:color w:val="B03030"/>
          <w:sz w:val="19"/>
        </w:rPr>
        <w:t>client_id</w:t>
      </w:r>
      <w:r>
        <w:t xml:space="preserve"> (debe ser 0; si no → </w:t>
      </w:r>
      <w:r>
        <w:rPr>
          <w:rFonts w:ascii="Consolas" w:hAnsi="Consolas"/>
          <w:color w:val="B03030"/>
          <w:sz w:val="19"/>
        </w:rPr>
        <w:t>dead_letter</w:t>
      </w:r>
      <w:r>
        <w:t xml:space="preserve"> + alerta interna).</w:t>
      </w:r>
    </w:p>
    <w:p>
      <w:pPr>
        <w:pStyle w:val="ListNumber"/>
      </w:pPr>
      <w:r>
        <w:t xml:space="preserve">Ningún agente productivo queda en el grupo </w:t>
      </w:r>
      <w:r>
        <w:rPr>
          <w:rFonts w:ascii="Consolas" w:hAnsi="Consolas"/>
          <w:color w:val="B03030"/>
          <w:sz w:val="19"/>
        </w:rPr>
        <w:t>default</w:t>
      </w:r>
      <w:r>
        <w:t>.</w:t>
      </w:r>
    </w:p>
    <w:p>
      <w:pPr>
        <w:pStyle w:val="ListNumber"/>
      </w:pPr>
      <w:r>
        <w:t xml:space="preserve">Los falsos positivos conocidos son </w:t>
      </w:r>
      <w:r>
        <w:rPr>
          <w:b/>
        </w:rPr>
        <w:t>tenant-aware</w:t>
      </w:r>
      <w:r>
        <w:t xml:space="preserve"> (siempre incluyen </w:t>
      </w:r>
      <w:r>
        <w:rPr>
          <w:rFonts w:ascii="Consolas" w:hAnsi="Consolas"/>
          <w:color w:val="B03030"/>
          <w:sz w:val="19"/>
        </w:rPr>
        <w:t>client_id</w:t>
      </w:r>
      <w:r>
        <w:t>).</w:t>
      </w:r>
    </w:p>
    <w:p>
      <w:pPr>
        <w:pStyle w:val="ListNumber"/>
      </w:pPr>
      <w:r>
        <w:t>La IA nunca recibe datos de más de un tenant en una misma llamada.</w:t>
      </w:r>
    </w:p>
    <w:p>
      <w:r>
        <w:rPr>
          <w:b/>
        </w:rPr>
        <w:t>Limitación conocida (G12/D2):</w:t>
      </w:r>
      <w:r>
        <w:t xml:space="preserve"> las correlaciones nativas por </w:t>
      </w:r>
      <w:r>
        <w:rPr>
          <w:rFonts w:ascii="Consolas" w:hAnsi="Consolas"/>
          <w:color w:val="B03030"/>
          <w:sz w:val="19"/>
        </w:rPr>
        <w:t>same_source_ip</w:t>
      </w:r>
      <w:r>
        <w:t xml:space="preserve"> acumulan contadores a nivel de todo el Manager (no por tenant). La App re-escala por </w:t>
      </w:r>
      <w:r>
        <w:rPr>
          <w:rFonts w:ascii="Consolas" w:hAnsi="Consolas"/>
          <w:color w:val="B03030"/>
          <w:sz w:val="19"/>
        </w:rPr>
        <w:t>client_id</w:t>
      </w:r>
      <w:r>
        <w:t xml:space="preserve"> al construir el caso, así que la </w:t>
      </w:r>
      <w:r>
        <w:rPr>
          <w:b/>
        </w:rPr>
        <w:t>atribución</w:t>
      </w:r>
      <w:r>
        <w:t xml:space="preserve"> nunca se mezcla; el endurecimiento adicional (</w:t>
      </w:r>
      <w:r>
        <w:rPr>
          <w:rFonts w:ascii="Consolas" w:hAnsi="Consolas"/>
          <w:color w:val="B03030"/>
          <w:sz w:val="19"/>
        </w:rPr>
        <w:t>same_field agent.labels.client_id</w:t>
      </w:r>
      <w:r>
        <w:t xml:space="preserve"> en las reglas custom) está pendiente de validar con </w:t>
      </w:r>
      <w:r>
        <w:rPr>
          <w:rFonts w:ascii="Consolas" w:hAnsi="Consolas"/>
          <w:color w:val="B03030"/>
          <w:sz w:val="19"/>
        </w:rPr>
        <w:t>wazuh-logtest</w:t>
      </w:r>
      <w:r>
        <w:t>.</w:t>
      </w:r>
    </w:p>
    <w:p>
      <w:r>
        <w:rPr>
          <w:b/>
        </w:rPr>
        <w:t>Caso especial — fuentes sin agente (G1):</w:t>
      </w:r>
      <w:r>
        <w:t xml:space="preserve"> firewalls/UTM/VPN emiten syslog sin labels. Solución adoptada: </w:t>
      </w:r>
      <w:r>
        <w:rPr>
          <w:b/>
        </w:rPr>
        <w:t>colector por sede</w:t>
      </w:r>
      <w:r>
        <w:t xml:space="preserve"> (mini-VM/equipo en la red del cliente con Wazuh Agent que recibe el syslog local vía </w:t>
      </w:r>
      <w:r>
        <w:rPr>
          <w:rFonts w:ascii="Consolas" w:hAnsi="Consolas"/>
          <w:color w:val="B03030"/>
          <w:sz w:val="19"/>
        </w:rPr>
        <w:t>&lt;localfile&gt;</w:t>
      </w:r>
      <w:r>
        <w:t xml:space="preserve"> y lo reenvía heredando sus labels). Alternativa descartada por frágil: un puerto syslog por cliente en el Manager.</w:t>
      </w:r>
    </w:p>
    <w:p>
      <w:pPr>
        <w:jc w:val="center"/>
      </w:pPr>
      <w:r>
        <w:rPr>
          <w:color w:val="AAAAAA"/>
        </w:rPr>
        <w:t>――――――――――――――――――――――――――――――</w:t>
      </w:r>
    </w:p>
    <w:p>
      <w:pPr>
        <w:pStyle w:val="Heading2"/>
      </w:pPr>
      <w:r>
        <w:rPr>
          <w:b/>
          <w:color w:val="1F2A44"/>
        </w:rPr>
        <w:t>4. Topología de nube en AWS (nuestro lado: la infraestructura de detección)</w:t>
      </w:r>
    </w:p>
    <w:p>
      <w:r>
        <w:rPr>
          <w:b/>
        </w:rPr>
        <w:t>Decisiones (jul-2026):</w:t>
      </w:r>
      <w:r>
        <w:t xml:space="preserve"> el proveedor es </w:t>
      </w:r>
      <w:r>
        <w:rPr>
          <w:b/>
        </w:rPr>
        <w:t>AWS</w:t>
      </w:r>
      <w:r>
        <w:t xml:space="preserve"> (confirmado por dirección). Nuestra infraestructura es </w:t>
      </w:r>
      <w:r>
        <w:rPr>
          <w:b/>
        </w:rPr>
        <w:t>una sola instancia EC2 Wazuh all-in-one</w:t>
      </w:r>
      <w:r>
        <w:t xml:space="preserve"> (Manager + Indexer + Dashboard interno), tal como fija el diseño original del proyecto. La </w:t>
      </w:r>
      <w:r>
        <w:rPr>
          <w:b/>
        </w:rPr>
        <w:t>Kriptome App + capa ML queda fuera del alcance de esta infraestructura</w:t>
      </w:r>
      <w:r>
        <w:t xml:space="preserve"> — la despliega y opera el equipo de desarrollo donde decida. Para nosotros la App es solo un consumidor externo con dos requisitos de interfaz que sí debemos garantizar:</w:t>
      </w:r>
    </w:p>
    <w:p>
      <w:pPr>
        <w:pStyle w:val="ListNumber"/>
      </w:pPr>
      <w:r>
        <w:t xml:space="preserve">Usuario </w:t>
      </w:r>
      <w:r>
        <w:rPr>
          <w:b/>
        </w:rPr>
        <w:t>read-only</w:t>
      </w:r>
      <w:r>
        <w:t xml:space="preserve"> del Indexer, restringido y auditado.</w:t>
      </w:r>
    </w:p>
    <w:p>
      <w:pPr>
        <w:pStyle w:val="ListNumber"/>
      </w:pPr>
      <w:r>
        <w:t xml:space="preserve">Acceso de red al puerto 9200 del Indexer </w:t>
      </w:r>
      <w:r>
        <w:rPr>
          <w:b/>
        </w:rPr>
        <w:t>solo dentro de la VPC</w:t>
      </w:r>
      <w:r>
        <w:t xml:space="preserve"> (o por VPN si la App vive fuera de AWS; nunca 9200 expuesto a Internet).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419380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quitectura_aw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1938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Arquitectura en AWS</w:t>
      </w:r>
    </w:p>
    <w:p>
      <w:pPr>
        <w:pStyle w:val="Heading3"/>
      </w:pPr>
      <w:r>
        <w:rPr>
          <w:b/>
          <w:color w:val="1F2A44"/>
        </w:rPr>
        <w:t>Servicios AWS y su rol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1F4E79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Servicio</w:t>
            </w:r>
          </w:p>
        </w:tc>
        <w:tc>
          <w:tcPr>
            <w:tcW w:type="dxa" w:w="2880"/>
            <w:shd w:val="clear" w:fill="1F4E79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Rol</w:t>
            </w:r>
          </w:p>
        </w:tc>
        <w:tc>
          <w:tcPr>
            <w:tcW w:type="dxa" w:w="2880"/>
            <w:shd w:val="clear" w:fill="1F4E79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Nota de dimensionamiento</w:t>
            </w:r>
          </w:p>
        </w:tc>
      </w:tr>
      <w:tr>
        <w:tc>
          <w:tcPr>
            <w:tcW w:type="dxa" w:w="28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EC2 c6i.2xlarge</w:t>
            </w:r>
            <w:r>
              <w:rPr>
                <w:sz w:val="19"/>
              </w:rPr>
              <w:t xml:space="preserve"> (8 vCPU/16 GB)</w:t>
            </w:r>
          </w:p>
        </w:tc>
        <w:tc>
          <w:tcPr>
            <w:tcW w:type="dxa" w:w="28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VM Wazuh all-in-one</w:t>
            </w:r>
          </w:p>
        </w:tc>
        <w:tc>
          <w:tcPr>
            <w:tcW w:type="dxa" w:w="28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Alternativa de arranque económico: m6i.xlarge (4 vCPU/16 GB) con resize a c6i.2xlarge cuando el EPS real lo pida</w:t>
            </w:r>
          </w:p>
        </w:tc>
      </w:tr>
      <w:tr>
        <w:tc>
          <w:tcPr>
            <w:tcW w:type="dxa" w:w="28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EBS gp3</w:t>
            </w:r>
            <w:r>
              <w:rPr>
                <w:sz w:val="19"/>
              </w:rPr>
              <w:t xml:space="preserve"> ~500 GB</w:t>
            </w:r>
          </w:p>
        </w:tc>
        <w:tc>
          <w:tcPr>
            <w:tcW w:type="dxa" w:w="28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Disco hot (30 días de alertas)</w:t>
            </w:r>
          </w:p>
        </w:tc>
        <w:tc>
          <w:tcPr>
            <w:tcW w:type="dxa" w:w="28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Expandible </w:t>
            </w:r>
            <w:r>
              <w:rPr>
                <w:b/>
                <w:sz w:val="19"/>
              </w:rPr>
              <w:t>en caliente</w:t>
            </w:r>
            <w:r>
              <w:rPr>
                <w:sz w:val="19"/>
              </w:rPr>
              <w:t xml:space="preserve"> sin downtime; tamaño final según medición G2</w:t>
            </w:r>
          </w:p>
        </w:tc>
      </w:tr>
      <w:tr>
        <w:tc>
          <w:tcPr>
            <w:tcW w:type="dxa" w:w="28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VPC</w:t>
            </w:r>
            <w:r>
              <w:rPr>
                <w:sz w:val="19"/>
              </w:rPr>
              <w:t xml:space="preserve"> con subred pública (1514/1515) y privada (9200)</w:t>
            </w:r>
          </w:p>
        </w:tc>
        <w:tc>
          <w:tcPr>
            <w:tcW w:type="dxa" w:w="28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Aislamiento de red</w:t>
            </w:r>
          </w:p>
        </w:tc>
        <w:tc>
          <w:tcPr>
            <w:tcW w:type="dxa" w:w="28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Security Groups: 1514 TLS abierto; 1515 solo en ventanas de onboarding; 9200/SSH/Dashboard jamás públicos</w:t>
            </w:r>
          </w:p>
        </w:tc>
      </w:tr>
      <w:tr>
        <w:tc>
          <w:tcPr>
            <w:tcW w:type="dxa" w:w="28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S3 + lifecycle a Glacier</w:t>
            </w:r>
          </w:p>
        </w:tc>
        <w:tc>
          <w:tcPr>
            <w:tcW w:type="dxa" w:w="28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Cold storage 90 días + </w:t>
            </w:r>
            <w:r>
              <w:rPr>
                <w:rFonts w:ascii="Consolas" w:hAnsi="Consolas"/>
                <w:color w:val="B03030"/>
                <w:sz w:val="19"/>
              </w:rPr>
              <w:t>alerts.json</w:t>
            </w:r>
            <w:r>
              <w:rPr>
                <w:sz w:val="19"/>
              </w:rPr>
              <w:t xml:space="preserve"> horario</w:t>
            </w:r>
          </w:p>
        </w:tc>
        <w:tc>
          <w:tcPr>
            <w:tcW w:type="dxa" w:w="28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Glacier Instant Retrieval abarata el cold ~80% vs S3 Standard</w:t>
            </w:r>
          </w:p>
        </w:tc>
      </w:tr>
      <w:tr>
        <w:tc>
          <w:tcPr>
            <w:tcW w:type="dxa" w:w="28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AWS Backup / snapshots EBS</w:t>
            </w:r>
          </w:p>
        </w:tc>
        <w:tc>
          <w:tcPr>
            <w:tcW w:type="dxa" w:w="28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Respaldos 6–12 h</w:t>
            </w:r>
          </w:p>
        </w:tc>
        <w:tc>
          <w:tcPr>
            <w:tcW w:type="dxa" w:w="28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Restore probado mensualmente</w:t>
            </w:r>
          </w:p>
        </w:tc>
      </w:tr>
      <w:tr>
        <w:tc>
          <w:tcPr>
            <w:tcW w:type="dxa" w:w="28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SES</w:t>
            </w:r>
          </w:p>
        </w:tc>
        <w:tc>
          <w:tcPr>
            <w:tcW w:type="dxa" w:w="28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Correo saliente firmado (SPF/DKIM/DMARC) + inbound para respuestas A/B/C</w:t>
            </w:r>
          </w:p>
        </w:tc>
        <w:tc>
          <w:tcPr>
            <w:tcW w:type="dxa" w:w="28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Requiere salir del sandbox SES (solicitud a AWS, 24–48 h)</w:t>
            </w:r>
          </w:p>
        </w:tc>
      </w:tr>
      <w:tr>
        <w:tc>
          <w:tcPr>
            <w:tcW w:type="dxa" w:w="28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Route 53</w:t>
            </w:r>
          </w:p>
        </w:tc>
        <w:tc>
          <w:tcPr>
            <w:tcW w:type="dxa" w:w="28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DNS del Manager (</w:t>
            </w:r>
            <w:r>
              <w:rPr>
                <w:rFonts w:ascii="Consolas" w:hAnsi="Consolas"/>
                <w:color w:val="B03030"/>
                <w:sz w:val="19"/>
              </w:rPr>
              <w:t>manager.kriptome.pe</w:t>
            </w:r>
            <w:r>
              <w:rPr>
                <w:sz w:val="19"/>
              </w:rPr>
              <w:t>)</w:t>
            </w:r>
          </w:p>
        </w:tc>
        <w:tc>
          <w:tcPr>
            <w:tcW w:type="dxa" w:w="28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Anti lock-in: migrar = cambiar un registro, no re-tocar 250 agentes</w:t>
            </w:r>
          </w:p>
        </w:tc>
      </w:tr>
      <w:tr>
        <w:tc>
          <w:tcPr>
            <w:tcW w:type="dxa" w:w="28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IAM</w:t>
            </w:r>
          </w:p>
        </w:tc>
        <w:tc>
          <w:tcPr>
            <w:tcW w:type="dxa" w:w="28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MFA obligatorio, roles admin/operación separados</w:t>
            </w:r>
          </w:p>
        </w:tc>
        <w:tc>
          <w:tcPr>
            <w:tcW w:type="dxa" w:w="28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Cuenta raíz guardada, sin uso diario</w:t>
            </w:r>
          </w:p>
        </w:tc>
      </w:tr>
      <w:tr>
        <w:tc>
          <w:tcPr>
            <w:tcW w:type="dxa" w:w="28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CloudWatch + AWS Budgets</w:t>
            </w:r>
          </w:p>
        </w:tc>
        <w:tc>
          <w:tcPr>
            <w:tcW w:type="dxa" w:w="28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Métricas de la VM y </w:t>
            </w:r>
            <w:r>
              <w:rPr>
                <w:b/>
                <w:sz w:val="19"/>
              </w:rPr>
              <w:t>alarma de facturación al 80%</w:t>
            </w:r>
          </w:p>
        </w:tc>
        <w:tc>
          <w:tcPr>
            <w:tcW w:type="dxa" w:w="28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El dead-man switch de detección permanece EXTERNO a AWS (G8)</w:t>
            </w:r>
          </w:p>
        </w:tc>
      </w:tr>
      <w:tr>
        <w:tc>
          <w:tcPr>
            <w:tcW w:type="dxa" w:w="28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Región</w:t>
            </w:r>
          </w:p>
        </w:tc>
        <w:tc>
          <w:tcPr>
            <w:tcW w:type="dxa" w:w="28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sa-east-1 (São Paulo)</w:t>
            </w:r>
            <w:r>
              <w:rPr>
                <w:sz w:val="19"/>
              </w:rPr>
              <w:t xml:space="preserve"> o </w:t>
            </w:r>
            <w:r>
              <w:rPr>
                <w:b/>
                <w:sz w:val="19"/>
              </w:rPr>
              <w:t>us-east-1 (Virginia)</w:t>
            </w:r>
          </w:p>
        </w:tc>
        <w:tc>
          <w:tcPr>
            <w:tcW w:type="dxa" w:w="28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Única decisión AWS pendiente: residencia de datos (+35% costo) vs precio. Ver doc 05 §1</w:t>
            </w:r>
          </w:p>
        </w:tc>
      </w:tr>
    </w:tbl>
    <w:p>
      <w:pPr>
        <w:spacing w:after="40"/>
      </w:pPr>
    </w:p>
    <w:p>
      <w:pPr>
        <w:spacing w:before="80" w:after="80"/>
        <w:ind w:left="216"/>
        <w:shd w:val="clear" w:fill="F2F2F2"/>
      </w:pPr>
      <w:r>
        <w:rPr>
          <w:rFonts w:ascii="Consolas" w:hAnsi="Consolas"/>
          <w:sz w:val="18"/>
        </w:rPr>
        <w:t xml:space="preserve">                        Internet</w:t>
        <w:br/>
        <w:t xml:space="preserve">                           │</w:t>
        <w:br/>
        <w:t xml:space="preserve">        ┌──────────────────┼──────────────────────┐</w:t>
        <w:br/>
        <w:t xml:space="preserve">        │ 1514/tls agentes │ 1515 enrollment      │</w:t>
        <w:br/>
        <w:t xml:space="preserve">        │                  │ (solo en ventanas)   │</w:t>
        <w:br/>
        <w:t xml:space="preserve">        ▼                  ▼                      │</w:t>
        <w:br/>
        <w:t>┌─────────────────────────────────┐               │</w:t>
        <w:br/>
        <w:t>│ VM "wazuh"   8 vCPU / 16 GB     │               │</w:t>
        <w:br/>
        <w:t>│  Wazuh Manager 4.14.6           │      ┌────────┴───────────────┐</w:t>
        <w:br/>
        <w:t>│  Wazuh Indexer (single node)    │◄─────┤ Kriptome App           │</w:t>
        <w:br/>
        <w:t>│  Dashboard (solo vía VPN admin) │ 9200 │ (FUERA DE NUESTRO      │</w:t>
        <w:br/>
        <w:t>│  ruleset tuneado + listas CDB   │ priv │  ALCANCE — equipo dev; │</w:t>
        <w:br/>
        <w:t>│  disco: según medición EPS (G2) │ /VPN │  read-only, client_id) │</w:t>
        <w:br/>
        <w:t>└──────────────┬──────────────────┘      └────────────────────────┘</w:t>
        <w:br/>
        <w:t xml:space="preserve">               │ snapshots cada 6–12 h + alerts.json horario</w:t>
        <w:br/>
        <w:t xml:space="preserve">               ▼</w:t>
        <w:br/>
        <w:t xml:space="preserve">        Cold storage S3-compatible (90 días)</w:t>
        <w:br/>
        <w:br/>
        <w:t xml:space="preserve">  Admin: WireGuard/Tailscale → SSH y Dashboard (nunca expuestos a Internet)</w:t>
        <w:br/>
        <w:t xml:space="preserve">  Monitoreo externo: TCP 1514 + dead-man switch "0 alertas en 30 min"</w:t>
      </w:r>
    </w:p>
    <w:p>
      <w:r>
        <w:rPr>
          <w:b/>
        </w:rPr>
        <w:t>Escalabilidad (ruta definida, sin sobre-ingeniería):</w:t>
      </w:r>
    </w:p>
    <w:p>
      <w:pPr>
        <w:pStyle w:val="ListNumber"/>
      </w:pPr>
      <w:r>
        <w:rPr>
          <w:b/>
        </w:rPr>
        <w:t>Vertical primero:</w:t>
      </w:r>
      <w:r>
        <w:t xml:space="preserve"> empezar en 8 vCPU/16 GB y hacer *resize* de la misma VM (16/32) cuando las métricas lo pidan. Elegir una familia de VM del proveedor que permita resize sin migración y </w:t>
      </w:r>
      <w:r>
        <w:rPr>
          <w:b/>
        </w:rPr>
        <w:t>disco expandible en caliente</w:t>
      </w:r>
      <w:r>
        <w:t>.</w:t>
      </w:r>
    </w:p>
    <w:p>
      <w:pPr>
        <w:pStyle w:val="ListNumber"/>
      </w:pPr>
      <w:r>
        <w:rPr>
          <w:b/>
        </w:rPr>
        <w:t>Horizontal después:</w:t>
      </w:r>
      <w:r>
        <w:t xml:space="preserve"> separar el Indexer a su propia VM solo cuando los umbrales se sostengan (CPU&gt;60%, heap&gt;75%, disco&gt;70%, backlog&gt;1000, latencia&gt;30 s) — el trigger ya definido en el diseño original. Requiere red privada (VNet/VPC) entre VMs, que debe existir desde el día 1.</w:t>
      </w:r>
    </w:p>
    <w:p>
      <w:r>
        <w:rPr>
          <w:b/>
        </w:rPr>
        <w:t>Disponibilidad en piloto:</w:t>
      </w:r>
      <w:r>
        <w:t xml:space="preserve"> single-VM / single-zona, con el SLA del proveedor (~99.5–99.9%). RPO ≈ 1 h (snapshots + copia horaria de </w:t>
      </w:r>
      <w:r>
        <w:rPr>
          <w:rFonts w:ascii="Consolas" w:hAnsi="Consolas"/>
          <w:color w:val="B03030"/>
          <w:sz w:val="19"/>
        </w:rPr>
        <w:t>alerts.json</w:t>
      </w:r>
      <w:r>
        <w:t xml:space="preserve">), RTO ≈ 2–4 h (restaurar VM desde snapshot). Suficiente para el piloto </w:t>
      </w:r>
      <w:r>
        <w:rPr>
          <w:b/>
        </w:rPr>
        <w:t>si el SLA comercial lo refleja</w:t>
      </w:r>
      <w:r>
        <w:t>; alta disponibilidad multi-nodo se evalúa recién con 20+ clientes. Nota: los agentes Wazuh tienen buffer local — una caída corta del Manager no pierde eventos de endpoints, los reenvían al reconectar.</w:t>
      </w:r>
    </w:p>
    <w:p>
      <w:r>
        <w:rPr>
          <w:b/>
        </w:rPr>
        <w:t>Dimensionamiento del disco (obligatorio antes de contratar):</w:t>
      </w:r>
    </w:p>
    <w:p>
      <w:pPr>
        <w:spacing w:before="80" w:after="80"/>
        <w:ind w:left="216"/>
        <w:shd w:val="clear" w:fill="F2F2F2"/>
      </w:pPr>
      <w:r>
        <w:rPr>
          <w:rFonts w:ascii="Consolas" w:hAnsi="Consolas"/>
          <w:sz w:val="18"/>
        </w:rPr>
        <w:t>GB/día ≈ EPS_alertas_indexadas × 1–2 KB × 86,400 / 10^6</w:t>
        <w:br/>
        <w:t>Disco hot ≥ GB/día × 30 × 1.4 (overhead) + 20% libre</w:t>
      </w:r>
    </w:p>
    <w:p>
      <w:r>
        <w:t>Medir con los batches existentes (</w:t>
      </w:r>
      <w:r>
        <w:rPr>
          <w:rFonts w:ascii="Consolas" w:hAnsi="Consolas"/>
          <w:color w:val="B03030"/>
          <w:sz w:val="19"/>
        </w:rPr>
        <w:t>batch_all_99k.log</w:t>
      </w:r>
      <w:r>
        <w:t xml:space="preserve">) vía </w:t>
      </w:r>
      <w:r>
        <w:rPr>
          <w:rFonts w:ascii="Consolas" w:hAnsi="Consolas"/>
          <w:color w:val="B03030"/>
          <w:sz w:val="19"/>
        </w:rPr>
        <w:t>wazuh-logtest</w:t>
      </w:r>
      <w:r>
        <w:t xml:space="preserve">, contando qué proporción supera level ≥ 3. Estimación gruesa 250 endpoints mixtos: 2–10 GB/día → </w:t>
      </w:r>
      <w:r>
        <w:rPr>
          <w:b/>
        </w:rPr>
        <w:t>300 GB–1 TB</w:t>
      </w:r>
      <w:r>
        <w:t xml:space="preserve"> hot.</w:t>
      </w:r>
    </w:p>
    <w:p>
      <w:r>
        <w:rPr>
          <w:b/>
        </w:rPr>
        <w:t>Retención:</w:t>
      </w:r>
      <w:r>
        <w:t xml:space="preserve"> 30 días HOT (Indexer) + 90 días COLD (snapshots a S3) = 120 días.</w:t>
      </w:r>
    </w:p>
    <w:p>
      <w:r>
        <w:rPr>
          <w:b/>
        </w:rPr>
        <w:t>Trigger de separación Manager/Indexer</w:t>
      </w:r>
      <w:r>
        <w:t xml:space="preserve"> (doc original, se mantiene): CPU&gt;60% sostenido, heap&gt;75%, disco&gt;70%, backlog&gt;1000, latencia&gt;30 s, crecimiento de clientes/EPS.</w:t>
      </w:r>
    </w:p>
    <w:p>
      <w:pPr>
        <w:jc w:val="center"/>
      </w:pPr>
      <w:r>
        <w:rPr>
          <w:color w:val="AAAAAA"/>
        </w:rPr>
        <w:t>――――――――――――――――――――――――――――――</w:t>
      </w:r>
    </w:p>
    <w:p>
      <w:pPr>
        <w:pStyle w:val="Heading2"/>
      </w:pPr>
      <w:r>
        <w:rPr>
          <w:b/>
          <w:color w:val="1F2A44"/>
        </w:rPr>
        <w:t>5. Modelo de datos mínimo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1F4E79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Grupo</w:t>
            </w:r>
          </w:p>
        </w:tc>
        <w:tc>
          <w:tcPr>
            <w:tcW w:type="dxa" w:w="4320"/>
            <w:shd w:val="clear" w:fill="1F4E79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Tablas</w:t>
            </w:r>
          </w:p>
        </w:tc>
      </w:tr>
      <w:tr>
        <w:tc>
          <w:tcPr>
            <w:tcW w:type="dxa" w:w="432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Negocio</w:t>
            </w:r>
          </w:p>
        </w:tc>
        <w:tc>
          <w:tcPr>
            <w:tcW w:type="dxa" w:w="432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B03030"/>
                <w:sz w:val="19"/>
              </w:rPr>
              <w:t>clients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B03030"/>
                <w:sz w:val="19"/>
              </w:rPr>
              <w:t>sites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B03030"/>
                <w:sz w:val="19"/>
              </w:rPr>
              <w:t>assets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B03030"/>
                <w:sz w:val="19"/>
              </w:rPr>
              <w:t>contacts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B03030"/>
                <w:sz w:val="19"/>
              </w:rPr>
              <w:t>sla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B03030"/>
                <w:sz w:val="19"/>
              </w:rPr>
              <w:t>communication_rules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B03030"/>
                <w:sz w:val="19"/>
              </w:rPr>
              <w:t>authorized_procedures</w:t>
            </w:r>
          </w:p>
        </w:tc>
      </w:tr>
      <w:tr>
        <w:tc>
          <w:tcPr>
            <w:tcW w:type="dxa" w:w="432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Casos</w:t>
            </w:r>
          </w:p>
        </w:tc>
        <w:tc>
          <w:tcPr>
            <w:tcW w:type="dxa" w:w="432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B03030"/>
                <w:sz w:val="19"/>
              </w:rPr>
              <w:t>cases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B03030"/>
                <w:sz w:val="19"/>
              </w:rPr>
              <w:t>case_events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B03030"/>
                <w:sz w:val="19"/>
              </w:rPr>
              <w:t>case_history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B03030"/>
                <w:sz w:val="19"/>
              </w:rPr>
              <w:t>false_positives</w:t>
            </w:r>
          </w:p>
        </w:tc>
      </w:tr>
      <w:tr>
        <w:tc>
          <w:tcPr>
            <w:tcW w:type="dxa" w:w="432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Eficiencia</w:t>
            </w:r>
          </w:p>
        </w:tc>
        <w:tc>
          <w:tcPr>
            <w:tcW w:type="dxa" w:w="432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B03030"/>
                <w:sz w:val="19"/>
              </w:rPr>
              <w:t>enrichment_cache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B03030"/>
                <w:sz w:val="19"/>
              </w:rPr>
              <w:t>ai_decisions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B03030"/>
                <w:sz w:val="19"/>
              </w:rPr>
              <w:t>processing_checkpoint</w:t>
            </w:r>
          </w:p>
        </w:tc>
      </w:tr>
      <w:tr>
        <w:tc>
          <w:tcPr>
            <w:tcW w:type="dxa" w:w="432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Comunicación y control</w:t>
            </w:r>
          </w:p>
        </w:tc>
        <w:tc>
          <w:tcPr>
            <w:tcW w:type="dxa" w:w="432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B03030"/>
                <w:sz w:val="19"/>
              </w:rPr>
              <w:t>outbound_messages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B03030"/>
                <w:sz w:val="19"/>
              </w:rPr>
              <w:t>inbound_messages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B03030"/>
                <w:sz w:val="19"/>
              </w:rPr>
              <w:t>audit_log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B03030"/>
                <w:sz w:val="19"/>
              </w:rPr>
              <w:t>dead_letter</w:t>
            </w:r>
          </w:p>
        </w:tc>
      </w:tr>
    </w:tbl>
    <w:p>
      <w:pPr>
        <w:spacing w:after="40"/>
      </w:pPr>
    </w:p>
    <w:p>
      <w:r>
        <w:rPr>
          <w:b/>
        </w:rPr>
        <w:t>El caso</w:t>
      </w:r>
      <w:r>
        <w:t xml:space="preserve"> contiene: </w:t>
      </w:r>
      <w:r>
        <w:rPr>
          <w:rFonts w:ascii="Consolas" w:hAnsi="Consolas"/>
          <w:color w:val="B03030"/>
          <w:sz w:val="19"/>
        </w:rPr>
        <w:t>case_id</w:t>
      </w:r>
      <w:r>
        <w:t xml:space="preserve">, </w:t>
      </w:r>
      <w:r>
        <w:rPr>
          <w:rFonts w:ascii="Consolas" w:hAnsi="Consolas"/>
          <w:color w:val="B03030"/>
          <w:sz w:val="19"/>
        </w:rPr>
        <w:t>client_id</w:t>
      </w:r>
      <w:r>
        <w:t xml:space="preserve">, </w:t>
      </w:r>
      <w:r>
        <w:rPr>
          <w:rFonts w:ascii="Consolas" w:hAnsi="Consolas"/>
          <w:color w:val="B03030"/>
          <w:sz w:val="19"/>
        </w:rPr>
        <w:t>asset_id</w:t>
      </w:r>
      <w:r>
        <w:t xml:space="preserve">, tipo de incidente, </w:t>
      </w:r>
      <w:r>
        <w:rPr>
          <w:rFonts w:ascii="Consolas" w:hAnsi="Consolas"/>
          <w:color w:val="B03030"/>
          <w:sz w:val="19"/>
        </w:rPr>
        <w:t>fingerprint</w:t>
      </w:r>
      <w:r>
        <w:t xml:space="preserve">, </w:t>
      </w:r>
      <w:r>
        <w:rPr>
          <w:rFonts w:ascii="Consolas" w:hAnsi="Consolas"/>
          <w:color w:val="B03030"/>
          <w:sz w:val="19"/>
        </w:rPr>
        <w:t>event_count</w:t>
      </w:r>
      <w:r>
        <w:t>, estado, prioridad, primer/último evento, cambios materiales, enriquecimientos, procedimiento, decisiones IA, mensajes enviados, respuestas del cliente, historial.</w:t>
      </w:r>
    </w:p>
    <w:p>
      <w:pPr>
        <w:jc w:val="center"/>
      </w:pPr>
      <w:r>
        <w:rPr>
          <w:color w:val="AAAAAA"/>
        </w:rPr>
        <w:t>――――――――――――――――――――――――――――――</w:t>
      </w:r>
    </w:p>
    <w:p>
      <w:pPr>
        <w:pStyle w:val="Heading2"/>
      </w:pPr>
      <w:r>
        <w:rPr>
          <w:b/>
          <w:color w:val="1F2A44"/>
        </w:rPr>
        <w:t>6. Estados de un caso</w:t>
      </w:r>
    </w:p>
    <w:p>
      <w:pPr>
        <w:spacing w:before="80" w:after="80"/>
        <w:ind w:left="216"/>
        <w:shd w:val="clear" w:fill="F2F2F2"/>
      </w:pPr>
      <w:r>
        <w:rPr>
          <w:rFonts w:ascii="Consolas" w:hAnsi="Consolas"/>
          <w:sz w:val="18"/>
        </w:rPr>
        <w:t>stateDiagram-v2</w:t>
        <w:br/>
        <w:t xml:space="preserve">    [*] --&gt; Nuevo</w:t>
        <w:br/>
        <w:t xml:space="preserve">    Nuevo --&gt; EnAnalisis</w:t>
        <w:br/>
        <w:t xml:space="preserve">    EnAnalisis --&gt; Observando</w:t>
        <w:br/>
        <w:t xml:space="preserve">    EnAnalisis --&gt; EsperandoCliente</w:t>
        <w:br/>
        <w:t xml:space="preserve">    EnAnalisis --&gt; RevisionHumana</w:t>
        <w:br/>
        <w:t xml:space="preserve">    RevisionHumana --&gt; EsperandoCliente</w:t>
        <w:br/>
        <w:t xml:space="preserve">    RevisionHumana --&gt; Cerrado</w:t>
        <w:br/>
        <w:t xml:space="preserve">    EsperandoCliente --&gt; Observando</w:t>
        <w:br/>
        <w:t xml:space="preserve">    EsperandoCliente --&gt; Escalado</w:t>
        <w:br/>
        <w:t xml:space="preserve">    EsperandoCliente --&gt; Cerrado</w:t>
        <w:br/>
        <w:t xml:space="preserve">    Observando --&gt; Cerrado</w:t>
        <w:br/>
        <w:t xml:space="preserve">    Observando --&gt; Escalado</w:t>
        <w:br/>
        <w:t xml:space="preserve">    Escalado --&gt; Cerrado</w:t>
        <w:br/>
        <w:t xml:space="preserve">    Cerrado --&gt; Reabierto: cambio material</w:t>
        <w:br/>
        <w:t xml:space="preserve">    Reabierto --&gt; EnAnalisis</w:t>
      </w:r>
    </w:p>
    <w:p>
      <w:pPr>
        <w:jc w:val="center"/>
      </w:pPr>
      <w:r>
        <w:rPr>
          <w:color w:val="AAAAAA"/>
        </w:rPr>
        <w:t>――――――――――――――――――――――――――――――</w:t>
      </w:r>
    </w:p>
    <w:p>
      <w:pPr>
        <w:pStyle w:val="Heading2"/>
      </w:pPr>
      <w:r>
        <w:rPr>
          <w:b/>
          <w:color w:val="1F2A44"/>
        </w:rPr>
        <w:t>7. Controles de seguridad de la plataforma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1F4E79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Área</w:t>
            </w:r>
          </w:p>
        </w:tc>
        <w:tc>
          <w:tcPr>
            <w:tcW w:type="dxa" w:w="4320"/>
            <w:shd w:val="clear" w:fill="1F4E79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Controles</w:t>
            </w:r>
          </w:p>
        </w:tc>
      </w:tr>
      <w:tr>
        <w:tc>
          <w:tcPr>
            <w:tcW w:type="dxa" w:w="432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Tenant</w:t>
            </w:r>
          </w:p>
        </w:tc>
        <w:tc>
          <w:tcPr>
            <w:tcW w:type="dxa" w:w="432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B03030"/>
                <w:sz w:val="19"/>
              </w:rPr>
              <w:t>client_id</w:t>
            </w:r>
            <w:r>
              <w:rPr>
                <w:sz w:val="19"/>
              </w:rPr>
              <w:t xml:space="preserve"> obligatorio · clase única de acceso · sin DSL cruda desde endpoints públicos · test de aislamiento en CI · chequeo diario de alertas sin tenant</w:t>
            </w:r>
          </w:p>
        </w:tc>
      </w:tr>
      <w:tr>
        <w:tc>
          <w:tcPr>
            <w:tcW w:type="dxa" w:w="432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Credenciales</w:t>
            </w:r>
          </w:p>
        </w:tc>
        <w:tc>
          <w:tcPr>
            <w:tcW w:type="dxa" w:w="432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secretos fuera del código (secret manager/vars) · rotación: servicio 90 d, admin 60 d o tras incidente · mínimo privilegio · usuario read-only para la App · TLS en todo · auditoría</w:t>
            </w:r>
          </w:p>
        </w:tc>
      </w:tr>
      <w:tr>
        <w:tc>
          <w:tcPr>
            <w:tcW w:type="dxa" w:w="432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Acceso admin</w:t>
            </w:r>
          </w:p>
        </w:tc>
        <w:tc>
          <w:tcPr>
            <w:tcW w:type="dxa" w:w="432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WireGuard/Tailscale; SSH y Dashboard jamás expuestos; 1515 (enrollment) solo en ventanas de onboarding, con contraseña </w:t>
            </w:r>
            <w:r>
              <w:rPr>
                <w:rFonts w:ascii="Consolas" w:hAnsi="Consolas"/>
                <w:color w:val="B03030"/>
                <w:sz w:val="19"/>
              </w:rPr>
              <w:t>authd</w:t>
            </w:r>
            <w:r>
              <w:rPr>
                <w:sz w:val="19"/>
              </w:rPr>
              <w:t xml:space="preserve"> </w:t>
            </w:r>
            <w:r>
              <w:rPr>
                <w:b/>
                <w:sz w:val="19"/>
              </w:rPr>
              <w:t>distinta por cliente</w:t>
            </w:r>
            <w:r>
              <w:rPr>
                <w:sz w:val="19"/>
              </w:rPr>
              <w:t xml:space="preserve"> y rotada tras cada alta</w:t>
            </w:r>
          </w:p>
        </w:tc>
      </w:tr>
      <w:tr>
        <w:tc>
          <w:tcPr>
            <w:tcW w:type="dxa" w:w="432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IA</w:t>
            </w:r>
          </w:p>
        </w:tc>
        <w:tc>
          <w:tcPr>
            <w:tcW w:type="dxa" w:w="432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contexto mínimo (JSON del doc 03 de flujos) · sin secretos · sin datos de otros tenants · solo acciones del catálogo autorizado · validador posterior · humano obligatorio en críticos</w:t>
            </w:r>
          </w:p>
        </w:tc>
      </w:tr>
      <w:tr>
        <w:tc>
          <w:tcPr>
            <w:tcW w:type="dxa" w:w="432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Comunicación</w:t>
            </w:r>
          </w:p>
        </w:tc>
        <w:tc>
          <w:tcPr>
            <w:tcW w:type="dxa" w:w="432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destinatario resuelto por backend desde CMDB · </w:t>
            </w:r>
            <w:r>
              <w:rPr>
                <w:rFonts w:ascii="Consolas" w:hAnsi="Consolas"/>
                <w:color w:val="B03030"/>
                <w:sz w:val="19"/>
              </w:rPr>
              <w:t>message_key</w:t>
            </w:r>
            <w:r>
              <w:rPr>
                <w:sz w:val="19"/>
              </w:rPr>
              <w:t xml:space="preserve"> idempotente · SPF/DKIM/DMARC en el dominio de envío · auditoría de cada envío</w:t>
            </w:r>
          </w:p>
        </w:tc>
      </w:tr>
      <w:tr>
        <w:tc>
          <w:tcPr>
            <w:tcW w:type="dxa" w:w="432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Continuidad</w:t>
            </w:r>
          </w:p>
        </w:tc>
        <w:tc>
          <w:tcPr>
            <w:tcW w:type="dxa" w:w="432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snapshots 6–12 h · copia horaria de </w:t>
            </w:r>
            <w:r>
              <w:rPr>
                <w:rFonts w:ascii="Consolas" w:hAnsi="Consolas"/>
                <w:color w:val="B03030"/>
                <w:sz w:val="19"/>
              </w:rPr>
              <w:t>alerts.json</w:t>
            </w:r>
            <w:r>
              <w:rPr>
                <w:sz w:val="19"/>
              </w:rPr>
              <w:t xml:space="preserve"> a S3 (re-ingestable) · prueba de restore </w:t>
            </w:r>
            <w:r>
              <w:rPr>
                <w:b/>
                <w:sz w:val="19"/>
              </w:rPr>
              <w:t>mensual</w:t>
            </w:r>
            <w:r>
              <w:rPr>
                <w:sz w:val="19"/>
              </w:rPr>
              <w:t xml:space="preserve"> ("backup no probado no cuenta") · monitoreo externo con dead-man switch</w:t>
            </w:r>
          </w:p>
        </w:tc>
      </w:tr>
    </w:tbl>
    <w:p>
      <w:pPr>
        <w:spacing w:after="40"/>
      </w:pPr>
    </w:p>
    <w:p>
      <w:pPr>
        <w:jc w:val="center"/>
      </w:pPr>
      <w:r>
        <w:rPr>
          <w:color w:val="AAAAAA"/>
        </w:rPr>
        <w:t>――――――――――――――――――――――――――――――</w:t>
      </w:r>
    </w:p>
    <w:p>
      <w:pPr>
        <w:pStyle w:val="Heading2"/>
      </w:pPr>
      <w:r>
        <w:rPr>
          <w:b/>
          <w:color w:val="1F2A44"/>
        </w:rPr>
        <w:t>8. Riesgos principales y su control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1F4E79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Riesgo</w:t>
            </w:r>
          </w:p>
        </w:tc>
        <w:tc>
          <w:tcPr>
            <w:tcW w:type="dxa" w:w="4320"/>
            <w:shd w:val="clear" w:fill="1F4E79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Control de diseño</w:t>
            </w:r>
          </w:p>
        </w:tc>
      </w:tr>
      <w:tr>
        <w:tc>
          <w:tcPr>
            <w:tcW w:type="dxa" w:w="432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Fuga entre tenants</w:t>
            </w:r>
          </w:p>
        </w:tc>
        <w:tc>
          <w:tcPr>
            <w:tcW w:type="dxa" w:w="432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filtro obligatorio + tests CI + FP tenant-aware</w:t>
            </w:r>
          </w:p>
        </w:tc>
      </w:tr>
      <w:tr>
        <w:tc>
          <w:tcPr>
            <w:tcW w:type="dxa" w:w="432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Procesar dos veces el mismo evento</w:t>
            </w:r>
          </w:p>
        </w:tc>
        <w:tc>
          <w:tcPr>
            <w:tcW w:type="dxa" w:w="432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B03030"/>
                <w:sz w:val="19"/>
              </w:rPr>
              <w:t>event_hash</w:t>
            </w:r>
          </w:p>
        </w:tc>
      </w:tr>
      <w:tr>
        <w:tc>
          <w:tcPr>
            <w:tcW w:type="dxa" w:w="432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Alertas repetidas → múltiples casos</w:t>
            </w:r>
          </w:p>
        </w:tc>
        <w:tc>
          <w:tcPr>
            <w:tcW w:type="dxa" w:w="432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B03030"/>
                <w:sz w:val="19"/>
              </w:rPr>
              <w:t>case_fingerprint</w:t>
            </w:r>
          </w:p>
        </w:tc>
      </w:tr>
      <w:tr>
        <w:tc>
          <w:tcPr>
            <w:tcW w:type="dxa" w:w="432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Re-analizar repeticiones (tokens)</w:t>
            </w:r>
          </w:p>
        </w:tc>
        <w:tc>
          <w:tcPr>
            <w:tcW w:type="dxa" w:w="432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B03030"/>
                <w:sz w:val="19"/>
              </w:rPr>
              <w:t>material_change</w:t>
            </w:r>
            <w:r>
              <w:rPr>
                <w:sz w:val="19"/>
              </w:rPr>
              <w:t xml:space="preserve"> + </w:t>
            </w:r>
            <w:r>
              <w:rPr>
                <w:rFonts w:ascii="Consolas" w:hAnsi="Consolas"/>
                <w:color w:val="B03030"/>
                <w:sz w:val="19"/>
              </w:rPr>
              <w:t>ai_input_hash</w:t>
            </w:r>
          </w:p>
        </w:tc>
      </w:tr>
      <w:tr>
        <w:tc>
          <w:tcPr>
            <w:tcW w:type="dxa" w:w="432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Saturar APIs externas</w:t>
            </w:r>
          </w:p>
        </w:tc>
        <w:tc>
          <w:tcPr>
            <w:tcW w:type="dxa" w:w="432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B03030"/>
                <w:sz w:val="19"/>
              </w:rPr>
              <w:t>enrichment_cache</w:t>
            </w:r>
            <w:r>
              <w:rPr>
                <w:sz w:val="19"/>
              </w:rPr>
              <w:t xml:space="preserve"> con TTL</w:t>
            </w:r>
          </w:p>
        </w:tc>
      </w:tr>
      <w:tr>
        <w:tc>
          <w:tcPr>
            <w:tcW w:type="dxa" w:w="432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Correos duplicados</w:t>
            </w:r>
          </w:p>
        </w:tc>
        <w:tc>
          <w:tcPr>
            <w:tcW w:type="dxa" w:w="432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B03030"/>
                <w:sz w:val="19"/>
              </w:rPr>
              <w:t>message_key</w:t>
            </w:r>
          </w:p>
        </w:tc>
      </w:tr>
      <w:tr>
        <w:tc>
          <w:tcPr>
            <w:tcW w:type="dxa" w:w="432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IA inventa acciones</w:t>
            </w:r>
          </w:p>
        </w:tc>
        <w:tc>
          <w:tcPr>
            <w:tcW w:type="dxa" w:w="432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catálogo de procedimientos + validador + humano en críticos</w:t>
            </w:r>
          </w:p>
        </w:tc>
      </w:tr>
      <w:tr>
        <w:tc>
          <w:tcPr>
            <w:tcW w:type="dxa" w:w="432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Contacto equivocado</w:t>
            </w:r>
          </w:p>
        </w:tc>
        <w:tc>
          <w:tcPr>
            <w:tcW w:type="dxa" w:w="432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CMDB + resolución en backend</w:t>
            </w:r>
          </w:p>
        </w:tc>
      </w:tr>
      <w:tr>
        <w:tc>
          <w:tcPr>
            <w:tcW w:type="dxa" w:w="432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Pérdida de alertas</w:t>
            </w:r>
          </w:p>
        </w:tc>
        <w:tc>
          <w:tcPr>
            <w:tcW w:type="dxa" w:w="432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B03030"/>
                <w:sz w:val="19"/>
              </w:rPr>
              <w:t>processing_checkpoint</w:t>
            </w:r>
            <w:r>
              <w:rPr>
                <w:sz w:val="19"/>
              </w:rPr>
              <w:t xml:space="preserve"> + </w:t>
            </w:r>
            <w:r>
              <w:rPr>
                <w:rFonts w:ascii="Consolas" w:hAnsi="Consolas"/>
                <w:color w:val="B03030"/>
                <w:sz w:val="19"/>
              </w:rPr>
              <w:t>dead_letter</w:t>
            </w:r>
            <w:r>
              <w:rPr>
                <w:sz w:val="19"/>
              </w:rPr>
              <w:t xml:space="preserve"> con alerta por umbral</w:t>
            </w:r>
          </w:p>
        </w:tc>
      </w:tr>
      <w:tr>
        <w:tc>
          <w:tcPr>
            <w:tcW w:type="dxa" w:w="432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Pérdida de datos</w:t>
            </w:r>
          </w:p>
        </w:tc>
        <w:tc>
          <w:tcPr>
            <w:tcW w:type="dxa" w:w="432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snapshots + restore probado mensual</w:t>
            </w:r>
          </w:p>
        </w:tc>
      </w:tr>
      <w:tr>
        <w:tc>
          <w:tcPr>
            <w:tcW w:type="dxa" w:w="432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Saturación de recursos</w:t>
            </w:r>
          </w:p>
        </w:tc>
        <w:tc>
          <w:tcPr>
            <w:tcW w:type="dxa" w:w="432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métricas + umbrales + trigger de separación</w:t>
            </w:r>
          </w:p>
        </w:tc>
      </w:tr>
      <w:tr>
        <w:tc>
          <w:tcPr>
            <w:tcW w:type="dxa" w:w="432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SOC caído sin enterarse</w:t>
            </w:r>
          </w:p>
        </w:tc>
        <w:tc>
          <w:tcPr>
            <w:tcW w:type="dxa" w:w="432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monitoreo externo independiente (dead-man switch)</w:t>
            </w:r>
          </w:p>
        </w:tc>
      </w:tr>
    </w:tbl>
    <w:p>
      <w:pPr>
        <w:spacing w:after="40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2A44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2A44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2A44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F2A44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Calibri" w:hAnsi="Calibri"/>
      <w:b/>
      <w:color w:val="1F2A44"/>
      <w:sz w:val="2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1F2A44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