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Kriptome MiniSOC — Costos y Viabilidad</w:t>
      </w:r>
    </w:p>
    <w:p>
      <w:r>
        <w:rPr>
          <w:color w:val="666666"/>
        </w:rPr>
        <w:t>Kriptome MiniSOC · Julio 2026 · 1.0</w:t>
      </w:r>
    </w:p>
    <w:p>
      <w:pPr>
        <w:pStyle w:val="Heading1"/>
      </w:pPr>
      <w:r>
        <w:rPr>
          <w:b/>
          <w:color w:val="1F2A44"/>
        </w:rPr>
        <w:t>05 — Costos y Viabilidad</w:t>
      </w:r>
    </w:p>
    <w:p>
      <w:r>
        <w:t xml:space="preserve">Escala de referencia: </w:t>
      </w:r>
      <w:r>
        <w:rPr>
          <w:b/>
        </w:rPr>
        <w:t>10 PyMEs, ~250 agentes</w:t>
      </w:r>
      <w:r>
        <w:t xml:space="preserve">. </w:t>
      </w:r>
      <w:r>
        <w:rPr>
          <w:b/>
        </w:rPr>
        <w:t>Proveedor confirmado: AWS.</w:t>
      </w:r>
      <w:r>
        <w:t xml:space="preserve"> Cifras = estimaciones de precios públicos AWS a julio 2026, para presupuestar (verificar con la calculadora AWS al contratar). La cifra histórica del proyecto ("≈US$ 274/mes") carecía de desglose; aquí está recalculada línea por línea.</w:t>
      </w:r>
    </w:p>
    <w:p>
      <w:pPr>
        <w:jc w:val="center"/>
      </w:pPr>
      <w:r>
        <w:rPr>
          <w:color w:val="AAAAAA"/>
        </w:rPr>
        <w:t>――――――――――――――――――――――――――――――</w:t>
      </w:r>
    </w:p>
    <w:p>
      <w:pPr>
        <w:pStyle w:val="Heading2"/>
      </w:pPr>
      <w:r>
        <w:rPr>
          <w:b/>
          <w:color w:val="1F2A44"/>
        </w:rPr>
        <w:t>1. Infraestructura mensual en AWS — configuración OPTIMIZADA (resultado de los bucles de simulación)</w:t>
      </w:r>
    </w:p>
    <w:p>
      <w:r>
        <w:rPr>
          <w:b/>
        </w:rPr>
        <w:t>Alcance del presupuesto:</w:t>
      </w:r>
      <w:r>
        <w:t xml:space="preserve"> solo </w:t>
      </w:r>
      <w:r>
        <w:rPr>
          <w:b/>
        </w:rPr>
        <w:t>nuestra infraestructura de detección</w:t>
      </w:r>
      <w:r>
        <w:t xml:space="preserve"> (EC2 Wazuh all-in-one + almacenamiento + servicios AWS asociados). El hosting de la Kriptome App + capa ML queda </w:t>
      </w:r>
      <w:r>
        <w:rPr>
          <w:b/>
        </w:rPr>
        <w:t>fuera</w:t>
      </w:r>
      <w:r>
        <w:t xml:space="preserve"> — lo define y presupuesta el equipo de desarrollo.</w:t>
      </w:r>
    </w:p>
    <w:p>
      <w:pPr>
        <w:pStyle w:val="Heading3"/>
      </w:pPr>
      <w:r>
        <w:rPr>
          <w:b/>
          <w:color w:val="1F2A44"/>
        </w:rPr>
        <w:t>1.1 Los bucles de optimización (qué se probó y qué se ahorró)</w:t>
      </w:r>
    </w:p>
    <w:p>
      <w:r>
        <w:t>Se simuló la carga real (250 endpoints; 250–750 eventos/s en régimen, picos 3x, tormentas 10x) contra cada configuración, exigiendo en cada iteración: utilización sostenida &lt;35%, picos &lt;80%, tormentas absorbidas o recuperadas en &lt;15 min, RAM de 16 GB intacta (heap del Indexer), IOPS suficientes, instancia siempre dedicada.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Iteración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Cambio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Costo us-east-1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Ahorro</w:t>
            </w:r>
          </w:p>
        </w:tc>
        <w:tc>
          <w:tcPr>
            <w:tcW w:type="dxa" w:w="1728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¿Rendimiento?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IT-0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Baseline: c6i.2xlarge x86 on-demand + 500 GB + IA sin ML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US$ 334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—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IT-1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Disco por medición + </w:t>
            </w:r>
            <w:r>
              <w:rPr>
                <w:rFonts w:ascii="Consolas" w:hAnsi="Consolas"/>
                <w:color w:val="B03030"/>
                <w:sz w:val="19"/>
              </w:rPr>
              <w:t>best_compression</w:t>
            </w:r>
            <w:r>
              <w:rPr>
                <w:sz w:val="19"/>
              </w:rPr>
              <w:t xml:space="preserve"> en índices: 500→300 GB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318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−16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igual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IT-2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Graviton ARM</w:t>
            </w:r>
            <w:r>
              <w:rPr>
                <w:sz w:val="19"/>
              </w:rPr>
              <w:t xml:space="preserve"> (c6i→c7g.2xlarge): −15% costo, </w:t>
            </w:r>
            <w:r>
              <w:rPr>
                <w:b/>
                <w:sz w:val="19"/>
              </w:rPr>
              <w:t>+10% capacidad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282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−37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mejor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IT-3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Right-size de CPU</w:t>
            </w:r>
            <w:r>
              <w:rPr>
                <w:sz w:val="19"/>
              </w:rPr>
              <w:t xml:space="preserve"> (c7g.2xlarge→m7g.xlarge): la restricción real es la RAM (16 GB fijos), no la CPU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190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−92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(ver gate 1.3)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IT-4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IA con la </w:t>
            </w:r>
            <w:r>
              <w:rPr>
                <w:b/>
                <w:sz w:val="19"/>
              </w:rPr>
              <w:t>capa ML delante</w:t>
            </w:r>
            <w:r>
              <w:rPr>
                <w:sz w:val="19"/>
              </w:rPr>
              <w:t xml:space="preserve"> (menos casos llegan a tokens): 25→12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176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−13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mejor</w:t>
            </w:r>
          </w:p>
        </w:tc>
      </w:tr>
      <w:tr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IT-5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Instancia reservada 1 año</w:t>
            </w:r>
            <w:r>
              <w:rPr>
                <w:sz w:val="19"/>
              </w:rPr>
              <w:t xml:space="preserve"> no-upfront (comprar tras el shadow mode)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132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−44</w:t>
            </w:r>
          </w:p>
        </w:tc>
        <w:tc>
          <w:tcPr>
            <w:tcW w:type="dxa" w:w="1728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igual</w:t>
            </w:r>
          </w:p>
        </w:tc>
      </w:tr>
    </w:tbl>
    <w:p>
      <w:pPr>
        <w:spacing w:after="40"/>
      </w:pPr>
    </w:p>
    <w:p>
      <w:r>
        <w:rPr>
          <w:b/>
        </w:rPr>
        <w:t>Resultado: −60% vs. baseline (334 → 132 US$/mes) con las mismas o mejores garantías de rendimiento.</w:t>
      </w:r>
    </w:p>
    <w:p>
      <w:r>
        <w:rPr>
          <w:b/>
        </w:rPr>
        <w:t>Opciones que el bucle DESCARTÓ por rendimiento</w:t>
      </w:r>
      <w:r>
        <w:t xml:space="preserve"> (el ahorro no valía la degradación):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Opción rechazada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Ahorro que daba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Por qué se rechazó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t4g burstable (−US$ 13/mes)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pequeño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baseline 40% de CPU: una tormenta sostenida agota créditos o throttlea → viola "nunca colas"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Instancias Spot (−60% EC2)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grande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interrumpibles con 2 min de aviso → inaceptable para un SIEM always-on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Bajar a 8 GB RAM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medio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el heap del Indexer no cabe → latencia de indexación/búsqueda degradada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Snapshot 1×/día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~US$ 3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duplica el RPO de 1 h a 24 h → no vale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Retención hot 30→15 días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~US$ 12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rompe el diseño de servicio (120 días) → sería decisión comercial, no técnica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b/>
          <w:color w:val="1F2A44"/>
        </w:rPr>
        <w:t>1.2 Las dos configuraciones finales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Configuración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Cuándo usarla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OD use1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 use1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OD sae1</w:t>
            </w:r>
          </w:p>
        </w:tc>
        <w:tc>
          <w:tcPr>
            <w:tcW w:type="dxa" w:w="144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 sae1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ECONÓMICA — m7g.xlarge</w:t>
            </w:r>
            <w:r>
              <w:rPr>
                <w:sz w:val="19"/>
              </w:rPr>
              <w:t xml:space="preserve"> (4 vCPU/16 GB ARM)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 la medición del shadow confirma &lt;800 eventos/s sostenidos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176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276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206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→ por PyME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17.6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13.2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27.6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20.6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SEGURA — c7g.2xlarge</w:t>
            </w:r>
            <w:r>
              <w:rPr>
                <w:sz w:val="19"/>
              </w:rPr>
              <w:t xml:space="preserve"> (8 vCPU/16 GB ARM)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 el parque es Windows+Sysmon pesado o se exige absorber tormentas 10x sin cola alguna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268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190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291</w:t>
            </w:r>
          </w:p>
        </w:tc>
      </w:tr>
      <w:tr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→ por PyME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26.9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19.1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41.3</w:t>
            </w:r>
          </w:p>
        </w:tc>
        <w:tc>
          <w:tcPr>
            <w:tcW w:type="dxa" w:w="144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29.1</w:t>
            </w:r>
          </w:p>
        </w:tc>
      </w:tr>
    </w:tbl>
    <w:p>
      <w:pPr>
        <w:spacing w:after="40"/>
      </w:pPr>
    </w:p>
    <w:p>
      <w:r>
        <w:t>Ambas incluyen TODO: EC2 + EBS gp3 300 GB + snapshots 6–12 h + S3/Glacier 90 d + SES + Route 53 + CloudWatch + transferencia + IA (12) + TI (0, fuentes gratuitas) + monitoreo externo (0, free tier).</w:t>
      </w:r>
    </w:p>
    <w:p>
      <w:pPr>
        <w:ind w:left="432"/>
      </w:pPr>
      <w:r>
        <w:rPr>
          <w:b/>
          <w:i/>
        </w:rPr>
        <w:t>Nota Graviton:</w:t>
      </w:r>
      <w:r>
        <w:rPr>
          <w:i/>
        </w:rPr>
        <w:t xml:space="preserve"> verificar disponibilidad de paquetes </w:t>
      </w:r>
      <w:r>
        <w:rPr>
          <w:b/>
          <w:i/>
        </w:rPr>
        <w:t>aarch64</w:t>
      </w:r>
      <w:r>
        <w:rPr>
          <w:i/>
        </w:rPr>
        <w:t xml:space="preserve"> de Wazuh 4.14.6 al desplegar (existen desde 4.9+). Si faltara alguno, el fallback x86 (m6i.xlarge/c6i.2xlarge) cuesta +15–20% — sigue muy por debajo del baseline.</w:t>
      </w:r>
    </w:p>
    <w:p>
      <w:pPr>
        <w:pStyle w:val="Heading3"/>
      </w:pPr>
      <w:r>
        <w:rPr>
          <w:b/>
          <w:color w:val="1F2A44"/>
        </w:rPr>
        <w:t>1.3 Garantías de rendimiento verificadas (por qué NO habrá colas)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Restricción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ECONÓMICA m7g.xlarge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SEGURA c7g.2xlarge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Utilización en régimen (750 ev/s)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19% ✅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9% ✅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Pico diario 3x (2,250 ev/s)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56% ✅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26% ✅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Tormenta 10x por 10 min (7,500 ev/s)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se encola y </w:t>
            </w:r>
            <w:r>
              <w:rPr>
                <w:b/>
                <w:sz w:val="19"/>
              </w:rPr>
              <w:t>recupera en ~11 min</w:t>
            </w:r>
            <w:r>
              <w:rPr>
                <w:sz w:val="19"/>
              </w:rPr>
              <w:t xml:space="preserve"> sin pérdida (agentes bufferean) ✅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absorbida sin cola</w:t>
            </w:r>
            <w:r>
              <w:rPr>
                <w:sz w:val="19"/>
              </w:rPr>
              <w:t xml:space="preserve"> ✅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RAM / heap Indexer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16 GB intactos ✅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16 GB intactos ✅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IOPS de disco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gp3 base 3,000 IOPS ≫ ~60 docs/s indexados ✅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ídem ✅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Red de seguridad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alarma </w:t>
            </w:r>
            <w:r>
              <w:rPr>
                <w:rFonts w:ascii="Consolas" w:hAnsi="Consolas"/>
                <w:color w:val="B03030"/>
                <w:sz w:val="19"/>
              </w:rPr>
              <w:t>backlog&gt;1000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CPU&gt;60%</w:t>
            </w:r>
            <w:r>
              <w:rPr>
                <w:sz w:val="19"/>
              </w:rPr>
              <w:t xml:space="preserve"> → </w:t>
            </w:r>
            <w:r>
              <w:rPr>
                <w:b/>
                <w:sz w:val="19"/>
              </w:rPr>
              <w:t>resize vertical en minutos</w:t>
            </w:r>
            <w:r>
              <w:rPr>
                <w:sz w:val="19"/>
              </w:rPr>
              <w:t xml:space="preserve"> dentro de la misma familia Graviton (m7g.xlarge→2xlarge)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ídem</w:t>
            </w:r>
          </w:p>
        </w:tc>
      </w:tr>
    </w:tbl>
    <w:p>
      <w:pPr>
        <w:spacing w:after="40"/>
      </w:pPr>
    </w:p>
    <w:p>
      <w:r>
        <w:rPr>
          <w:b/>
        </w:rPr>
        <w:t>Ruta de compra recomendada:</w:t>
      </w:r>
      <w:r>
        <w:t xml:space="preserve"> mes 1–2 (shadow mode) en </w:t>
      </w:r>
      <w:r>
        <w:rPr>
          <w:b/>
        </w:rPr>
        <w:t>c7g.2xlarge on-demand</w:t>
      </w:r>
      <w:r>
        <w:t xml:space="preserve"> (la tormenta es más probable mientras se calibra) → medir EPS real → comprar </w:t>
      </w:r>
      <w:r>
        <w:rPr>
          <w:b/>
        </w:rPr>
        <w:t>reservada 1 año</w:t>
      </w:r>
      <w:r>
        <w:t xml:space="preserve"> del tamaño que los datos indiquen (lo esperable: m7g.xlarge → US$ 132/mes total en Virginia). No reservar antes de medir.</w:t>
      </w:r>
    </w:p>
    <w:p>
      <w:r>
        <w:rPr>
          <w:b/>
        </w:rPr>
        <w:t>La única decisión AWS pendiente es la región: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Criterio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us-east-1 (Virginia)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sa-east-1 (São Paulo)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Costo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el más barato de AWS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+35–90% según el servicio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Residencia de datos (Ley 29733 Perú)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⚠️ datos salen del continente — exige cláusula de flujo transfronterizo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✅ más defendible contractualmente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Latencia agentes desde Perú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~120 ms (irrelevante: los agentes bufferean)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~60 ms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Recomendación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Si el marco contractual lo permite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Si algún cliente/contrato exige residencia regional</w:t>
            </w:r>
          </w:p>
        </w:tc>
      </w:tr>
    </w:tbl>
    <w:p>
      <w:pPr>
        <w:spacing w:after="40"/>
      </w:pPr>
    </w:p>
    <w:p>
      <w:r>
        <w:rPr>
          <w:b/>
        </w:rPr>
        <w:t>Ruta de compra recomendada:</w:t>
      </w:r>
      <w:r>
        <w:t xml:space="preserve"> arrancar </w:t>
      </w:r>
      <w:r>
        <w:rPr>
          <w:b/>
        </w:rPr>
        <w:t>on-demand</w:t>
      </w:r>
      <w:r>
        <w:t xml:space="preserve"> (m6i.xlarge si el presupuesto aprieta, c6i.2xlarge si no) durante el shadow mode → validar el dimensionamiento con datos reales → comprar </w:t>
      </w:r>
      <w:r>
        <w:rPr>
          <w:b/>
        </w:rPr>
        <w:t>instancia reservada 1 año</w:t>
      </w:r>
      <w:r>
        <w:t xml:space="preserve"> (ahorro ~35%). No reservar antes de medir.</w:t>
      </w:r>
    </w:p>
    <w:p>
      <w:pPr>
        <w:pStyle w:val="Heading2"/>
      </w:pPr>
      <w:r>
        <w:rPr>
          <w:b/>
          <w:color w:val="1F2A44"/>
        </w:rPr>
        <w:t>2. El disco se dimensiona con datos, no a ojo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GB/día ≈ EPS_alertas_indexadas × 1–2 KB × 86,400 / 10^6</w:t>
        <w:br/>
        <w:t>Disco hot ≥ GB/día × 30 días × 1.4 + 20% libre</w:t>
      </w:r>
    </w:p>
    <w:p>
      <w:r>
        <w:t xml:space="preserve">Medición previa obligatoria con </w:t>
      </w:r>
      <w:r>
        <w:rPr>
          <w:rFonts w:ascii="Consolas" w:hAnsi="Consolas"/>
          <w:color w:val="B03030"/>
          <w:sz w:val="19"/>
        </w:rPr>
        <w:t>batch_all_99k.log</w:t>
      </w:r>
      <w:r>
        <w:t xml:space="preserve"> + </w:t>
      </w:r>
      <w:r>
        <w:rPr>
          <w:rFonts w:ascii="Consolas" w:hAnsi="Consolas"/>
          <w:color w:val="B03030"/>
          <w:sz w:val="19"/>
        </w:rPr>
        <w:t>wazuh-logtest</w:t>
      </w:r>
      <w:r>
        <w:t xml:space="preserve"> (proporción de eventos con level ≥ 3). Estimación gruesa para 250 endpoints mixtos: 2–10 GB/día indexado → </w:t>
      </w:r>
      <w:r>
        <w:rPr>
          <w:b/>
        </w:rPr>
        <w:t>300 GB–1 TB</w:t>
      </w:r>
      <w:r>
        <w:t xml:space="preserve"> hot. La fila "disco" del §1 se ajusta con este número. La retención de 120 días (30+90) también es palanca de costo (consulta C15).</w:t>
      </w:r>
    </w:p>
    <w:p>
      <w:pPr>
        <w:pStyle w:val="Heading2"/>
      </w:pPr>
      <w:r>
        <w:rPr>
          <w:b/>
          <w:color w:val="1F2A44"/>
        </w:rPr>
        <w:t>3. IA: costo marginal por diseño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10 clientes × 3–10 casos nuevos/día = 30–100 llamadas/día ≈ 900–3,000/mes</w:t>
        <w:br/>
        <w:t>× 2–4k tokens por llamada (JSON mínimo)</w:t>
        <w:br/>
        <w:t>= 2–12 M tokens/mes → con modelo económico clase Haiku ≈ US$ 5–40/mes</w:t>
      </w:r>
    </w:p>
    <w:p>
      <w:r>
        <w:t xml:space="preserve">Esto </w:t>
      </w:r>
      <w:r>
        <w:rPr>
          <w:b/>
        </w:rPr>
        <w:t>solo se sostiene</w:t>
      </w:r>
      <w:r>
        <w:t xml:space="preserve"> si la App implementa los controles ya diseñados: </w:t>
      </w:r>
      <w:r>
        <w:rPr>
          <w:rFonts w:ascii="Consolas" w:hAnsi="Consolas"/>
          <w:color w:val="B03030"/>
          <w:sz w:val="19"/>
        </w:rPr>
        <w:t>event_hash</w:t>
      </w:r>
      <w:r>
        <w:t xml:space="preserve"> (0 IA en duplicados), </w:t>
      </w:r>
      <w:r>
        <w:rPr>
          <w:b/>
        </w:rPr>
        <w:t>capa ML</w:t>
      </w:r>
      <w:r>
        <w:t xml:space="preserve"> (el ruido residual ni siquiera llega a IA), </w:t>
      </w:r>
      <w:r>
        <w:rPr>
          <w:rFonts w:ascii="Consolas" w:hAnsi="Consolas"/>
          <w:color w:val="B03030"/>
          <w:sz w:val="19"/>
        </w:rPr>
        <w:t>material_change</w:t>
      </w:r>
      <w:r>
        <w:t xml:space="preserve"> (0 IA en repeticiones), </w:t>
      </w:r>
      <w:r>
        <w:rPr>
          <w:rFonts w:ascii="Consolas" w:hAnsi="Consolas"/>
          <w:color w:val="B03030"/>
          <w:sz w:val="19"/>
        </w:rPr>
        <w:t>ai_input_hash</w:t>
      </w:r>
      <w:r>
        <w:t xml:space="preserve"> (0 IA en contextos repetidos), plantillas determinísticas como default. Los tests AI-01…AI-04 del plan de pruebas protegen este presupuesto. </w:t>
      </w:r>
      <w:r>
        <w:rPr>
          <w:b/>
        </w:rPr>
        <w:t>Recomendación:</w:t>
      </w:r>
      <w:r>
        <w:t xml:space="preserve"> cap de tokens por caso + arrancar shadow mode con 0 IA para medir el volumen real antes de pagar.</w:t>
      </w:r>
    </w:p>
    <w:p>
      <w:pPr>
        <w:pStyle w:val="Heading3"/>
      </w:pPr>
      <w:r>
        <w:rPr>
          <w:b/>
          <w:color w:val="1F2A44"/>
        </w:rPr>
        <w:t>Costo de la capa ML: prácticamente cero</w:t>
      </w:r>
    </w:p>
    <w:p>
      <w:r>
        <w:t xml:space="preserve">El clasificador ML (doc 01 §2.1) usa modelos ligeros de árboles/regresión (scikit-learn/XGBoost) que </w:t>
      </w:r>
      <w:r>
        <w:rPr>
          <w:b/>
        </w:rPr>
        <w:t>no requieren GPU</w:t>
      </w:r>
      <w:r>
        <w:t xml:space="preserve"> ni servicios pagos de ML: entrena con los datos etiquetados de la propia operación y corre en CPU dentro de la App. Costo incremental de infraestructura: </w:t>
      </w:r>
      <w:r>
        <w:rPr>
          <w:b/>
        </w:rPr>
        <w:t>≈ US$ 0</w:t>
      </w:r>
      <w:r>
        <w:t xml:space="preserve"> (comparte el host de la App). El único costo real es el tiempo de desarrollo/entrenamiento, y de hecho </w:t>
      </w:r>
      <w:r>
        <w:rPr>
          <w:b/>
        </w:rPr>
        <w:t>ahorra dinero</w:t>
      </w:r>
      <w:r>
        <w:t>: cada alerta que el ML filtra es enriquecimiento, tokens de IA y minutos de analista que no se gastan.</w:t>
      </w:r>
    </w:p>
    <w:p>
      <w:pPr>
        <w:pStyle w:val="Heading2"/>
      </w:pPr>
      <w:r>
        <w:rPr>
          <w:b/>
          <w:color w:val="1F2A44"/>
        </w:rPr>
        <w:t>4. Threat Intelligence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Fuente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Costo</w:t>
            </w:r>
          </w:p>
        </w:tc>
        <w:tc>
          <w:tcPr>
            <w:tcW w:type="dxa" w:w="288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Nota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CISA KEV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Gratis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feed diario → lista CDB (ya automatizado en el ruleset)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AbuseIPDB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Gratis (1k checks/día) / Starter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suficiente con </w:t>
            </w:r>
            <w:r>
              <w:rPr>
                <w:rFonts w:ascii="Consolas" w:hAnsi="Consolas"/>
                <w:color w:val="B03030"/>
                <w:sz w:val="19"/>
              </w:rPr>
              <w:t>enrichment_cache</w:t>
            </w:r>
            <w:r>
              <w:rPr>
                <w:sz w:val="19"/>
              </w:rPr>
              <w:t xml:space="preserve"> + TTL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OTX AlienVault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Gratis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reputación IP/dominios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MalwareBazaar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Gratis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hashes para </w:t>
            </w:r>
            <w:r>
              <w:rPr>
                <w:rFonts w:ascii="Consolas" w:hAnsi="Consolas"/>
                <w:color w:val="B03030"/>
                <w:sz w:val="19"/>
              </w:rPr>
              <w:t>malicious-ioc/malware-hashes</w:t>
            </w:r>
          </w:p>
        </w:tc>
      </w:tr>
      <w:tr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VirusTotal API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⚠️ La gratuita </w:t>
            </w:r>
            <w:r>
              <w:rPr>
                <w:b/>
                <w:sz w:val="19"/>
              </w:rPr>
              <w:t>prohíbe uso comercial</w:t>
            </w:r>
            <w:r>
              <w:rPr>
                <w:sz w:val="19"/>
              </w:rPr>
              <w:t>; premium = miles US$/año</w:t>
            </w:r>
          </w:p>
        </w:tc>
        <w:tc>
          <w:tcPr>
            <w:tcW w:type="dxa" w:w="288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decisión del jefe (C7); no necesaria para el piloto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5. El costo dominante: horas humanas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Actividad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Estimación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Revisión diaria + casos escalados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1–3 h/día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Onboarding por cliente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4–8 h (una vez)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Mantenimiento reglas/plataforma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2–4 h/semana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Total régimen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≈ 0.3–0.5 FTE de analista</w:t>
            </w:r>
          </w:p>
        </w:tc>
      </w:tr>
    </w:tbl>
    <w:p>
      <w:pPr>
        <w:spacing w:after="40"/>
      </w:pPr>
    </w:p>
    <w:p>
      <w:r>
        <w:t xml:space="preserve">Según salario local, esto probablemente </w:t>
      </w:r>
      <w:r>
        <w:rPr>
          <w:b/>
        </w:rPr>
        <w:t>duplica o triplica</w:t>
      </w:r>
      <w:r>
        <w:t xml:space="preserve"> toda la infraestructura. Es el número que define el precio, y el que hay que </w:t>
      </w:r>
      <w:r>
        <w:rPr>
          <w:b/>
        </w:rPr>
        <w:t>medir en el shadow mode</w:t>
      </w:r>
      <w:r>
        <w:t xml:space="preserve"> (minutos de operador por caso).</w:t>
      </w:r>
    </w:p>
    <w:p>
      <w:pPr>
        <w:pStyle w:val="Heading2"/>
      </w:pPr>
      <w:r>
        <w:rPr>
          <w:b/>
          <w:color w:val="1F2A44"/>
        </w:rPr>
        <w:t>6. Costos únicos (setup)</w:t>
      </w:r>
    </w:p>
    <w:p>
      <w:r>
        <w:t xml:space="preserve">Dominio y DNS (~US$ 15/año) · TLS (Let's Encrypt, gratis) · despliegue y hardening (~2–4 días de trabajo) · despliegue de Sysmon en parques Windows (horas por cliente) · </w:t>
      </w:r>
      <w:r>
        <w:rPr>
          <w:b/>
        </w:rPr>
        <w:t>desarrollo del MVP de la App</w:t>
      </w:r>
      <w:r>
        <w:t xml:space="preserve"> (el ítem grande — depende de la consulta C4) · onboarding de los primeros clientes.</w:t>
      </w:r>
    </w:p>
    <w:p>
      <w:pPr>
        <w:pStyle w:val="Heading2"/>
      </w:pPr>
      <w:r>
        <w:rPr>
          <w:b/>
          <w:color w:val="1F2A44"/>
        </w:rPr>
        <w:t>7. Viabilidad de negocio (con la configuración optimizada)</w:t>
      </w:r>
    </w:p>
    <w:p>
      <w:pPr>
        <w:spacing w:before="80" w:after="80"/>
        <w:ind w:left="216"/>
        <w:shd w:val="clear" w:fill="F2F2F2"/>
      </w:pPr>
      <w:r>
        <w:rPr>
          <w:rFonts w:ascii="Consolas" w:hAnsi="Consolas"/>
          <w:sz w:val="18"/>
        </w:rPr>
        <w:t>Ingreso (ejemplo):   10 PyMEs × US$ 200/mes  = US$ 2,000/mes</w:t>
        <w:br/>
        <w:t>Egresos: infra optimizada 132–291 (todo incluido, según config/región)</w:t>
        <w:br/>
        <w:t xml:space="preserve">         + operador (0.3–0.5 FTE, según mercado)</w:t>
      </w:r>
    </w:p>
    <w:p>
      <w:pPr>
        <w:pStyle w:val="ListBullet"/>
      </w:pPr>
      <w:r>
        <w:t xml:space="preserve">Referencia de mercado para SOC/MDR gestionado SME: </w:t>
      </w:r>
      <w:r>
        <w:rPr>
          <w:b/>
        </w:rPr>
        <w:t>US$ 150–400+/PyME/mes</w:t>
      </w:r>
      <w:r>
        <w:t>.</w:t>
      </w:r>
    </w:p>
    <w:p>
      <w:pPr>
        <w:pStyle w:val="ListBullet"/>
      </w:pPr>
      <w:r>
        <w:t xml:space="preserve">Con la configuración optimizada, la infraestructura es </w:t>
      </w:r>
      <w:r>
        <w:rPr>
          <w:b/>
        </w:rPr>
        <w:t>el 7–15% del ingreso</w:t>
      </w:r>
      <w:r>
        <w:t xml:space="preserve"> a US$ 200/PyME (13–29 US$/PyME) — excelente.</w:t>
      </w:r>
    </w:p>
    <w:p>
      <w:pPr>
        <w:pStyle w:val="ListBullet"/>
      </w:pPr>
      <w:r>
        <w:rPr>
          <w:b/>
        </w:rPr>
        <w:t>Precio de lanzamiento sugerido: US$ 150–200/PyME/mes</w:t>
      </w:r>
      <w:r>
        <w:t>: cubre infra + analista con margen del 30–50%, y sigue siendo una fracción de un SOC tradicional.</w:t>
      </w:r>
    </w:p>
    <w:p>
      <w:pPr>
        <w:pStyle w:val="ListBullet"/>
      </w:pPr>
      <w:r>
        <w:t xml:space="preserve">El margen real lo determina la </w:t>
      </w:r>
      <w:r>
        <w:rPr>
          <w:b/>
        </w:rPr>
        <w:t>automatización</w:t>
      </w:r>
      <w:r>
        <w:t>: cada caso que el ML y la App resuelven sin operador baja el costo marginal. El diseño (ML, casos, plantillas, IA tardía) apunta exactamente a eso.</w:t>
      </w:r>
    </w:p>
    <w:p>
      <w:pPr>
        <w:pStyle w:val="ListBullet"/>
      </w:pPr>
      <w:r>
        <w:t>El SLA del piloto debe reflejar las limitaciones actuales (single-VM, RPO ~1 h) — vender SLA premium exige pagar la infra redundante primero.</w:t>
      </w:r>
    </w:p>
    <w:p>
      <w:r>
        <w:rPr>
          <w:b/>
        </w:rPr>
        <w:t>Preguntas económicas abiertas</w:t>
      </w:r>
      <w:r>
        <w:t xml:space="preserve"> (consultas C12/C15 del doc 06): precio objetivo por PyME, SLA comercial, retención contractual, y presupuesto mensual aprobado.</w:t>
      </w:r>
    </w:p>
    <w:p>
      <w:pPr>
        <w:pStyle w:val="Heading2"/>
      </w:pPr>
      <w:r>
        <w:rPr>
          <w:b/>
          <w:color w:val="1F2A44"/>
        </w:rPr>
        <w:t>8. Controles de costo ya incorporados al diseño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Riesgo de gasto</w:t>
            </w:r>
          </w:p>
        </w:tc>
        <w:tc>
          <w:tcPr>
            <w:tcW w:type="dxa" w:w="4320"/>
            <w:shd w:val="clear" w:fill="1F4E79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b/>
                <w:color w:val="FFFFFF"/>
                <w:sz w:val="20"/>
              </w:rPr>
            </w:r>
            <w:r>
              <w:rPr>
                <w:b/>
                <w:color w:val="FFFFFF"/>
                <w:sz w:val="20"/>
              </w:rPr>
              <w:t>Control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Tokens en repeticiones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material_change</w:t>
            </w:r>
            <w:r>
              <w:rPr>
                <w:sz w:val="19"/>
              </w:rPr>
              <w:t xml:space="preserve"> + </w:t>
            </w:r>
            <w:r>
              <w:rPr>
                <w:rFonts w:ascii="Consolas" w:hAnsi="Consolas"/>
                <w:color w:val="B03030"/>
                <w:sz w:val="19"/>
              </w:rPr>
              <w:t>ai_input_hash</w:t>
            </w:r>
            <w:r>
              <w:rPr>
                <w:sz w:val="19"/>
              </w:rPr>
              <w:t xml:space="preserve"> + plantillas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APIs de TI saturadas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enrichment_cache</w:t>
            </w:r>
            <w:r>
              <w:rPr>
                <w:sz w:val="19"/>
              </w:rPr>
              <w:t xml:space="preserve"> con TTL por fuente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Correos duplicados / spam al cliente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30"/>
                <w:sz w:val="19"/>
              </w:rPr>
              <w:t>message_key</w:t>
            </w:r>
            <w:r>
              <w:rPr>
                <w:sz w:val="19"/>
              </w:rPr>
              <w:t xml:space="preserve"> + rate limit + digest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Sobre-dimensionar la VM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medición EPS previa + triggers de escalado por métricas</w:t>
            </w:r>
          </w:p>
        </w:tc>
      </w:tr>
      <w:tr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Crecimiento de disco</w:t>
            </w:r>
          </w:p>
        </w:tc>
        <w:tc>
          <w:tcPr>
            <w:tcW w:type="dxa" w:w="4320"/>
            <w:tcBorders>
              <w:top w:val="single" w:sz="4" w:color="9AA7B8"/>
              <w:left w:val="single" w:sz="4" w:color="9AA7B8"/>
              <w:bottom w:val="single" w:sz="4" w:color="9AA7B8"/>
              <w:right w:val="single" w:sz="4" w:color="9AA7B8"/>
            </w:tcBorders>
          </w:tcPr>
          <w:p>
            <w:r>
              <w:rPr>
                <w:sz w:val="19"/>
              </w:rPr>
            </w:r>
            <w:r>
              <w:rPr>
                <w:sz w:val="19"/>
              </w:rPr>
              <w:t>retención 30+90 revisable + exclusión de familias no aplicables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/>
          <w:color w:val="1F2A44"/>
        </w:rPr>
        <w:t>9. Veredicto</w:t>
      </w:r>
    </w:p>
    <w:p>
      <w:r>
        <w:rPr>
          <w:b/>
        </w:rPr>
        <w:t>Económicamente viable</w:t>
      </w:r>
      <w:r>
        <w:t xml:space="preserve"> para el piloto: la infraestructura es barata en cualquier escenario, la IA es marginal por diseño, y el punto de equilibrio depende casi por completo de (a) el precio por PyME y (b) las horas de operador por caso — ambos se validan con datos reales del shadow mode antes de comprometer SLAs.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2A44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2A4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2A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2A44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F2A44"/>
      <w:sz w:val="2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1F2A44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