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Kriptome MiniSOC — Plan de Implementación en Nube</w:t>
      </w:r>
    </w:p>
    <w:p>
      <w:r>
        <w:rPr>
          <w:b/>
          <w:i/>
          <w:sz w:val="24"/>
        </w:rPr>
        <w:t>Gaps a cerrar, plan de 4 semanas, consultas al jefe y criterios de aceptación</w:t>
      </w:r>
    </w:p>
    <w:p>
      <w:r>
        <w:rPr>
          <w:color w:val="666666"/>
        </w:rPr>
        <w:t>Kriptome MiniSOC · Julio 2026 · 1.0</w:t>
      </w:r>
    </w:p>
    <w:p>
      <w:pPr>
        <w:pStyle w:val="Heading1"/>
      </w:pPr>
      <w:r>
        <w:rPr>
          <w:b/>
          <w:color w:val="1F2A44"/>
        </w:rPr>
        <w:t>06 — Plan de Implementación en Nube</w:t>
      </w:r>
    </w:p>
    <w:p>
      <w:r>
        <w:t xml:space="preserve">El documento </w:t>
      </w:r>
      <w:r>
        <w:rPr>
          <w:b/>
        </w:rPr>
        <w:t>accionable</w:t>
      </w:r>
      <w:r>
        <w:t>: qué falta cerrar (gaps), en qué orden se despliega, qué decisiones necesita tomar el jefe (C1–C15) y con qué criterios se acepta cada fase.</w:t>
      </w:r>
    </w:p>
    <w:p>
      <w:pPr>
        <w:jc w:val="center"/>
      </w:pPr>
      <w:r>
        <w:rPr>
          <w:color w:val="AAAAAA"/>
        </w:rPr>
        <w:t>――――――――――――――――――――――――――――――</w:t>
      </w:r>
    </w:p>
    <w:p>
      <w:pPr>
        <w:pStyle w:val="Heading2"/>
      </w:pPr>
      <w:r>
        <w:rPr>
          <w:b/>
          <w:color w:val="1F2A44"/>
        </w:rPr>
        <w:t>1. Gaps a cerrar (G1–G12)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1F4E79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1728"/>
            <w:shd w:val="clear" w:fill="1F4E79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Gap</w:t>
            </w:r>
          </w:p>
        </w:tc>
        <w:tc>
          <w:tcPr>
            <w:tcW w:type="dxa" w:w="1728"/>
            <w:shd w:val="clear" w:fill="1F4E79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Sev.</w:t>
            </w:r>
          </w:p>
        </w:tc>
        <w:tc>
          <w:tcPr>
            <w:tcW w:type="dxa" w:w="1728"/>
            <w:shd w:val="clear" w:fill="1F4E79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Corrección</w:t>
            </w:r>
          </w:p>
        </w:tc>
        <w:tc>
          <w:tcPr>
            <w:tcW w:type="dxa" w:w="1728"/>
            <w:shd w:val="clear" w:fill="1F4E79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Cuándo</w:t>
            </w:r>
          </w:p>
        </w:tc>
      </w:tr>
      <w:tr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G1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Syslog de firewall/UTM/VPN llega </w:t>
            </w:r>
            <w:r>
              <w:rPr>
                <w:b/>
                <w:sz w:val="19"/>
              </w:rPr>
              <w:t>sin `client_id`</w:t>
            </w:r>
            <w:r>
              <w:rPr>
                <w:sz w:val="19"/>
              </w:rPr>
              <w:t xml:space="preserve"> (no corren agente) → rompe multi-tenant en 2 familias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🔴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Colector por sede</w:t>
            </w:r>
            <w:r>
              <w:rPr>
                <w:sz w:val="19"/>
              </w:rPr>
              <w:t>: agente Wazuh en la red del cliente que recibe el syslog local y hereda labels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F2 / onboarding</w:t>
            </w:r>
          </w:p>
        </w:tc>
      </w:tr>
      <w:tr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G2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Disco jamás dimensionado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🔴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Medir EPS con </w:t>
            </w:r>
            <w:r>
              <w:rPr>
                <w:rFonts w:ascii="Consolas" w:hAnsi="Consolas"/>
                <w:color w:val="B03030"/>
                <w:sz w:val="19"/>
              </w:rPr>
              <w:t>batch_all_99k.log</w:t>
            </w:r>
            <w:r>
              <w:rPr>
                <w:sz w:val="19"/>
              </w:rPr>
              <w:t xml:space="preserve"> + fórmula (doc 05 §2) </w:t>
            </w:r>
            <w:r>
              <w:rPr>
                <w:b/>
                <w:sz w:val="19"/>
              </w:rPr>
              <w:t>antes</w:t>
            </w:r>
            <w:r>
              <w:rPr>
                <w:sz w:val="19"/>
              </w:rPr>
              <w:t xml:space="preserve"> de contratar la VM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F0</w:t>
            </w:r>
          </w:p>
        </w:tc>
      </w:tr>
      <w:tr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G3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Single VM = SPOF, RPO 24 h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🟠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Piloto: aceptar documentado en SLA + snapshots 6–12 h + </w:t>
            </w:r>
            <w:r>
              <w:rPr>
                <w:rFonts w:ascii="Consolas" w:hAnsi="Consolas"/>
                <w:color w:val="B03030"/>
                <w:sz w:val="19"/>
              </w:rPr>
              <w:t>alerts.json</w:t>
            </w:r>
            <w:r>
              <w:rPr>
                <w:sz w:val="19"/>
              </w:rPr>
              <w:t xml:space="preserve"> horario a S3 + App en VM-2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F1</w:t>
            </w:r>
          </w:p>
        </w:tc>
      </w:tr>
      <w:tr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G4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Estado de la </w:t>
            </w:r>
            <w:r>
              <w:rPr>
                <w:b/>
                <w:sz w:val="19"/>
              </w:rPr>
              <w:t>Kriptome App</w:t>
            </w:r>
            <w:r>
              <w:rPr>
                <w:sz w:val="19"/>
              </w:rPr>
              <w:t xml:space="preserve"> sin documentar (camino crítico del proyecto; </w:t>
            </w:r>
            <w:r>
              <w:rPr>
                <w:b/>
                <w:sz w:val="19"/>
              </w:rPr>
              <w:t>responsabilidad del equipo de desarrollo, no de infraestructura</w:t>
            </w:r>
            <w:r>
              <w:rPr>
                <w:sz w:val="19"/>
              </w:rPr>
              <w:t>)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🔴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Consulta C4 + congelar MVP. Lo único que infra le debe garantizar: usuario read-only del Indexer + acceso 9200 por red privada/VPN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F0 → F3</w:t>
            </w:r>
          </w:p>
        </w:tc>
      </w:tr>
      <w:tr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G5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Enrollment de agentes sin diseño seguro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🟠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30"/>
                <w:sz w:val="19"/>
              </w:rPr>
              <w:t>authd.pass</w:t>
            </w:r>
            <w:r>
              <w:rPr>
                <w:sz w:val="19"/>
              </w:rPr>
              <w:t xml:space="preserve"> por cliente, 1515 solo en ventanas, TLS 1514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F1</w:t>
            </w:r>
          </w:p>
        </w:tc>
      </w:tr>
      <w:tr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G6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Respuesta A/B/C: mecanismo de entrada sin definir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🟠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30"/>
                <w:sz w:val="19"/>
              </w:rPr>
              <w:t>case_id</w:t>
            </w:r>
            <w:r>
              <w:rPr>
                <w:sz w:val="19"/>
              </w:rPr>
              <w:t xml:space="preserve"> en asunto + inbound-parse por webhook (Postmark/SendGrid); IMAP como plan B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F4</w:t>
            </w:r>
          </w:p>
        </w:tc>
      </w:tr>
      <w:tr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G7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VirusTotal gratuito prohíbe uso comercial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🟡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Piloto con AbuseIPDB + OTX + MalwareBazaar + KEV (gratis); VT solo con presupuesto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F4</w:t>
            </w:r>
          </w:p>
        </w:tc>
      </w:tr>
      <w:tr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G8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Monitoreo vive dentro de la VM vigilada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🟡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Monitoreo externo: healthcheck App + TCP 1514 + dead-man switch ("0 alertas en 30 min")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F1</w:t>
            </w:r>
          </w:p>
        </w:tc>
      </w:tr>
      <w:tr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G9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Sysmon sin plan de despliegue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🟡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Config baseline pública (p. ej. sysmon-modular) + GPO donde haya AD; sin Sysmon el cliente pierde la familia 12 (documentar)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onboarding</w:t>
            </w:r>
          </w:p>
        </w:tc>
      </w:tr>
      <w:tr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G10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Legal / residencia de datos (Ley 29733 Perú)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🟡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Cláusula de tratamiento de datos en contrato del piloto + elegir región (C2)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F0</w:t>
            </w:r>
          </w:p>
        </w:tc>
      </w:tr>
      <w:tr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G11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30"/>
                <w:sz w:val="19"/>
              </w:rPr>
              <w:t>dead_letter</w:t>
            </w:r>
            <w:r>
              <w:rPr>
                <w:sz w:val="19"/>
              </w:rPr>
              <w:t xml:space="preserve"> solo se revisa a diario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🟢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Alerta automática: &gt;N entradas en 15 min → aviso interno inmediato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F3</w:t>
            </w:r>
          </w:p>
        </w:tc>
      </w:tr>
      <w:tr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G12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Correlaciones </w:t>
            </w:r>
            <w:r>
              <w:rPr>
                <w:rFonts w:ascii="Consolas" w:hAnsi="Consolas"/>
                <w:color w:val="B03030"/>
                <w:sz w:val="19"/>
              </w:rPr>
              <w:t>same_source_ip</w:t>
            </w:r>
            <w:r>
              <w:rPr>
                <w:sz w:val="19"/>
              </w:rPr>
              <w:t xml:space="preserve"> globales al Manager (conteo cross-tenant)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🟡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La App re-escala por </w:t>
            </w:r>
            <w:r>
              <w:rPr>
                <w:rFonts w:ascii="Consolas" w:hAnsi="Consolas"/>
                <w:color w:val="B03030"/>
                <w:sz w:val="19"/>
              </w:rPr>
              <w:t>client_id</w:t>
            </w:r>
            <w:r>
              <w:rPr>
                <w:sz w:val="19"/>
              </w:rPr>
              <w:t xml:space="preserve"> (atribución nunca se mezcla); probar </w:t>
            </w:r>
            <w:r>
              <w:rPr>
                <w:rFonts w:ascii="Consolas" w:hAnsi="Consolas"/>
                <w:color w:val="B03030"/>
                <w:sz w:val="19"/>
              </w:rPr>
              <w:t>same_field agent.labels.client_id</w:t>
            </w:r>
            <w:r>
              <w:rPr>
                <w:sz w:val="19"/>
              </w:rPr>
              <w:t xml:space="preserve"> con logtest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F2</w:t>
            </w:r>
          </w:p>
        </w:tc>
      </w:tr>
    </w:tbl>
    <w:p>
      <w:pPr>
        <w:spacing w:after="40"/>
      </w:pPr>
    </w:p>
    <w:p>
      <w:pPr>
        <w:jc w:val="center"/>
      </w:pPr>
      <w:r>
        <w:rPr>
          <w:color w:val="AAAAAA"/>
        </w:rPr>
        <w:t>――――――――――――――――――――――――――――――</w:t>
      </w:r>
    </w:p>
    <w:p>
      <w:pPr>
        <w:pStyle w:val="Heading2"/>
      </w:pPr>
      <w:r>
        <w:rPr>
          <w:b/>
          <w:color w:val="1F2A44"/>
        </w:rPr>
        <w:t>2. Topología objetivo (nuestro lado)</w:t>
      </w:r>
    </w:p>
    <w:p>
      <w:r>
        <w:rPr>
          <w:b/>
        </w:rPr>
        <w:t>1 VM Wazuh all-in-one</w:t>
      </w:r>
      <w:r>
        <w:t xml:space="preserve"> (Manager + Indexer + Dashboard, 8 vCPU/16 GB, disco según medición G2), Dashboard y SSH solo por VPN admin (WireGuard/Tailscale), cold en S3-compatible, monitoreo externo con dead-man switch. Escalado: vertical (resize) primero; separar Indexer solo cuando los umbrales se sostengan. </w:t>
      </w:r>
      <w:r>
        <w:rPr>
          <w:b/>
        </w:rPr>
        <w:t>La Kriptome App se hospeda donde defina el equipo de desarrollo</w:t>
      </w:r>
      <w:r>
        <w:t xml:space="preserve"> (fuera de este plan); interfaz garantizada por infra: usuario read-only + 9200 por red privada/VPN. Diagrama y ruta de escalabilidad completa: </w:t>
      </w:r>
      <w:r>
        <w:rPr>
          <w:b/>
        </w:rPr>
        <w:t>doc 01 §4</w:t>
      </w:r>
      <w:r>
        <w:t>.</w:t>
      </w:r>
    </w:p>
    <w:p>
      <w:pPr>
        <w:jc w:val="center"/>
      </w:pPr>
      <w:r>
        <w:rPr>
          <w:color w:val="AAAAAA"/>
        </w:rPr>
        <w:t>――――――――――――――――――――――――――――――</w:t>
      </w:r>
    </w:p>
    <w:p>
      <w:pPr>
        <w:pStyle w:val="Heading2"/>
      </w:pPr>
      <w:r>
        <w:rPr>
          <w:b/>
          <w:color w:val="1F2A44"/>
        </w:rPr>
        <w:t>3. Plan de 4 semanas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Fase</w:t>
            </w:r>
          </w:p>
        </w:tc>
        <w:tc>
          <w:tcPr>
            <w:tcW w:type="dxa" w:w="2160"/>
            <w:shd w:val="clear" w:fill="1F4E79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Días</w:t>
            </w:r>
          </w:p>
        </w:tc>
        <w:tc>
          <w:tcPr>
            <w:tcW w:type="dxa" w:w="2160"/>
            <w:shd w:val="clear" w:fill="1F4E79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Qué se hace</w:t>
            </w:r>
          </w:p>
        </w:tc>
        <w:tc>
          <w:tcPr>
            <w:tcW w:type="dxa" w:w="2160"/>
            <w:shd w:val="clear" w:fill="1F4E79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Criterio de salida</w:t>
            </w:r>
          </w:p>
        </w:tc>
      </w:tr>
      <w:tr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F0 Decisiones</w:t>
            </w:r>
          </w:p>
        </w:tc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1–2</w:t>
            </w:r>
          </w:p>
        </w:tc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Resolver C2–C9 </w:t>
            </w:r>
            <w:r>
              <w:rPr>
                <w:b/>
                <w:sz w:val="19"/>
              </w:rPr>
              <w:t>+ preguntas de infraestructura restantes</w:t>
            </w:r>
            <w:r>
              <w:rPr>
                <w:sz w:val="19"/>
              </w:rPr>
              <w:t xml:space="preserve"> con el jefe (AWS ya decidido) · cuenta AWS (IAM+MFA, AWS Budgets con alerta 80%) · </w:t>
            </w:r>
            <w:r>
              <w:rPr>
                <w:b/>
                <w:sz w:val="19"/>
              </w:rPr>
              <w:t>elegir región</w:t>
            </w:r>
            <w:r>
              <w:rPr>
                <w:sz w:val="19"/>
              </w:rPr>
              <w:t xml:space="preserve"> (C2) · dominio + Route 53 · VPN admin · medir EPS (G2) · cláusula de datos (G10) · </w:t>
            </w:r>
            <w:r>
              <w:rPr>
                <w:b/>
                <w:sz w:val="19"/>
              </w:rPr>
              <w:t>solicitar salida del sandbox de SES</w:t>
            </w:r>
            <w:r>
              <w:rPr>
                <w:sz w:val="19"/>
              </w:rPr>
              <w:t xml:space="preserve"> (tarda 24–48 h, pedirlo temprano)</w:t>
            </w:r>
          </w:p>
        </w:tc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Cuenta operativa; región elegida; disco dimensionado</w:t>
            </w:r>
          </w:p>
        </w:tc>
      </w:tr>
      <w:tr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F1 Plataforma</w:t>
            </w:r>
          </w:p>
        </w:tc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3–5</w:t>
            </w:r>
          </w:p>
        </w:tc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EC2 </w:t>
            </w:r>
            <w:r>
              <w:rPr>
                <w:b/>
                <w:sz w:val="19"/>
              </w:rPr>
              <w:t>Graviton c7g.2xlarge</w:t>
            </w:r>
            <w:r>
              <w:rPr>
                <w:sz w:val="19"/>
              </w:rPr>
              <w:t xml:space="preserve"> on-demand para el shadow (config "segura"; verificar paquetes aarch64 4.14.6, fallback x86 c6i) + EBS gp3 300 GB + VPC/Security Groups · hardening · Wazuh </w:t>
            </w:r>
            <w:r>
              <w:rPr>
                <w:b/>
                <w:sz w:val="19"/>
              </w:rPr>
              <w:t>4.14.6</w:t>
            </w:r>
            <w:r>
              <w:rPr>
                <w:sz w:val="19"/>
              </w:rPr>
              <w:t xml:space="preserve"> all-in-one con </w:t>
            </w:r>
            <w:r>
              <w:rPr>
                <w:rFonts w:ascii="Consolas" w:hAnsi="Consolas"/>
                <w:color w:val="B03030"/>
                <w:sz w:val="19"/>
              </w:rPr>
              <w:t>best_compression</w:t>
            </w:r>
            <w:r>
              <w:rPr>
                <w:sz w:val="19"/>
              </w:rPr>
              <w:t xml:space="preserve"> · TLS · AWS Backup/snapshots · enrollment seguro (G5) · monitoreo externo (G8)</w:t>
            </w:r>
          </w:p>
        </w:tc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Wazuh vivo; dashboard solo por VPN; dead-man switch activo</w:t>
            </w:r>
          </w:p>
        </w:tc>
      </w:tr>
      <w:tr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F2 Detección</w:t>
            </w:r>
          </w:p>
        </w:tc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5–8</w:t>
            </w:r>
          </w:p>
        </w:tc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Cargar </w:t>
            </w:r>
            <w:r>
              <w:rPr>
                <w:rFonts w:ascii="Consolas" w:hAnsi="Consolas"/>
                <w:color w:val="B03030"/>
                <w:sz w:val="19"/>
              </w:rPr>
              <w:t>REGLAS_TUNEADAS/</w:t>
            </w:r>
            <w:r>
              <w:rPr>
                <w:sz w:val="19"/>
              </w:rPr>
              <w:t xml:space="preserve"> (reglas + listas + ossec.conf) · grupos CLI-001/002 · 2–3 agentes lab · </w:t>
            </w:r>
            <w:r>
              <w:rPr>
                <w:rFonts w:ascii="Consolas" w:hAnsi="Consolas"/>
                <w:color w:val="B03030"/>
                <w:sz w:val="19"/>
              </w:rPr>
              <w:t>wazuh-logtest</w:t>
            </w:r>
            <w:r>
              <w:rPr>
                <w:sz w:val="19"/>
              </w:rPr>
              <w:t xml:space="preserve"> con </w:t>
            </w:r>
            <w:r>
              <w:rPr>
                <w:rFonts w:ascii="Consolas" w:hAnsi="Consolas"/>
                <w:color w:val="B03030"/>
                <w:sz w:val="19"/>
              </w:rPr>
              <w:t>test_data/</w:t>
            </w:r>
            <w:r>
              <w:rPr>
                <w:sz w:val="19"/>
              </w:rPr>
              <w:t xml:space="preserve"> · probar G12</w:t>
            </w:r>
          </w:p>
        </w:tc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T-SSH-02/03, T-WIN-02, T-VUL-02 verdes; alertas con client_id+asset_id (MT-01..04)</w:t>
            </w:r>
          </w:p>
        </w:tc>
      </w:tr>
      <w:tr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F3 App MVP</w:t>
            </w:r>
            <w:r>
              <w:rPr>
                <w:sz w:val="19"/>
              </w:rPr>
              <w:t xml:space="preserve"> *(equipo dev — en paralelo)*</w:t>
            </w:r>
          </w:p>
        </w:tc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sem. 2</w:t>
            </w:r>
          </w:p>
        </w:tc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Lado dev:</w:t>
            </w:r>
            <w:r>
              <w:rPr>
                <w:sz w:val="19"/>
              </w:rPr>
              <w:t xml:space="preserve"> App con checkpoint + event_hash + fingerprint (desde </w:t>
            </w:r>
            <w:r>
              <w:rPr>
                <w:rFonts w:ascii="Consolas" w:hAnsi="Consolas"/>
                <w:color w:val="B03030"/>
                <w:sz w:val="19"/>
              </w:rPr>
              <w:t>routing_matrix.csv</w:t>
            </w:r>
            <w:r>
              <w:rPr>
                <w:sz w:val="19"/>
              </w:rPr>
              <w:t xml:space="preserve">) + casos + plantillas determinísticas + alerta dead_letter (G11) + </w:t>
            </w:r>
            <w:r>
              <w:rPr>
                <w:b/>
                <w:sz w:val="19"/>
              </w:rPr>
              <w:t>capa ML en modo sombra</w:t>
            </w:r>
            <w:r>
              <w:rPr>
                <w:sz w:val="19"/>
              </w:rPr>
              <w:t xml:space="preserve"> (recolectando features y etiquetas, sin decidir). </w:t>
            </w:r>
            <w:r>
              <w:rPr>
                <w:b/>
                <w:sz w:val="19"/>
              </w:rPr>
              <w:t>Lado infra (nosotros):</w:t>
            </w:r>
            <w:r>
              <w:rPr>
                <w:sz w:val="19"/>
              </w:rPr>
              <w:t xml:space="preserve"> usuario read-only del Indexer + acceso 9200 vía VPC hacia donde viva la App</w:t>
            </w:r>
          </w:p>
        </w:tc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DD-01..03 verdes; </w:t>
            </w:r>
            <w:r>
              <w:rPr>
                <w:b/>
                <w:sz w:val="19"/>
              </w:rPr>
              <w:t>"100 alertas → 1 caso"</w:t>
            </w:r>
            <w:r>
              <w:rPr>
                <w:sz w:val="19"/>
              </w:rPr>
              <w:t>; ML registrando scores</w:t>
            </w:r>
          </w:p>
        </w:tc>
      </w:tr>
      <w:tr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F4 Comunicación</w:t>
            </w:r>
          </w:p>
        </w:tc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sem. 2–3</w:t>
            </w:r>
          </w:p>
        </w:tc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SES (dominio verificado, SPF/DKIM/DMARC, fuera de sandbox) + </w:t>
            </w:r>
            <w:r>
              <w:rPr>
                <w:rFonts w:ascii="Consolas" w:hAnsi="Consolas"/>
                <w:color w:val="B03030"/>
                <w:sz w:val="19"/>
              </w:rPr>
              <w:t>message_key</w:t>
            </w:r>
            <w:r>
              <w:rPr>
                <w:sz w:val="19"/>
              </w:rPr>
              <w:t xml:space="preserve"> · inbound A/B/C (G6) · quiet hours/digest · TI gratuita + caché (G7)</w:t>
            </w:r>
          </w:p>
        </w:tc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CM-01..05 verdes</w:t>
            </w:r>
          </w:p>
        </w:tc>
      </w:tr>
      <w:tr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F5 Shadow mode</w:t>
            </w:r>
          </w:p>
        </w:tc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sem. 3–4</w:t>
            </w:r>
          </w:p>
        </w:tc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Cliente piloto real en silencio (0 correos al cliente, </w:t>
            </w:r>
            <w:r>
              <w:rPr>
                <w:b/>
                <w:sz w:val="19"/>
              </w:rPr>
              <w:t>0 IA</w:t>
            </w:r>
            <w:r>
              <w:rPr>
                <w:sz w:val="19"/>
              </w:rPr>
              <w:t xml:space="preserve">) · medir: volumen por regla, FPs, minutos de operador por caso · ajustar umbrales/ignores · poblar listas IOC · </w:t>
            </w:r>
            <w:r>
              <w:rPr>
                <w:b/>
                <w:sz w:val="19"/>
              </w:rPr>
              <w:t>entrenar y evaluar el ML</w:t>
            </w:r>
            <w:r>
              <w:rPr>
                <w:sz w:val="19"/>
              </w:rPr>
              <w:t xml:space="preserve"> con las etiquetas acumuladas (precision/recall vs analista)</w:t>
            </w:r>
          </w:p>
        </w:tc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Criterios §5 abajo; ML con métricas medidas</w:t>
            </w:r>
          </w:p>
        </w:tc>
      </w:tr>
      <w:tr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F6 Go-live</w:t>
            </w:r>
          </w:p>
        </w:tc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fin sem. 4+</w:t>
            </w:r>
          </w:p>
        </w:tc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Activar comunicación por familias (primero CRITICAL de alta confianza: 100012/100013, 99901, 99903, 87105) · activar IA con cap de tokens · </w:t>
            </w:r>
            <w:r>
              <w:rPr>
                <w:b/>
                <w:sz w:val="19"/>
              </w:rPr>
              <w:t>ML pasa a modo asistido</w:t>
            </w:r>
            <w:r>
              <w:rPr>
                <w:sz w:val="19"/>
              </w:rPr>
              <w:t xml:space="preserve"> (score visible al analista; modo activo solo cuando demuestre recall ≈100% en CRITICAL) · checklist "listo para piloto" (doc 03 §11) · </w:t>
            </w:r>
            <w:r>
              <w:rPr>
                <w:b/>
                <w:sz w:val="19"/>
              </w:rPr>
              <w:t>right-size + reservada 1 año</w:t>
            </w:r>
            <w:r>
              <w:rPr>
                <w:sz w:val="19"/>
              </w:rPr>
              <w:t xml:space="preserve"> con los EPS medidos (lo esperable: m7g.xlarge → US$ 132/mes total; si el parque es pesado: c7g.2xlarge → US$ 190)</w:t>
            </w:r>
          </w:p>
        </w:tc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Piloto comunicando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/>
          <w:color w:val="1F2A44"/>
        </w:rPr>
        <w:t>4. CONSULTAS PARA EL JEFE (C1–C15)</w:t>
      </w:r>
    </w:p>
    <w:p>
      <w:r>
        <w:t>Las decisiones que bloquean o moldean el arranque. Cada una con contexto y recomendación.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160"/>
            <w:shd w:val="clear" w:fill="1F4E79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Consulta</w:t>
            </w:r>
          </w:p>
        </w:tc>
        <w:tc>
          <w:tcPr>
            <w:tcW w:type="dxa" w:w="2160"/>
            <w:shd w:val="clear" w:fill="1F4E79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Contexto</w:t>
            </w:r>
          </w:p>
        </w:tc>
        <w:tc>
          <w:tcPr>
            <w:tcW w:type="dxa" w:w="2160"/>
            <w:shd w:val="clear" w:fill="1F4E79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Recomendación</w:t>
            </w:r>
          </w:p>
        </w:tc>
      </w:tr>
      <w:tr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C1</w:t>
            </w:r>
          </w:p>
        </w:tc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trike/>
                <w:sz w:val="19"/>
              </w:rPr>
              <w:t>¿Proveedor de nube?</w:t>
            </w:r>
            <w:r>
              <w:rPr>
                <w:sz w:val="19"/>
              </w:rPr>
              <w:t xml:space="preserve"> </w:t>
            </w:r>
            <w:r>
              <w:rPr>
                <w:b/>
                <w:sz w:val="19"/>
              </w:rPr>
              <w:t>✅ RESUELTA: AWS</w:t>
            </w:r>
            <w:r>
              <w:rPr>
                <w:sz w:val="19"/>
              </w:rPr>
              <w:t xml:space="preserve"> (decisión de dirección, jul-2026)</w:t>
            </w:r>
          </w:p>
        </w:tc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Presupuesto AWS por región/modalidad en doc 05 §1 (≈US$ 240–580/mes)</w:t>
            </w:r>
          </w:p>
        </w:tc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Arrancar on-demand; comprar reservada 1 año tras validar dimensionamiento en shadow mode</w:t>
            </w:r>
          </w:p>
        </w:tc>
      </w:tr>
      <w:tr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C2</w:t>
            </w:r>
          </w:p>
        </w:tc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¿Región AWS: sa-east-1 (São Paulo) o us-east-1 (Virginia)?</w:t>
            </w:r>
            <w:r>
              <w:rPr>
                <w:sz w:val="19"/>
              </w:rPr>
              <w:t xml:space="preserve"> — la principal decisión AWS pendiente</w:t>
            </w:r>
          </w:p>
        </w:tc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Ley 29733 / residencia de datos vs −35% de costo en Virginia; comparativa en doc 05 §1</w:t>
            </w:r>
          </w:p>
        </w:tc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São Paulo si algún contrato exige residencia regional; cláusula de datos en el contrato del piloto en cualquier caso</w:t>
            </w:r>
          </w:p>
        </w:tc>
      </w:tr>
      <w:tr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C3</w:t>
            </w:r>
          </w:p>
        </w:tc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Confirmar la topología de </w:t>
            </w:r>
            <w:r>
              <w:rPr>
                <w:b/>
                <w:sz w:val="19"/>
              </w:rPr>
              <w:t>nuestro lado</w:t>
            </w:r>
            <w:r>
              <w:rPr>
                <w:sz w:val="19"/>
              </w:rPr>
              <w:t>: 1 VM Wazuh all-in-one, escalado vertical→horizontal por métricas. ¿Dónde se hospedará la App y quién la opera?</w:t>
            </w:r>
          </w:p>
        </w:tc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La App quedó fuera de nuestra infraestructura; solo le garantizamos usuario read-only del Indexer + acceso 9200 por red privada/VPN</w:t>
            </w:r>
          </w:p>
        </w:tc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Definir el "dónde" de la App con el equipo dev antes de F3 para tender la red privada/VPN correcta</w:t>
            </w:r>
          </w:p>
        </w:tc>
      </w:tr>
      <w:tr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C4</w:t>
            </w:r>
            <w:r>
              <w:rPr>
                <w:sz w:val="19"/>
              </w:rPr>
              <w:t xml:space="preserve"> 🔴</w:t>
            </w:r>
          </w:p>
        </w:tc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¿La App existe? ¿Quién la desarrolla, en qué stack? ¿Aprobamos el MVP mínimo?</w:t>
            </w:r>
          </w:p>
        </w:tc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Camino crítico del proyecto (G4) — del lado del equipo de desarrollo</w:t>
            </w:r>
          </w:p>
        </w:tc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MVP = checkpoint+hashes+casos+plantillas+correo; IA en iteración 2</w:t>
            </w:r>
          </w:p>
        </w:tc>
      </w:tr>
      <w:tr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C5</w:t>
            </w:r>
          </w:p>
        </w:tc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¿Dominio de envío y proveedor de correo con inbound-parse?</w:t>
            </w:r>
          </w:p>
        </w:tc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G6; sin SPF/DKIM/DMARC los avisos caen en spam</w:t>
            </w:r>
          </w:p>
        </w:tc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Subdominio dedicado (p. ej. </w:t>
            </w:r>
            <w:r>
              <w:rPr>
                <w:rFonts w:ascii="Consolas" w:hAnsi="Consolas"/>
                <w:color w:val="B03030"/>
                <w:sz w:val="19"/>
              </w:rPr>
              <w:t>alerts.kriptome.pe</w:t>
            </w:r>
            <w:r>
              <w:rPr>
                <w:sz w:val="19"/>
              </w:rPr>
              <w:t>) + Postmark o SES</w:t>
            </w:r>
          </w:p>
        </w:tc>
      </w:tr>
      <w:tr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C6</w:t>
            </w:r>
          </w:p>
        </w:tc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¿Proveedor/modelo de IA y </w:t>
            </w:r>
            <w:r>
              <w:rPr>
                <w:b/>
                <w:sz w:val="19"/>
              </w:rPr>
              <w:t>autorización para enviar fragmentos de logs de clientes a un tercero</w:t>
            </w:r>
            <w:r>
              <w:rPr>
                <w:sz w:val="19"/>
              </w:rPr>
              <w:t>?</w:t>
            </w:r>
          </w:p>
        </w:tc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Costo trivial (US$ 5–40/mes); la decisión es contractual (DPA), no económica</w:t>
            </w:r>
          </w:p>
        </w:tc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Modelo económico clase Haiku + cap por caso; shadow mode con 0 IA primero</w:t>
            </w:r>
          </w:p>
        </w:tc>
      </w:tr>
      <w:tr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C7</w:t>
            </w:r>
          </w:p>
        </w:tc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¿TI gratuita para el piloto y VirusTotal después?</w:t>
            </w:r>
          </w:p>
        </w:tc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La API gratis de VT prohíbe uso comercial (G7)</w:t>
            </w:r>
          </w:p>
        </w:tc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Sí: AbuseIPDB+OTX+MalwareBazaar+KEV bastan con el caché</w:t>
            </w:r>
          </w:p>
        </w:tc>
      </w:tr>
      <w:tr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C8</w:t>
            </w:r>
          </w:p>
        </w:tc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¿Qué 1–2 clientes piloto? ¿Endpoints, mezcla Win/Linux, AD?</w:t>
            </w:r>
          </w:p>
        </w:tc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Define familias a validar y si urge el plan Sysmon (G9)</w:t>
            </w:r>
          </w:p>
        </w:tc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Elegir uno con AD y firewall para ejercitar G1/G9</w:t>
            </w:r>
          </w:p>
        </w:tc>
      </w:tr>
      <w:tr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C9</w:t>
            </w:r>
          </w:p>
        </w:tc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¿Apruebas el </w:t>
            </w:r>
            <w:r>
              <w:rPr>
                <w:b/>
                <w:sz w:val="19"/>
              </w:rPr>
              <w:t>colector por sede</w:t>
            </w:r>
            <w:r>
              <w:rPr>
                <w:sz w:val="19"/>
              </w:rPr>
              <w:t xml:space="preserve"> para firewall/VPN?</w:t>
            </w:r>
          </w:p>
        </w:tc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G1: sin esto, esas familias llegan sin tenant</w:t>
            </w:r>
          </w:p>
        </w:tc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Sí — única opción limpia multi-tenant</w:t>
            </w:r>
          </w:p>
        </w:tc>
      </w:tr>
      <w:tr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C10</w:t>
            </w:r>
          </w:p>
        </w:tc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¿Quiénes tienen acceso root/VPN? ¿WireGuard para admin?</w:t>
            </w:r>
          </w:p>
        </w:tc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G5; custodia de llaves y ventanas de enrollment</w:t>
            </w:r>
          </w:p>
        </w:tc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Lista nominal + 1515 cerrado fuera de ventanas</w:t>
            </w:r>
          </w:p>
        </w:tc>
      </w:tr>
      <w:tr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C11</w:t>
            </w:r>
          </w:p>
        </w:tc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¿Ventana de mantenimiento y on-call?</w:t>
            </w:r>
          </w:p>
        </w:tc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Restart del Manager corta ingesta ~1 min; alertas del monitoreo externo fuera de horario</w:t>
            </w:r>
          </w:p>
        </w:tc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Ventana fija semanal + un responsable nombrado</w:t>
            </w:r>
          </w:p>
        </w:tc>
      </w:tr>
      <w:tr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C12</w:t>
            </w:r>
          </w:p>
        </w:tc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¿Precio por PyME y SLA?</w:t>
            </w:r>
          </w:p>
        </w:tc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Infra US$ 11–50/PyME + 0.3–0.5 FTE operador (doc 05 §5, §7)</w:t>
            </w:r>
          </w:p>
        </w:tc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SLA del piloto debe reflejar RPO del single-VM (G3)</w:t>
            </w:r>
          </w:p>
        </w:tc>
      </w:tr>
      <w:tr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C13</w:t>
            </w:r>
          </w:p>
        </w:tc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¿Proveedor de cold storage y responsable del restore mensual?</w:t>
            </w:r>
          </w:p>
        </w:tc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"Backup no probado no cuenta"</w:t>
            </w:r>
          </w:p>
        </w:tc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Nombrar responsable con fecha fija mensual</w:t>
            </w:r>
          </w:p>
        </w:tc>
      </w:tr>
      <w:tr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C14</w:t>
            </w:r>
          </w:p>
        </w:tc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¿Confirmamos </w:t>
            </w:r>
            <w:r>
              <w:rPr>
                <w:b/>
                <w:sz w:val="19"/>
              </w:rPr>
              <w:t>Wazuh 4.14.6</w:t>
            </w:r>
            <w:r>
              <w:rPr>
                <w:sz w:val="19"/>
              </w:rPr>
              <w:t xml:space="preserve"> y política de no saltar a 5.x sin re-auditar?</w:t>
            </w:r>
          </w:p>
        </w:tc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El tuning está anclado a 4.14.6; la 5.0 (beta) cambia el motor de reglas</w:t>
            </w:r>
          </w:p>
        </w:tc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Sí — congelar versión para el piloto</w:t>
            </w:r>
          </w:p>
        </w:tc>
      </w:tr>
      <w:tr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C15</w:t>
            </w:r>
          </w:p>
        </w:tc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¿Los 120 días de retención son contractuales o política interna?</w:t>
            </w:r>
          </w:p>
        </w:tc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Palanca directa de disco y cold (G2, doc 05 §2)</w:t>
            </w:r>
          </w:p>
        </w:tc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Confirmar por cliente en el onboarding</w:t>
            </w:r>
          </w:p>
        </w:tc>
      </w:tr>
    </w:tbl>
    <w:p>
      <w:pPr>
        <w:spacing w:after="40"/>
      </w:pPr>
    </w:p>
    <w:p>
      <w:pPr>
        <w:jc w:val="center"/>
      </w:pPr>
      <w:r>
        <w:rPr>
          <w:color w:val="AAAAAA"/>
        </w:rPr>
        <w:t>――――――――――――――――――――――――――――――</w:t>
      </w:r>
    </w:p>
    <w:p>
      <w:pPr>
        <w:pStyle w:val="Heading2"/>
      </w:pPr>
      <w:r>
        <w:rPr>
          <w:b/>
          <w:color w:val="1F2A44"/>
        </w:rPr>
        <w:t>4-bis. PREGUNTAS TÉCNICAS DE INFRAESTRUCTURA (I1–I12)</w:t>
      </w:r>
    </w:p>
    <w:p>
      <w:r>
        <w:t xml:space="preserve">Complementan C1–C15 con el detalle que hay que resolver </w:t>
      </w:r>
      <w:r>
        <w:rPr>
          <w:b/>
        </w:rPr>
        <w:t>antes de crear la VM</w:t>
      </w:r>
      <w:r>
        <w:t>. Son las incógnitas de proveedor, escalabilidad y disponibilidad de nuestro lado.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160"/>
            <w:shd w:val="clear" w:fill="1F4E79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Pregunta</w:t>
            </w:r>
          </w:p>
        </w:tc>
        <w:tc>
          <w:tcPr>
            <w:tcW w:type="dxa" w:w="2160"/>
            <w:shd w:val="clear" w:fill="1F4E79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Contexto / opciones</w:t>
            </w:r>
          </w:p>
        </w:tc>
        <w:tc>
          <w:tcPr>
            <w:tcW w:type="dxa" w:w="2160"/>
            <w:shd w:val="clear" w:fill="1F4E79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Recomendación</w:t>
            </w:r>
          </w:p>
        </w:tc>
      </w:tr>
      <w:tr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I1</w:t>
            </w:r>
          </w:p>
        </w:tc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trike/>
                <w:sz w:val="19"/>
              </w:rPr>
              <w:t>¿Proveedor?</w:t>
            </w:r>
            <w:r>
              <w:rPr>
                <w:sz w:val="19"/>
              </w:rPr>
              <w:t xml:space="preserve"> </w:t>
            </w:r>
            <w:r>
              <w:rPr>
                <w:b/>
                <w:sz w:val="19"/>
              </w:rPr>
              <w:t>✅ RESUELTA: AWS.</w:t>
            </w:r>
            <w:r>
              <w:rPr>
                <w:sz w:val="19"/>
              </w:rPr>
              <w:t xml:space="preserve"> Preguntas derivadas: ¿cuenta AWS nueva o existente? ¿Hay créditos </w:t>
            </w:r>
            <w:r>
              <w:rPr>
                <w:b/>
                <w:sz w:val="19"/>
              </w:rPr>
              <w:t>AWS Activate</w:t>
            </w:r>
            <w:r>
              <w:rPr>
                <w:sz w:val="19"/>
              </w:rPr>
              <w:t xml:space="preserve"> aplicables? ¿Facturación en US$ o soles (AWS factura US$)?</w:t>
            </w:r>
          </w:p>
        </w:tc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Una cuenta existente o créditos Activate pueden cubrir meses del piloto</w:t>
            </w:r>
          </w:p>
        </w:tc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Verificar elegibilidad Activate antes de crear la cuenta; estructurar con AWS Organizations si habrá más cuentas</w:t>
            </w:r>
          </w:p>
        </w:tc>
      </w:tr>
      <w:tr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I2</w:t>
            </w:r>
          </w:p>
        </w:tc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¿Región AWS: sa-east-1 (São Paulo) o us-east-1 (Virginia)?</w:t>
            </w:r>
          </w:p>
        </w:tc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Latencia de agentes casi irrelevante (buffer local); manda lo </w:t>
            </w:r>
            <w:r>
              <w:rPr>
                <w:b/>
                <w:sz w:val="19"/>
              </w:rPr>
              <w:t>legal</w:t>
            </w:r>
            <w:r>
              <w:rPr>
                <w:sz w:val="19"/>
              </w:rPr>
              <w:t xml:space="preserve"> (Ley 29733) y el costo (São Paulo +35–90% según servicio; comparativa doc 05 §1)</w:t>
            </w:r>
          </w:p>
        </w:tc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São Paulo si el contrato/legal lo pide; si no, Virginia y cláusula de flujo transfronterizo</w:t>
            </w:r>
          </w:p>
        </w:tc>
      </w:tr>
      <w:tr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I3</w:t>
            </w:r>
          </w:p>
        </w:tc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¿Modelo de pago?</w:t>
            </w:r>
            <w:r>
              <w:rPr>
                <w:sz w:val="19"/>
              </w:rPr>
              <w:t xml:space="preserve"> ¿On-demand, reservada 1 año (−30–40%), savings plan?</w:t>
            </w:r>
          </w:p>
        </w:tc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Reservar antes de conocer el sizing real es apostar</w:t>
            </w:r>
          </w:p>
        </w:tc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On-demand durante shadow mode → reservar 1 año cuando el sizing esté validado</w:t>
            </w:r>
          </w:p>
        </w:tc>
      </w:tr>
      <w:tr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I4</w:t>
            </w:r>
          </w:p>
        </w:tc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¿Familia de VM con techo de escalado vertical?</w:t>
            </w:r>
            <w:r>
              <w:rPr>
                <w:sz w:val="19"/>
              </w:rPr>
              <w:t xml:space="preserve"> ¿La instancia elegida permite resize 8/16 → 16/32 sin migración, y el disco se expande </w:t>
            </w:r>
            <w:r>
              <w:rPr>
                <w:b/>
                <w:sz w:val="19"/>
              </w:rPr>
              <w:t>en caliente</w:t>
            </w:r>
            <w:r>
              <w:rPr>
                <w:sz w:val="19"/>
              </w:rPr>
              <w:t>?</w:t>
            </w:r>
          </w:p>
        </w:tc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Es nuestra ruta de escalabilidad nº 1 (doc 01 §4)</w:t>
            </w:r>
          </w:p>
        </w:tc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Azure Dsv5 / AWS m6i-m7i / GCP n2 / Hetzner dedicated-vCPU — confirmar resize y expansión online al cotizar</w:t>
            </w:r>
          </w:p>
        </w:tc>
      </w:tr>
      <w:tr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I5</w:t>
            </w:r>
          </w:p>
        </w:tc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¿Qué disponibilidad aceptamos y prometemos?</w:t>
            </w:r>
            <w:r>
              <w:rPr>
                <w:sz w:val="19"/>
              </w:rPr>
              <w:t xml:space="preserve"> Single-VM/single-zona da SLA de proveedor ~99.5–99.9%. ¿El SLA comercial hacia el cliente es compatible?</w:t>
            </w:r>
          </w:p>
        </w:tc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HA multi-nodo de Wazuh duplica-triplica el costo y no se justifica con 10 clientes</w:t>
            </w:r>
          </w:p>
        </w:tc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Aceptar single-zona en piloto, </w:t>
            </w:r>
            <w:r>
              <w:rPr>
                <w:b/>
                <w:sz w:val="19"/>
              </w:rPr>
              <w:t>escrito en el SLA</w:t>
            </w:r>
            <w:r>
              <w:rPr>
                <w:sz w:val="19"/>
              </w:rPr>
              <w:t>; revisar HA a los 20+ clientes</w:t>
            </w:r>
          </w:p>
        </w:tc>
      </w:tr>
      <w:tr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I6</w:t>
            </w:r>
          </w:p>
        </w:tc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¿RTO/RPO objetivo?</w:t>
            </w:r>
            <w:r>
              <w:rPr>
                <w:sz w:val="19"/>
              </w:rPr>
              <w:t xml:space="preserve"> Con snapshots 6–12 h + </w:t>
            </w:r>
            <w:r>
              <w:rPr>
                <w:rFonts w:ascii="Consolas" w:hAnsi="Consolas"/>
                <w:color w:val="B03030"/>
                <w:sz w:val="19"/>
              </w:rPr>
              <w:t>alerts.json</w:t>
            </w:r>
            <w:r>
              <w:rPr>
                <w:sz w:val="19"/>
              </w:rPr>
              <w:t xml:space="preserve"> horario: RPO ≈ 1 h, RTO ≈ 2–4 h (restaurar VM). ¿Es aceptable para el negocio?</w:t>
            </w:r>
          </w:p>
        </w:tc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Los agentes bufferean localmente: una caída corta del Manager no pierde telemetría de endpoints</w:t>
            </w:r>
          </w:p>
        </w:tc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Formalizar RPO 1 h / RTO 4 h para el piloto; probar la restauración completa una vez antes del go-live</w:t>
            </w:r>
          </w:p>
        </w:tc>
      </w:tr>
      <w:tr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I7</w:t>
            </w:r>
          </w:p>
        </w:tc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¿Exposición de red?</w:t>
            </w:r>
            <w:r>
              <w:rPr>
                <w:sz w:val="19"/>
              </w:rPr>
              <w:t xml:space="preserve"> ¿IP pública fija + </w:t>
            </w:r>
            <w:r>
              <w:rPr>
                <w:b/>
                <w:sz w:val="19"/>
              </w:rPr>
              <w:t>DNS</w:t>
            </w:r>
            <w:r>
              <w:rPr>
                <w:sz w:val="19"/>
              </w:rPr>
              <w:t xml:space="preserve"> (</w:t>
            </w:r>
            <w:r>
              <w:rPr>
                <w:rFonts w:ascii="Consolas" w:hAnsi="Consolas"/>
                <w:color w:val="B03030"/>
                <w:sz w:val="19"/>
              </w:rPr>
              <w:t>manager.kriptome.pe</w:t>
            </w:r>
            <w:r>
              <w:rPr>
                <w:sz w:val="19"/>
              </w:rPr>
              <w:t>)? ¿1514/1515 abiertos a Internet o restringidos por IP de cada cliente? ¿Basta la protección DDoS estándar del proveedor?</w:t>
            </w:r>
          </w:p>
        </w:tc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Los clientes PyME no siempre tienen IP fija; restringir por IP puede romper agentes móviles</w:t>
            </w:r>
          </w:p>
        </w:tc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DNS desde el día 1</w:t>
            </w:r>
            <w:r>
              <w:rPr>
                <w:sz w:val="19"/>
              </w:rPr>
              <w:t xml:space="preserve"> (migrar de proveedor sin re-tocar 250 agentes); restringir 1515 por ventanas; 1514 abierto con TLS</w:t>
            </w:r>
          </w:p>
        </w:tc>
      </w:tr>
      <w:tr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I8</w:t>
            </w:r>
          </w:p>
        </w:tc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Transferencia y cold storage en AWS:</w:t>
            </w:r>
            <w:r>
              <w:rPr>
                <w:sz w:val="19"/>
              </w:rPr>
              <w:t xml:space="preserve"> ¿S3 + lifecycle a Glacier Instant Retrieval en la misma región?</w:t>
            </w:r>
          </w:p>
        </w:tc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La ingesta es tráfico de ENTRADA (gratis); EC2→S3 misma región no paga transferencia; el egress real es mínimo (correos, VPN admin)</w:t>
            </w:r>
          </w:p>
        </w:tc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Sí: S3 misma región + lifecycle a Glacier IR (~80% más barato que S3 Standard para los 90 días cold)</w:t>
            </w:r>
          </w:p>
        </w:tc>
      </w:tr>
      <w:tr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I9</w:t>
            </w:r>
          </w:p>
        </w:tc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¿Gobierno de la cuenta cloud?</w:t>
            </w:r>
            <w:r>
              <w:rPr>
                <w:sz w:val="19"/>
              </w:rPr>
              <w:t xml:space="preserve"> ¿Quién es *owner* de la suscripción? ¿MFA obligatorio, roles IAM separados (admin vs operación), </w:t>
            </w:r>
            <w:r>
              <w:rPr>
                <w:b/>
                <w:sz w:val="19"/>
              </w:rPr>
              <w:t>alerta de facturación</w:t>
            </w:r>
            <w:r>
              <w:rPr>
                <w:sz w:val="19"/>
              </w:rPr>
              <w:t xml:space="preserve"> al 80% del presupuesto?</w:t>
            </w:r>
          </w:p>
        </w:tc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Una cuenta cloud sin límites de gasto ni MFA es un riesgo mayor que cualquier gap técnico</w:t>
            </w:r>
          </w:p>
        </w:tc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Owner nominal + MFA + presupuesto con alerta desde el primer día</w:t>
            </w:r>
          </w:p>
        </w:tc>
      </w:tr>
      <w:tr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I10</w:t>
            </w:r>
          </w:p>
        </w:tc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¿Red privada (VNet/VPC) disponible y gratuita entre VMs?</w:t>
            </w:r>
          </w:p>
        </w:tc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La necesitaremos para: (a) la App consumiendo 9200, (b) separar el Indexer en el futuro</w:t>
            </w:r>
          </w:p>
        </w:tc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Crearla desde el día 1 aunque solo haya 1 VM — cuesta 0 y evita re-arquitectura</w:t>
            </w:r>
          </w:p>
        </w:tc>
      </w:tr>
      <w:tr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I11</w:t>
            </w:r>
          </w:p>
        </w:tc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¿Monitoreo del proveedor o externo?</w:t>
            </w:r>
            <w:r>
              <w:rPr>
                <w:sz w:val="19"/>
              </w:rPr>
              <w:t xml:space="preserve"> Azure Monitor/CloudWatch cuestan extra y viven en la misma nube</w:t>
            </w:r>
          </w:p>
        </w:tc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El dead-man switch (G8) debe ser INDEPENDIENTE del proveedor</w:t>
            </w:r>
          </w:p>
        </w:tc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Externo (Healthchecks.io/UptimeRobot) para vida-o-muerte; el del proveedor solo para métricas de VM si es gratis</w:t>
            </w:r>
          </w:p>
        </w:tc>
      </w:tr>
      <w:tr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I12</w:t>
            </w:r>
          </w:p>
        </w:tc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¿Compliance del datacenter?</w:t>
            </w:r>
            <w:r>
              <w:rPr>
                <w:sz w:val="19"/>
              </w:rPr>
              <w:t xml:space="preserve"> ¿Algún cliente/contrato exige ISO 27001 / SOC 2 del proveedor?</w:t>
            </w:r>
          </w:p>
        </w:tc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Todos los hyperscalers lo tienen; Hetzner tiene ISO 27001; verificar en económicos menores</w:t>
            </w:r>
          </w:p>
        </w:tc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Confirmar antes de firmar clientes con requisitos regulatorios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b/>
          <w:color w:val="1F2A44"/>
        </w:rPr>
        <w:t>Sugerencias de infraestructura derivadas</w:t>
      </w:r>
    </w:p>
    <w:p>
      <w:pPr>
        <w:pStyle w:val="ListNumber"/>
      </w:pPr>
      <w:r>
        <w:rPr>
          <w:b/>
        </w:rPr>
        <w:t>DNS para el Manager desde el día 1</w:t>
      </w:r>
      <w:r>
        <w:t xml:space="preserve"> (I7) — es la póliza de seguro anti-lock-in: migrar de nube = cambiar un registro A, no re-instalar 250 agentes.</w:t>
      </w:r>
    </w:p>
    <w:p>
      <w:pPr>
        <w:pStyle w:val="ListNumber"/>
      </w:pPr>
      <w:r>
        <w:rPr>
          <w:b/>
        </w:rPr>
        <w:t>On-demand → reservada</w:t>
      </w:r>
      <w:r>
        <w:t xml:space="preserve"> solo tras validar sizing en shadow mode (I3).</w:t>
      </w:r>
    </w:p>
    <w:p>
      <w:pPr>
        <w:pStyle w:val="ListNumber"/>
      </w:pPr>
      <w:r>
        <w:rPr>
          <w:b/>
        </w:rPr>
        <w:t>Disco: empezar en 300–500 GB expandible en caliente</w:t>
      </w:r>
      <w:r>
        <w:t>, no 1 TB "por si acaso" (I4 + G2).</w:t>
      </w:r>
    </w:p>
    <w:p>
      <w:pPr>
        <w:pStyle w:val="ListNumber"/>
      </w:pPr>
      <w:r>
        <w:rPr>
          <w:b/>
        </w:rPr>
        <w:t>Single-zona documentada en el SLA</w:t>
      </w:r>
      <w:r>
        <w:t xml:space="preserve"> del piloto; el dinero de alta disponibilidad se gasta cuando haya 20+ clientes (I5).</w:t>
      </w:r>
    </w:p>
    <w:p>
      <w:pPr>
        <w:pStyle w:val="ListNumber"/>
      </w:pPr>
      <w:r>
        <w:rPr>
          <w:b/>
        </w:rPr>
        <w:t>VNet/VPC + subnet privada desde el día 1</w:t>
      </w:r>
      <w:r>
        <w:t xml:space="preserve"> aunque solo exista una VM (I10).</w:t>
      </w:r>
    </w:p>
    <w:p>
      <w:pPr>
        <w:pStyle w:val="ListNumber"/>
      </w:pPr>
      <w:r>
        <w:rPr>
          <w:b/>
        </w:rPr>
        <w:t>Presupuesto de facturación con alerta</w:t>
      </w:r>
      <w:r>
        <w:t xml:space="preserve"> — la sorpresa de fin de mes es el incidente más común de un despliegue nuevo en nube (I9).</w:t>
      </w:r>
    </w:p>
    <w:p>
      <w:pPr>
        <w:jc w:val="center"/>
      </w:pPr>
      <w:r>
        <w:rPr>
          <w:color w:val="AAAAAA"/>
        </w:rPr>
        <w:t>――――――――――――――――――――――――――――――</w:t>
      </w:r>
    </w:p>
    <w:p>
      <w:pPr>
        <w:pStyle w:val="Heading2"/>
      </w:pPr>
      <w:r>
        <w:rPr>
          <w:b/>
          <w:color w:val="1F2A44"/>
        </w:rPr>
        <w:t>5. Criterios de aceptación del shadow mode (salida de F5)</w:t>
      </w:r>
    </w:p>
    <w:p>
      <w:pPr>
        <w:pStyle w:val="ListBullet"/>
      </w:pPr>
      <w:r>
        <w:t>Ninguna de las top-20 reglas por volumen en nivel extremo sin justificación.</w:t>
      </w:r>
    </w:p>
    <w:p>
      <w:pPr>
        <w:pStyle w:val="ListBullet"/>
      </w:pPr>
      <w:r>
        <w:t xml:space="preserve">Custom rules disparan en sintéticos y </w:t>
      </w:r>
      <w:r>
        <w:rPr>
          <w:b/>
        </w:rPr>
        <w:t>no</w:t>
      </w:r>
      <w:r>
        <w:t xml:space="preserve"> en tráfico normal (100010–100013).</w:t>
      </w:r>
    </w:p>
    <w:p>
      <w:pPr>
        <w:pStyle w:val="ListBullet"/>
      </w:pPr>
      <w:r>
        <w:t xml:space="preserve">Vulnerabilidades </w:t>
      </w:r>
      <w:r>
        <w:rPr>
          <w:b/>
        </w:rPr>
        <w:t>no</w:t>
      </w:r>
      <w:r>
        <w:t xml:space="preserve"> generan correo inmediato (solo digest) salvo KEV.</w:t>
      </w:r>
    </w:p>
    <w:p>
      <w:pPr>
        <w:pStyle w:val="ListBullet"/>
      </w:pPr>
      <w:r>
        <w:t>0 mezcla de tenants observada (misma IP atacando a 2 clientes → 2 casos, conteos correctos).</w:t>
      </w:r>
    </w:p>
    <w:p>
      <w:pPr>
        <w:pStyle w:val="ListBullet"/>
      </w:pPr>
      <w:r>
        <w:t xml:space="preserve">0 alertas sin </w:t>
      </w:r>
      <w:r>
        <w:rPr>
          <w:rFonts w:ascii="Consolas" w:hAnsi="Consolas"/>
          <w:color w:val="B03030"/>
          <w:sz w:val="19"/>
        </w:rPr>
        <w:t>client_id</w:t>
      </w:r>
      <w:r>
        <w:t>; dead_letter estable.</w:t>
      </w:r>
    </w:p>
    <w:p>
      <w:pPr>
        <w:pStyle w:val="ListBullet"/>
      </w:pPr>
      <w:r>
        <w:t>Medidos: GB/día reales (validar disco), casos/día, minutos de operador por caso (validar doc 05 §5), volumen que habría ido a IA (validar presupuesto C6).</w:t>
      </w:r>
    </w:p>
    <w:p>
      <w:pPr>
        <w:pStyle w:val="Heading2"/>
      </w:pPr>
      <w:r>
        <w:rPr>
          <w:b/>
          <w:color w:val="1F2A44"/>
        </w:rPr>
        <w:t>6. Criterio de aceptación final (antes de clientes reales)</w:t>
      </w:r>
    </w:p>
    <w:p>
      <w:pPr>
        <w:spacing w:before="80" w:after="80"/>
        <w:ind w:left="216"/>
        <w:shd w:val="clear" w:fill="F2F2F2"/>
      </w:pPr>
      <w:r>
        <w:rPr>
          <w:rFonts w:ascii="Consolas" w:hAnsi="Consolas"/>
          <w:sz w:val="18"/>
        </w:rPr>
        <w:t>2 clientes · 3 agentes · 100 alertas repetidas · 1 cambio material ·</w:t>
        <w:br/>
        <w:t>1 IOC nuevo · 1 respuesta de cliente</w:t>
        <w:br/>
        <w:t>→ 0 mezcla de tenants · 1 caso por incidente · 0 duplicados exactos ·</w:t>
        <w:br/>
        <w:t xml:space="preserve">  1 enriquecimiento por TTL · 0–1 IA en repetición simple ·</w:t>
        <w:br/>
        <w:t xml:space="preserve">  0 correos duplicados · respuesta enlazada al mismo case_id · historial completo</w:t>
      </w:r>
    </w:p>
    <w:p>
      <w:r>
        <w:t>Más el checklist completo "listo para piloto" (doc 03 §11) y la matriz técnica de reglas (</w:t>
      </w:r>
      <w:r>
        <w:rPr>
          <w:rFonts w:ascii="Consolas" w:hAnsi="Consolas"/>
          <w:color w:val="B03030"/>
          <w:sz w:val="19"/>
        </w:rPr>
        <w:t>REGLAS_TUNEADAS/EXPLICACION_DEL_TUNING.docx</w:t>
      </w:r>
      <w:r>
        <w:t xml:space="preserve"> §13).</w:t>
      </w:r>
    </w:p>
    <w:p>
      <w:pPr>
        <w:jc w:val="center"/>
      </w:pPr>
      <w:r>
        <w:rPr>
          <w:color w:val="AAAAAA"/>
        </w:rPr>
        <w:t>――――――――――――――――――――――――――――――</w:t>
      </w:r>
    </w:p>
    <w:p>
      <w:pPr>
        <w:pStyle w:val="Heading2"/>
      </w:pPr>
      <w:r>
        <w:rPr>
          <w:b/>
          <w:color w:val="1F2A44"/>
        </w:rPr>
        <w:t>7. Pendientes de datos reales (post-arranque)</w:t>
      </w:r>
    </w:p>
    <w:p>
      <w:r>
        <w:t xml:space="preserve">EPS/disco real (G2, medir en F0/F5) · umbrales finales de brute force (F5) · </w:t>
      </w:r>
      <w:r>
        <w:rPr>
          <w:rFonts w:ascii="Consolas" w:hAnsi="Consolas"/>
          <w:color w:val="B03030"/>
          <w:sz w:val="19"/>
        </w:rPr>
        <w:t>same_field agent.labels.client_id</w:t>
      </w:r>
      <w:r>
        <w:t xml:space="preserve"> viable o no (F2) · IDs exactos de AD para grupos sensibles (F2, logtest) · productos VPN reales por cliente (C8) · KEV en regla CDB vs en App — elegir </w:t>
      </w:r>
      <w:r>
        <w:rPr>
          <w:b/>
        </w:rPr>
        <w:t>una</w:t>
      </w:r>
      <w:r>
        <w:t xml:space="preserve"> fuente de verdad (F3) · minutos de operador por caso (F5 → pricing C12).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2A44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2A4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2A4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F2A44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" w:hAnsi="Calibri"/>
      <w:b/>
      <w:color w:val="1F2A44"/>
      <w:sz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F2A44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