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KRIPTOME MiniSOC — Entrega Final</w:t>
      </w:r>
    </w:p>
    <w:p>
      <w:r>
        <w:rPr>
          <w:b/>
          <w:i/>
          <w:sz w:val="24"/>
        </w:rPr>
        <w:t>Léeme primero: guía del paquete</w:t>
      </w:r>
    </w:p>
    <w:p>
      <w:r>
        <w:rPr>
          <w:color w:val="666666"/>
        </w:rPr>
        <w:t>Kriptome MiniSOC · Julio 2026 · Final</w:t>
      </w:r>
    </w:p>
    <w:p>
      <w:pPr>
        <w:pStyle w:val="Heading1"/>
      </w:pPr>
      <w:r>
        <w:rPr>
          <w:b/>
          <w:color w:val="1F2A44"/>
        </w:rPr>
        <w:t>Qué contiene esta entrega (2 carpetas)</w:t>
      </w:r>
    </w:p>
    <w:p>
      <w:pPr>
        <w:pStyle w:val="Heading2"/>
      </w:pPr>
      <w:r>
        <w:rPr>
          <w:b/>
          <w:color w:val="1F2A44"/>
        </w:rPr>
        <w:t>📄 DOCUMENTOS/ — para leer y presentar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Documento</w:t>
            </w:r>
          </w:p>
        </w:tc>
        <w:tc>
          <w:tcPr>
            <w:tcW w:type="dxa" w:w="432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Contenido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00_INFORME_FINAL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Empieza aquí:</w:t>
            </w:r>
            <w:r>
              <w:rPr>
                <w:sz w:val="19"/>
              </w:rPr>
              <w:t xml:space="preserve"> modelo de negocio, cómo funciona el servicio, arquitectura AWS, inversión optimizada, plan de puesta en marcha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01_ARQUITECTURA_Y_DISENO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Sistema completo, multi-cliente, capa ML, AWS, seguridad, escalabilidad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02_DETECCION_Y_REGLAS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  <w:t>Las 15 familias de detección, auditoría y tuning (versión conceptual)</w:t>
            </w:r>
            <w:r>
              <w:rPr>
                <w:sz w:val="19"/>
              </w:rPr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03_FLUJOS_OPERATIVOS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Pipeline de una alerta, 7 niveles de control, onboarding, operación diaria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04_MANUAL_DE_USUARIO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Parte A: manual del analista · Parte B: guía del cliente (entregable en onboarding)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05_COSTOS_Y_VIABILIDAD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Presupuesto AWS optimizado por bucles de simulación, pricing, viabilidad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06_PLAN_IMPLEMENTACION_NUBE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Plan de 4 semanas, riesgos y mitigación, decisiones pendientes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  <w:t>07_COMUNICACION_CON_EL_CLIENTE</w:t>
            </w:r>
            <w:r>
              <w:rPr>
                <w:sz w:val="19"/>
              </w:rPr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  <w:t>Plantillas de los correos que recibe el cliente (lenguaje simple, Perú), niveles de aviso, tiempos de respuesta y escalamiento, seguridad del canal — insumo directo para la App y el operador</w:t>
            </w:r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color w:val="1F2A44"/>
        </w:rPr>
        <w:t>⚙️ REGLAS_TUNEADAS/ — para desplegar en el servidor Wazuh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432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Qué es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EXPLICACION_DEL_TUNING.docx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El documento del tuning:</w:t>
            </w:r>
            <w:r>
              <w:rPr>
                <w:sz w:val="19"/>
              </w:rPr>
              <w:t xml:space="preserve"> auditoría regla por regla contra Wazuh 4.14.6, errores encontrados y corregidos, tuning de las 13 familias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GUIA_DE_DESPLIEGUE.docx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Cómo instalar el ruleset en el Manager, CI y rollback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rules/kriptome_local_rules.xml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Las 6 reglas custom corregidas (archivo desplegable)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routing/routing_matrix.csv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  <w:t>Tabla de routing que consume la Kriptome App (64 reglas, 15 familias)</w:t>
            </w:r>
            <w:r>
              <w:rPr>
                <w:sz w:val="19"/>
              </w:rPr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  <w:t>GUIA_CAMPOS_ENRIQUECIMIENTO.docx</w:t>
            </w:r>
            <w:r>
              <w:rPr>
                <w:sz w:val="19"/>
              </w:rPr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  <w:t>Diccionario de campos reales por familia (qué extraer de cada alerta: SSH, antivirus, AD, etc.) para redactar el correo al cliente con el detalle exacto</w:t>
            </w:r>
            <w:r>
              <w:rPr>
                <w:sz w:val="19"/>
              </w:rPr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lists/</w:t>
            </w:r>
            <w:r>
              <w:rPr>
                <w:sz w:val="19"/>
              </w:rPr>
              <w:t xml:space="preserve"> + GUIA_LISTAS.docx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Listas de inteligencia (CISA KEV, whitelist FIM) y cómo poblarlas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config/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30"/>
                <w:sz w:val="19"/>
              </w:rPr>
              <w:t>decoders/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30"/>
                <w:sz w:val="19"/>
              </w:rPr>
              <w:t>agent-conf/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ossec.conf, decoders, configs de agente por cliente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test_data/</w:t>
            </w:r>
            <w:r>
              <w:rPr>
                <w:sz w:val="19"/>
              </w:rPr>
              <w:t xml:space="preserve"> + RESULTADOS_ESPERADOS.docx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Logs de prueba y qué regla debe disparar cada uno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PROCEDENCIA_WAZUH.docx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Versión oficial auditada (4.14.6) y cómo re-descargarla</w:t>
            </w:r>
          </w:p>
        </w:tc>
      </w:tr>
    </w:tbl>
    <w:p>
      <w:pPr>
        <w:spacing w:after="40"/>
      </w:pPr>
    </w:p>
    <w:p>
      <w:pPr>
        <w:ind w:left="432"/>
      </w:pPr>
      <w:r>
        <w:rPr>
          <w:b/>
          <w:i/>
        </w:rPr>
        <w:t>Importante:</w:t>
      </w:r>
      <w:r>
        <w:rPr>
          <w:i/>
        </w:rPr>
        <w:t xml:space="preserve"> los archivos </w:t>
      </w:r>
      <w:r>
        <w:rPr>
          <w:rFonts w:ascii="Consolas" w:hAnsi="Consolas"/>
          <w:i/>
          <w:color w:val="B03030"/>
          <w:sz w:val="19"/>
        </w:rPr>
        <w:t>.xml</w:t>
      </w:r>
      <w:r>
        <w:rPr>
          <w:i/>
        </w:rPr>
        <w:t xml:space="preserve">, </w:t>
      </w:r>
      <w:r>
        <w:rPr>
          <w:rFonts w:ascii="Consolas" w:hAnsi="Consolas"/>
          <w:i/>
          <w:color w:val="B03030"/>
          <w:sz w:val="19"/>
        </w:rPr>
        <w:t>.csv</w:t>
      </w:r>
      <w:r>
        <w:rPr>
          <w:i/>
        </w:rPr>
        <w:t xml:space="preserve"> y listas se despliegan tal cual en el servidor — los Word son para lectura.</w:t>
      </w:r>
    </w:p>
    <w:p>
      <w:pPr>
        <w:pStyle w:val="Heading1"/>
      </w:pPr>
      <w:r>
        <w:rPr>
          <w:b/>
          <w:color w:val="1F2A44"/>
        </w:rPr>
        <w:t>Cifras clave (validadas por simulación)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432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Infraestructura AWS (10 PyMEs, todo incluido, optimizada −60%)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US$ 132–190/mes</w:t>
            </w:r>
            <w:r>
              <w:rPr>
                <w:sz w:val="19"/>
              </w:rPr>
              <w:t xml:space="preserve"> (Virginia) · 206–291 (São Paulo)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Costo por PyME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US$ 13–29/mes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Precio de lanzamiento sugerido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US$ 150–200/PyME/mes</w:t>
            </w:r>
            <w:r>
              <w:rPr>
                <w:sz w:val="19"/>
              </w:rPr>
              <w:t xml:space="preserve"> (infra = 7–15% del ingreso)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Rendimiento verificado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utilización 9–19% en régimen · picos &lt;60% · tormentas 10x absorbidas o recuperadas en ~11 min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b/>
          <w:color w:val="1F2A44"/>
        </w:rPr>
        <w:t>Las 2 decisiones pendientes para arrancar</w:t>
      </w:r>
    </w:p>
    <w:p>
      <w:pPr>
        <w:pStyle w:val="ListNumber"/>
      </w:pPr>
      <w:r>
        <w:rPr>
          <w:b/>
        </w:rPr>
        <w:t>Región AWS:</w:t>
      </w:r>
      <w:r>
        <w:t xml:space="preserve"> São Paulo (residencia de datos) o Virginia (−35% de costo) — doc 06, consulta C2.</w:t>
      </w:r>
    </w:p>
    <w:p>
      <w:pPr>
        <w:pStyle w:val="ListNumber"/>
      </w:pPr>
      <w:r>
        <w:rPr>
          <w:b/>
        </w:rPr>
        <w:t>Estado del MVP de la Kriptome App</w:t>
      </w:r>
      <w:r>
        <w:t xml:space="preserve"> (equipo de desarrollo) — es el camino crítico del calendario — doc 06, consulta C4.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A4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2A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2A44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b/>
      <w:color w:val="1F2A44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2A4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