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color w:val="1F2A44"/>
        </w:rPr>
        <w:t>Guía de Campos de Enriquecimiento — por familia de detección</w:t>
      </w:r>
    </w:p>
    <w:p>
      <w:r>
        <w:rPr>
          <w:b w:val="0"/>
          <w:i/>
          <w:color w:val="5A6472"/>
        </w:rPr>
        <w:t>Diccionario verificado contra decoders y reglas reales de Wazuh v4.14.6</w:t>
      </w:r>
    </w:p>
    <w:p>
      <w:r>
        <w:rPr>
          <w:b w:val="0"/>
          <w:i/>
          <w:color w:val="5A6472"/>
        </w:rPr>
        <w:t>REGLAS_TUNEADAS · Julio 2026 · 1.0</w:t>
      </w:r>
    </w:p>
    <w:p>
      <w:r>
        <w:rPr>
          <w:b w:val="0"/>
          <w:i w:val="0"/>
        </w:rPr>
        <w:t>Este documento responde una pregunta concreta: cuando dispara CUALQUIER alerta de las 15 familias (SSH, antivirus, comandos, lo que sea), ¿qué campos específicos existen de verdad en el evento para poder explicarle al cliente EXACTAMENTE qué pasó — no una plantilla genérica a medias, sino el detalle real (qué usuario, qué IP, qué archivo, qué comando, desde qué país)? Cada fila fue verificada línea por línea contra el código fuente de decoders/reglas del tag v4.14.6, no inferida.</w:t>
      </w:r>
    </w:p>
    <w:p>
      <w:pPr>
        <w:pStyle w:val="Heading2"/>
      </w:pPr>
      <w:r>
        <w:rPr>
          <w:rFonts w:ascii="Calibri" w:hAnsi="Calibri"/>
          <w:b/>
          <w:color w:val="1F2A44"/>
        </w:rPr>
        <w:t>1. La lógica general (3 tipos de campo, sin importar la familia)</w:t>
      </w:r>
    </w:p>
    <w:p>
      <w:pPr>
        <w:pStyle w:val="ListBullet"/>
      </w:pPr>
      <w:r>
        <w:rPr>
          <w:b/>
        </w:rPr>
        <w:t xml:space="preserve">Tipo 1 — </w:t>
      </w:r>
      <w:r>
        <w:t>CAMPOS NATIVOS DE WAZUH: existen en el evento tal cual lo entrega el decoder o el módulo (FIM, Vulnerability Detector, SCA, etc.). Son gratis, instantáneos, no requieren llamar a nada externo.</w:t>
      </w:r>
    </w:p>
    <w:p>
      <w:pPr>
        <w:pStyle w:val="ListBullet"/>
      </w:pPr>
      <w:r>
        <w:rPr>
          <w:b/>
        </w:rPr>
        <w:t xml:space="preserve">Tipo 2 — </w:t>
      </w:r>
      <w:r>
        <w:t>ENRIQUECIMIENTO EXTERNO: NO vienen en el evento de Wazuh. Hay que consultarlos aparte (GeoIP de una IP, reputación de un archivo/dominio, traducción de un código numérico). Esto lo hace la Kriptome App, con caché por IOC para no pagar la consulta cada vez (doc 03, nivel de control 6).</w:t>
      </w:r>
    </w:p>
    <w:p>
      <w:pPr>
        <w:pStyle w:val="ListBullet"/>
      </w:pPr>
      <w:r>
        <w:rPr>
          <w:b/>
        </w:rPr>
        <w:t xml:space="preserve">Tipo 3 — </w:t>
      </w:r>
      <w:r>
        <w:t>CAMPOS QUE NO EXISTEN (limitación real del propio Wazuh): casos donde ni el decoder ni ningún enriquecimiento resuelve el dato — solo queda el texto crudo del log. Están marcados explícitamente en la última columna de cada familia para que nadie prometa un detalle que no se puede dar.</w:t>
      </w:r>
    </w:p>
    <w:p>
      <w:r>
        <w:rPr>
          <w:b w:val="0"/>
          <w:i/>
        </w:rPr>
        <w:t>El principio de diseño (doc 02 §8): la IA y las plantillas NUNCA reciben el log completo — reciben estos campos ya extraídos, con nombre fijo. Por eso este diccionario es el que permite generalizar: no importa si la alerta es de SSH o de un antivirus, el mecanismo de extracción es el mismo — busca en esta tabla el case_type, saca sus campos, rellena la plantilla correspondiente (07_COMUNICACION_CON_EL_CLIENTE.docx).</w:t>
      </w:r>
    </w:p>
    <w:p>
      <w:pPr>
        <w:pStyle w:val="Heading2"/>
      </w:pPr>
      <w:r>
        <w:rPr>
          <w:rFonts w:ascii="Calibri" w:hAnsi="Calibri"/>
          <w:b/>
          <w:color w:val="1F2A44"/>
        </w:rPr>
        <w:t>2. Diccionario completo (15 familias)</w:t>
      </w:r>
    </w:p>
    <w:p>
      <w:pPr>
        <w:pStyle w:val="Heading3"/>
      </w:pPr>
      <w:r>
        <w:rPr>
          <w:rFonts w:ascii="Calibri" w:hAnsi="Calibri"/>
          <w:b/>
          <w:color w:val="1F2A44"/>
        </w:rPr>
        <w:t>SSH — AUTH_BRUTEFORCE_SSH</w:t>
      </w:r>
    </w:p>
    <w:tbl>
      <w:tblPr>
        <w:tblW w:type="auto" w:w="0"/>
        <w:tblLook w:firstColumn="1" w:firstRow="1" w:lastColumn="0" w:lastRow="0" w:noHBand="0" w:noVBand="1" w:val="04A0"/>
      </w:tblPr>
      <w:tblGrid>
        <w:gridCol w:w="4320"/>
        <w:gridCol w:w="4320"/>
      </w:tblGrid>
      <w:tr>
        <w:tc>
          <w:tcPr>
            <w:tcW w:type="dxa" w:w="2880"/>
            <w:shd w:val="clear" w:fill="1F4E79"/>
          </w:tcPr>
          <w:p>
            <w:r>
              <w:rPr>
                <w:b/>
                <w:color w:val="FFFFFF"/>
                <w:sz w:val="19"/>
              </w:rPr>
              <w:t>Campo</w:t>
            </w:r>
          </w:p>
        </w:tc>
        <w:tc>
          <w:tcPr>
            <w:tcW w:type="dxa" w:w="6912"/>
            <w:shd w:val="clear" w:fill="1F4E79"/>
          </w:tcPr>
          <w:p>
            <w:r>
              <w:rPr>
                <w:b/>
                <w:color w:val="FFFFFF"/>
                <w:sz w:val="19"/>
              </w:rPr>
              <w:t>Detalle</w:t>
            </w:r>
          </w:p>
        </w:tc>
      </w:tr>
      <w:tr>
        <w:tc>
          <w:tcPr>
            <w:tcW w:type="dxa" w:w="2880"/>
          </w:tcPr>
          <w:p>
            <w:r>
              <w:rPr>
                <w:sz w:val="17"/>
              </w:rPr>
              <w:t>Campos nativos de Wazuh (verificados)</w:t>
            </w:r>
          </w:p>
        </w:tc>
        <w:tc>
          <w:tcPr>
            <w:tcW w:type="dxa" w:w="6912"/>
          </w:tcPr>
          <w:p>
            <w:r>
              <w:rPr>
                <w:sz w:val="17"/>
              </w:rPr>
              <w:t>srcip, srcport, user (decoder sshd-success/ssh-denied)</w:t>
            </w:r>
          </w:p>
        </w:tc>
      </w:tr>
      <w:tr>
        <w:tc>
          <w:tcPr>
            <w:tcW w:type="dxa" w:w="2880"/>
          </w:tcPr>
          <w:p>
            <w:r>
              <w:rPr>
                <w:sz w:val="17"/>
              </w:rPr>
              <w:t>Enriquecimiento externo necesario</w:t>
            </w:r>
          </w:p>
        </w:tc>
        <w:tc>
          <w:tcPr>
            <w:tcW w:type="dxa" w:w="6912"/>
          </w:tcPr>
          <w:p>
            <w:r>
              <w:rPr>
                <w:sz w:val="17"/>
              </w:rPr>
              <w:t>GeoIP del srcip (país/ciudad) + reputación IP (AbuseIPDB/VT) — NO nativo, requiere enriquecimiento en la App</w:t>
            </w:r>
          </w:p>
        </w:tc>
      </w:tr>
      <w:tr>
        <w:tc>
          <w:tcPr>
            <w:tcW w:type="dxa" w:w="2880"/>
          </w:tcPr>
          <w:p>
            <w:r>
              <w:rPr>
                <w:sz w:val="17"/>
              </w:rPr>
              <w:t>Lo que esto permite decirle al cliente</w:t>
            </w:r>
          </w:p>
        </w:tc>
        <w:tc>
          <w:tcPr>
            <w:tcW w:type="dxa" w:w="6912"/>
          </w:tcPr>
          <w:p>
            <w:r>
              <w:rPr>
                <w:sz w:val="17"/>
              </w:rPr>
              <w:t>dirección de origen, país de origen, usuario objetivo, veces intentado, si esa IP ya atacó antes</w:t>
            </w:r>
          </w:p>
        </w:tc>
      </w:tr>
      <w:tr>
        <w:tc>
          <w:tcPr>
            <w:tcW w:type="dxa" w:w="2880"/>
          </w:tcPr>
          <w:p>
            <w:r>
              <w:rPr>
                <w:sz w:val="17"/>
              </w:rPr>
              <w:t>Validación y limitación real</w:t>
            </w:r>
          </w:p>
        </w:tc>
        <w:tc>
          <w:tcPr>
            <w:tcW w:type="dxa" w:w="6912"/>
          </w:tcPr>
          <w:p>
            <w:r>
              <w:rPr>
                <w:sz w:val="17"/>
              </w:rPr>
              <w:t>VALIDADO: decoders/0310-ssh_decoders.xml. srcip/user confirmados; NO existe geolocalización nativa en Wazuh</w:t>
            </w:r>
          </w:p>
        </w:tc>
      </w:tr>
    </w:tbl>
    <w:p/>
    <w:p>
      <w:pPr>
        <w:pStyle w:val="Heading3"/>
      </w:pPr>
      <w:r>
        <w:rPr>
          <w:rFonts w:ascii="Calibri" w:hAnsi="Calibri"/>
          <w:b/>
          <w:color w:val="1F2A44"/>
        </w:rPr>
        <w:t>Windows auth — AUTH_BRUTEFORCE_WIN_IP / _WIN_USER</w:t>
      </w:r>
    </w:p>
    <w:tbl>
      <w:tblPr>
        <w:tblW w:type="auto" w:w="0"/>
        <w:tblLook w:firstColumn="1" w:firstRow="1" w:lastColumn="0" w:lastRow="0" w:noHBand="0" w:noVBand="1" w:val="04A0"/>
      </w:tblPr>
      <w:tblGrid>
        <w:gridCol w:w="4320"/>
        <w:gridCol w:w="4320"/>
      </w:tblGrid>
      <w:tr>
        <w:tc>
          <w:tcPr>
            <w:tcW w:type="dxa" w:w="2880"/>
            <w:shd w:val="clear" w:fill="1F4E79"/>
          </w:tcPr>
          <w:p>
            <w:r>
              <w:rPr>
                <w:b/>
                <w:color w:val="FFFFFF"/>
                <w:sz w:val="19"/>
              </w:rPr>
              <w:t>Campo</w:t>
            </w:r>
          </w:p>
        </w:tc>
        <w:tc>
          <w:tcPr>
            <w:tcW w:type="dxa" w:w="6912"/>
            <w:shd w:val="clear" w:fill="1F4E79"/>
          </w:tcPr>
          <w:p>
            <w:r>
              <w:rPr>
                <w:b/>
                <w:color w:val="FFFFFF"/>
                <w:sz w:val="19"/>
              </w:rPr>
              <w:t>Detalle</w:t>
            </w:r>
          </w:p>
        </w:tc>
      </w:tr>
      <w:tr>
        <w:tc>
          <w:tcPr>
            <w:tcW w:type="dxa" w:w="2880"/>
          </w:tcPr>
          <w:p>
            <w:r>
              <w:rPr>
                <w:sz w:val="17"/>
              </w:rPr>
              <w:t>Campos nativos de Wazuh (verificados)</w:t>
            </w:r>
          </w:p>
        </w:tc>
        <w:tc>
          <w:tcPr>
            <w:tcW w:type="dxa" w:w="6912"/>
          </w:tcPr>
          <w:p>
            <w:r>
              <w:rPr>
                <w:sz w:val="17"/>
              </w:rPr>
              <w:t>win.eventdata.ipAddress, win.eventdata.targetUserName, win.eventdata.logonType, win.eventdata.workstationName</w:t>
            </w:r>
          </w:p>
        </w:tc>
      </w:tr>
      <w:tr>
        <w:tc>
          <w:tcPr>
            <w:tcW w:type="dxa" w:w="2880"/>
          </w:tcPr>
          <w:p>
            <w:r>
              <w:rPr>
                <w:sz w:val="17"/>
              </w:rPr>
              <w:t>Enriquecimiento externo necesario</w:t>
            </w:r>
          </w:p>
        </w:tc>
        <w:tc>
          <w:tcPr>
            <w:tcW w:type="dxa" w:w="6912"/>
          </w:tcPr>
          <w:p>
            <w:r>
              <w:rPr>
                <w:sz w:val="17"/>
              </w:rPr>
              <w:t>GeoIP de ipAddress + reputación IP</w:t>
            </w:r>
          </w:p>
        </w:tc>
      </w:tr>
      <w:tr>
        <w:tc>
          <w:tcPr>
            <w:tcW w:type="dxa" w:w="2880"/>
          </w:tcPr>
          <w:p>
            <w:r>
              <w:rPr>
                <w:sz w:val="17"/>
              </w:rPr>
              <w:t>Lo que esto permite decirle al cliente</w:t>
            </w:r>
          </w:p>
        </w:tc>
        <w:tc>
          <w:tcPr>
            <w:tcW w:type="dxa" w:w="6912"/>
          </w:tcPr>
          <w:p>
            <w:r>
              <w:rPr>
                <w:sz w:val="17"/>
              </w:rPr>
              <w:t>dirección de origen, país de origen, cuenta atacada, desde qué equipo/estación, tipo de acceso (remoto/local)</w:t>
            </w:r>
          </w:p>
        </w:tc>
      </w:tr>
      <w:tr>
        <w:tc>
          <w:tcPr>
            <w:tcW w:type="dxa" w:w="2880"/>
          </w:tcPr>
          <w:p>
            <w:r>
              <w:rPr>
                <w:sz w:val="17"/>
              </w:rPr>
              <w:t>Validación y limitación real</w:t>
            </w:r>
          </w:p>
        </w:tc>
        <w:tc>
          <w:tcPr>
            <w:tcW w:type="dxa" w:w="6912"/>
          </w:tcPr>
          <w:p>
            <w:r>
              <w:rPr>
                <w:sz w:val="17"/>
              </w:rPr>
              <w:t>VALIDADO: rules/0580-win-security_rules.xml. logonType 3=red,10=RDP — permite decir 'por escritorio remoto' vs 'red'</w:t>
            </w:r>
          </w:p>
        </w:tc>
      </w:tr>
    </w:tbl>
    <w:p/>
    <w:p>
      <w:pPr>
        <w:pStyle w:val="Heading3"/>
      </w:pPr>
      <w:r>
        <w:rPr>
          <w:rFonts w:ascii="Calibri" w:hAnsi="Calibri"/>
          <w:b/>
          <w:color w:val="1F2A44"/>
        </w:rPr>
        <w:t>Active Directory — AD_ACCOUNT_CHANGE / AD_GROUPCHANGE</w:t>
      </w:r>
    </w:p>
    <w:tbl>
      <w:tblPr>
        <w:tblW w:type="auto" w:w="0"/>
        <w:tblLook w:firstColumn="1" w:firstRow="1" w:lastColumn="0" w:lastRow="0" w:noHBand="0" w:noVBand="1" w:val="04A0"/>
      </w:tblPr>
      <w:tblGrid>
        <w:gridCol w:w="4320"/>
        <w:gridCol w:w="4320"/>
      </w:tblGrid>
      <w:tr>
        <w:tc>
          <w:tcPr>
            <w:tcW w:type="dxa" w:w="2880"/>
            <w:shd w:val="clear" w:fill="1F4E79"/>
          </w:tcPr>
          <w:p>
            <w:r>
              <w:rPr>
                <w:b/>
                <w:color w:val="FFFFFF"/>
                <w:sz w:val="19"/>
              </w:rPr>
              <w:t>Campo</w:t>
            </w:r>
          </w:p>
        </w:tc>
        <w:tc>
          <w:tcPr>
            <w:tcW w:type="dxa" w:w="6912"/>
            <w:shd w:val="clear" w:fill="1F4E79"/>
          </w:tcPr>
          <w:p>
            <w:r>
              <w:rPr>
                <w:b/>
                <w:color w:val="FFFFFF"/>
                <w:sz w:val="19"/>
              </w:rPr>
              <w:t>Detalle</w:t>
            </w:r>
          </w:p>
        </w:tc>
      </w:tr>
      <w:tr>
        <w:tc>
          <w:tcPr>
            <w:tcW w:type="dxa" w:w="2880"/>
          </w:tcPr>
          <w:p>
            <w:r>
              <w:rPr>
                <w:sz w:val="17"/>
              </w:rPr>
              <w:t>Campos nativos de Wazuh (verificados)</w:t>
            </w:r>
          </w:p>
        </w:tc>
        <w:tc>
          <w:tcPr>
            <w:tcW w:type="dxa" w:w="6912"/>
          </w:tcPr>
          <w:p>
            <w:r>
              <w:rPr>
                <w:sz w:val="17"/>
              </w:rPr>
              <w:t>win.eventdata.targetUserName, win.eventdata.subjectUserName, win.eventdata.memberSid, win.eventdata.targetGroupName (grupo), win.system.eventID</w:t>
            </w:r>
          </w:p>
        </w:tc>
      </w:tr>
      <w:tr>
        <w:tc>
          <w:tcPr>
            <w:tcW w:type="dxa" w:w="2880"/>
          </w:tcPr>
          <w:p>
            <w:r>
              <w:rPr>
                <w:sz w:val="17"/>
              </w:rPr>
              <w:t>Enriquecimiento externo necesario</w:t>
            </w:r>
          </w:p>
        </w:tc>
        <w:tc>
          <w:tcPr>
            <w:tcW w:type="dxa" w:w="6912"/>
          </w:tcPr>
          <w:p>
            <w:r>
              <w:rPr>
                <w:sz w:val="17"/>
              </w:rPr>
              <w:t>resolución de SID a nombre de grupo si no viene resuelto (según config auditoría)</w:t>
            </w:r>
          </w:p>
        </w:tc>
      </w:tr>
      <w:tr>
        <w:tc>
          <w:tcPr>
            <w:tcW w:type="dxa" w:w="2880"/>
          </w:tcPr>
          <w:p>
            <w:r>
              <w:rPr>
                <w:sz w:val="17"/>
              </w:rPr>
              <w:t>Lo que esto permite decirle al cliente</w:t>
            </w:r>
          </w:p>
        </w:tc>
        <w:tc>
          <w:tcPr>
            <w:tcW w:type="dxa" w:w="6912"/>
          </w:tcPr>
          <w:p>
            <w:r>
              <w:rPr>
                <w:sz w:val="17"/>
              </w:rPr>
              <w:t>cuenta modificada, quién hizo el cambio, a qué grupo se agregó (ej. Administradores), si el grupo es sensible</w:t>
            </w:r>
          </w:p>
        </w:tc>
      </w:tr>
      <w:tr>
        <w:tc>
          <w:tcPr>
            <w:tcW w:type="dxa" w:w="2880"/>
          </w:tcPr>
          <w:p>
            <w:r>
              <w:rPr>
                <w:sz w:val="17"/>
              </w:rPr>
              <w:t>Validación y limitación real</w:t>
            </w:r>
          </w:p>
        </w:tc>
        <w:tc>
          <w:tcPr>
            <w:tcW w:type="dxa" w:w="6912"/>
          </w:tcPr>
          <w:p>
            <w:r>
              <w:rPr>
                <w:sz w:val="17"/>
              </w:rPr>
              <w:t>VALIDADO: rules/0580-win-security_rules.xml. memberSid confirmado; targetGroupName depende de la política de auditoría de Windows del cliente</w:t>
            </w:r>
          </w:p>
        </w:tc>
      </w:tr>
    </w:tbl>
    <w:p/>
    <w:p>
      <w:pPr>
        <w:pStyle w:val="Heading3"/>
      </w:pPr>
      <w:r>
        <w:rPr>
          <w:rFonts w:ascii="Calibri" w:hAnsi="Calibri"/>
          <w:b/>
          <w:color w:val="1F2A44"/>
        </w:rPr>
        <w:t>Sudo/priv — SUDO_ANOMALY / SUDO_BRUTE / SUDO_DENIED</w:t>
      </w:r>
    </w:p>
    <w:tbl>
      <w:tblPr>
        <w:tblW w:type="auto" w:w="0"/>
        <w:tblLook w:firstColumn="1" w:firstRow="1" w:lastColumn="0" w:lastRow="0" w:noHBand="0" w:noVBand="1" w:val="04A0"/>
      </w:tblPr>
      <w:tblGrid>
        <w:gridCol w:w="4320"/>
        <w:gridCol w:w="4320"/>
      </w:tblGrid>
      <w:tr>
        <w:tc>
          <w:tcPr>
            <w:tcW w:type="dxa" w:w="2880"/>
            <w:shd w:val="clear" w:fill="1F4E79"/>
          </w:tcPr>
          <w:p>
            <w:r>
              <w:rPr>
                <w:b/>
                <w:color w:val="FFFFFF"/>
                <w:sz w:val="19"/>
              </w:rPr>
              <w:t>Campo</w:t>
            </w:r>
          </w:p>
        </w:tc>
        <w:tc>
          <w:tcPr>
            <w:tcW w:type="dxa" w:w="6912"/>
            <w:shd w:val="clear" w:fill="1F4E79"/>
          </w:tcPr>
          <w:p>
            <w:r>
              <w:rPr>
                <w:b/>
                <w:color w:val="FFFFFF"/>
                <w:sz w:val="19"/>
              </w:rPr>
              <w:t>Detalle</w:t>
            </w:r>
          </w:p>
        </w:tc>
      </w:tr>
      <w:tr>
        <w:tc>
          <w:tcPr>
            <w:tcW w:type="dxa" w:w="2880"/>
          </w:tcPr>
          <w:p>
            <w:r>
              <w:rPr>
                <w:sz w:val="17"/>
              </w:rPr>
              <w:t>Campos nativos de Wazuh (verificados)</w:t>
            </w:r>
          </w:p>
        </w:tc>
        <w:tc>
          <w:tcPr>
            <w:tcW w:type="dxa" w:w="6912"/>
          </w:tcPr>
          <w:p>
            <w:r>
              <w:rPr>
                <w:sz w:val="17"/>
              </w:rPr>
              <w:t>srcuser (decoder sudo-fields); mensaje crudo con USER=, COMMAND=, TTY=, PWD=</w:t>
            </w:r>
          </w:p>
        </w:tc>
      </w:tr>
      <w:tr>
        <w:tc>
          <w:tcPr>
            <w:tcW w:type="dxa" w:w="2880"/>
          </w:tcPr>
          <w:p>
            <w:r>
              <w:rPr>
                <w:sz w:val="17"/>
              </w:rPr>
              <w:t>Enriquecimiento externo necesario</w:t>
            </w:r>
          </w:p>
        </w:tc>
        <w:tc>
          <w:tcPr>
            <w:tcW w:type="dxa" w:w="6912"/>
          </w:tcPr>
          <w:p>
            <w:r>
              <w:rPr>
                <w:sz w:val="17"/>
              </w:rPr>
              <w:t>ninguno necesario</w:t>
            </w:r>
          </w:p>
        </w:tc>
      </w:tr>
      <w:tr>
        <w:tc>
          <w:tcPr>
            <w:tcW w:type="dxa" w:w="2880"/>
          </w:tcPr>
          <w:p>
            <w:r>
              <w:rPr>
                <w:sz w:val="17"/>
              </w:rPr>
              <w:t>Lo que esto permite decirle al cliente</w:t>
            </w:r>
          </w:p>
        </w:tc>
        <w:tc>
          <w:tcPr>
            <w:tcW w:type="dxa" w:w="6912"/>
          </w:tcPr>
          <w:p>
            <w:r>
              <w:rPr>
                <w:sz w:val="17"/>
              </w:rPr>
              <w:t>quién ejecutó sudo, a qué usuario se elevó (root u otro), si es la primera vez que lo hace</w:t>
            </w:r>
          </w:p>
        </w:tc>
      </w:tr>
      <w:tr>
        <w:tc>
          <w:tcPr>
            <w:tcW w:type="dxa" w:w="2880"/>
          </w:tcPr>
          <w:p>
            <w:r>
              <w:rPr>
                <w:sz w:val="17"/>
              </w:rPr>
              <w:t>Validación y limitación real</w:t>
            </w:r>
          </w:p>
        </w:tc>
        <w:tc>
          <w:tcPr>
            <w:tcW w:type="dxa" w:w="6912"/>
          </w:tcPr>
          <w:p>
            <w:r>
              <w:rPr>
                <w:sz w:val="17"/>
              </w:rPr>
              <w:t>LIMITACION REAL: el decoder NO separa 'COMMAND=' como campo propio — el comando ejecutado solo está en el log crudo, no en un campo estructurado. Para decir 'qué comando corrió' hay que parsear el log completo, no solo los campos de la regla</w:t>
            </w:r>
          </w:p>
        </w:tc>
      </w:tr>
    </w:tbl>
    <w:p/>
    <w:p>
      <w:pPr>
        <w:pStyle w:val="Heading3"/>
      </w:pPr>
      <w:r>
        <w:rPr>
          <w:rFonts w:ascii="Calibri" w:hAnsi="Calibri"/>
          <w:b/>
          <w:color w:val="1F2A44"/>
        </w:rPr>
        <w:t>FIM — FIM_MODIFY / _ADD / _DELETE / _REGISTRY</w:t>
      </w:r>
    </w:p>
    <w:tbl>
      <w:tblPr>
        <w:tblW w:type="auto" w:w="0"/>
        <w:tblLook w:firstColumn="1" w:firstRow="1" w:lastColumn="0" w:lastRow="0" w:noHBand="0" w:noVBand="1" w:val="04A0"/>
      </w:tblPr>
      <w:tblGrid>
        <w:gridCol w:w="4320"/>
        <w:gridCol w:w="4320"/>
      </w:tblGrid>
      <w:tr>
        <w:tc>
          <w:tcPr>
            <w:tcW w:type="dxa" w:w="2880"/>
            <w:shd w:val="clear" w:fill="1F4E79"/>
          </w:tcPr>
          <w:p>
            <w:r>
              <w:rPr>
                <w:b/>
                <w:color w:val="FFFFFF"/>
                <w:sz w:val="19"/>
              </w:rPr>
              <w:t>Campo</w:t>
            </w:r>
          </w:p>
        </w:tc>
        <w:tc>
          <w:tcPr>
            <w:tcW w:type="dxa" w:w="6912"/>
            <w:shd w:val="clear" w:fill="1F4E79"/>
          </w:tcPr>
          <w:p>
            <w:r>
              <w:rPr>
                <w:b/>
                <w:color w:val="FFFFFF"/>
                <w:sz w:val="19"/>
              </w:rPr>
              <w:t>Detalle</w:t>
            </w:r>
          </w:p>
        </w:tc>
      </w:tr>
      <w:tr>
        <w:tc>
          <w:tcPr>
            <w:tcW w:type="dxa" w:w="2880"/>
          </w:tcPr>
          <w:p>
            <w:r>
              <w:rPr>
                <w:sz w:val="17"/>
              </w:rPr>
              <w:t>Campos nativos de Wazuh (verificados)</w:t>
            </w:r>
          </w:p>
        </w:tc>
        <w:tc>
          <w:tcPr>
            <w:tcW w:type="dxa" w:w="6912"/>
          </w:tcPr>
          <w:p>
            <w:r>
              <w:rPr>
                <w:sz w:val="17"/>
              </w:rPr>
              <w:t>syscheck.path, syscheck.size_after/before, syscheck.md5_after, syscheck.sha1_after, syscheck.sha256_after, syscheck.uid_after, syscheck.gid_after, syscheck.perm_after, syscheck.mtime_after, syscheck.diff</w:t>
            </w:r>
          </w:p>
        </w:tc>
      </w:tr>
      <w:tr>
        <w:tc>
          <w:tcPr>
            <w:tcW w:type="dxa" w:w="2880"/>
          </w:tcPr>
          <w:p>
            <w:r>
              <w:rPr>
                <w:sz w:val="17"/>
              </w:rPr>
              <w:t>Enriquecimiento externo necesario</w:t>
            </w:r>
          </w:p>
        </w:tc>
        <w:tc>
          <w:tcPr>
            <w:tcW w:type="dxa" w:w="6912"/>
          </w:tcPr>
          <w:p>
            <w:r>
              <w:rPr>
                <w:sz w:val="17"/>
              </w:rPr>
              <w:t>reputación del sha256 si es archivo nuevo (VirusTotal/MalwareBazaar) — separado de 99901 que ya lo hace por lista</w:t>
            </w:r>
          </w:p>
        </w:tc>
      </w:tr>
      <w:tr>
        <w:tc>
          <w:tcPr>
            <w:tcW w:type="dxa" w:w="2880"/>
          </w:tcPr>
          <w:p>
            <w:r>
              <w:rPr>
                <w:sz w:val="17"/>
              </w:rPr>
              <w:t>Lo que esto permite decirle al cliente</w:t>
            </w:r>
          </w:p>
        </w:tc>
        <w:tc>
          <w:tcPr>
            <w:tcW w:type="dxa" w:w="6912"/>
          </w:tcPr>
          <w:p>
            <w:r>
              <w:rPr>
                <w:sz w:val="17"/>
              </w:rPr>
              <w:t>qué archivo cambió (ruta completa), qué tipo de cambio (creado/modificado/borrado), tamaño antes/después, si cambió el dueño o los permisos</w:t>
            </w:r>
          </w:p>
        </w:tc>
      </w:tr>
      <w:tr>
        <w:tc>
          <w:tcPr>
            <w:tcW w:type="dxa" w:w="2880"/>
          </w:tcPr>
          <w:p>
            <w:r>
              <w:rPr>
                <w:sz w:val="17"/>
              </w:rPr>
              <w:t>Validación y limitación real</w:t>
            </w:r>
          </w:p>
        </w:tc>
        <w:tc>
          <w:tcPr>
            <w:tcW w:type="dxa" w:w="6912"/>
          </w:tcPr>
          <w:p>
            <w:r>
              <w:rPr>
                <w:sz w:val="17"/>
              </w:rPr>
              <w:t>VALIDADO por especificación del módulo syscheck (decoded_as=syscheck_integrity_changed/_deleted/_new_entry). Los campos con sufijo _after siempre están; _before solo en modificación</w:t>
            </w:r>
          </w:p>
        </w:tc>
      </w:tr>
    </w:tbl>
    <w:p/>
    <w:p>
      <w:pPr>
        <w:pStyle w:val="Heading3"/>
      </w:pPr>
      <w:r>
        <w:rPr>
          <w:rFonts w:ascii="Calibri" w:hAnsi="Calibri"/>
          <w:b/>
          <w:color w:val="1F2A44"/>
        </w:rPr>
        <w:t>Rootcheck — ROOTCHECK / ROOTKIT</w:t>
      </w:r>
    </w:p>
    <w:tbl>
      <w:tblPr>
        <w:tblW w:type="auto" w:w="0"/>
        <w:tblLook w:firstColumn="1" w:firstRow="1" w:lastColumn="0" w:lastRow="0" w:noHBand="0" w:noVBand="1" w:val="04A0"/>
      </w:tblPr>
      <w:tblGrid>
        <w:gridCol w:w="4320"/>
        <w:gridCol w:w="4320"/>
      </w:tblGrid>
      <w:tr>
        <w:tc>
          <w:tcPr>
            <w:tcW w:type="dxa" w:w="2880"/>
            <w:shd w:val="clear" w:fill="1F4E79"/>
          </w:tcPr>
          <w:p>
            <w:r>
              <w:rPr>
                <w:b/>
                <w:color w:val="FFFFFF"/>
                <w:sz w:val="19"/>
              </w:rPr>
              <w:t>Campo</w:t>
            </w:r>
          </w:p>
        </w:tc>
        <w:tc>
          <w:tcPr>
            <w:tcW w:type="dxa" w:w="6912"/>
            <w:shd w:val="clear" w:fill="1F4E79"/>
          </w:tcPr>
          <w:p>
            <w:r>
              <w:rPr>
                <w:b/>
                <w:color w:val="FFFFFF"/>
                <w:sz w:val="19"/>
              </w:rPr>
              <w:t>Detalle</w:t>
            </w:r>
          </w:p>
        </w:tc>
      </w:tr>
      <w:tr>
        <w:tc>
          <w:tcPr>
            <w:tcW w:type="dxa" w:w="2880"/>
          </w:tcPr>
          <w:p>
            <w:r>
              <w:rPr>
                <w:sz w:val="17"/>
              </w:rPr>
              <w:t>Campos nativos de Wazuh (verificados)</w:t>
            </w:r>
          </w:p>
        </w:tc>
        <w:tc>
          <w:tcPr>
            <w:tcW w:type="dxa" w:w="6912"/>
          </w:tcPr>
          <w:p>
            <w:r>
              <w:rPr>
                <w:sz w:val="17"/>
              </w:rPr>
              <w:t>mensaje descriptivo completo (system_audit / rootkit_*); el decoder NO separa campos individuales del hallazgo</w:t>
            </w:r>
          </w:p>
        </w:tc>
      </w:tr>
      <w:tr>
        <w:tc>
          <w:tcPr>
            <w:tcW w:type="dxa" w:w="2880"/>
          </w:tcPr>
          <w:p>
            <w:r>
              <w:rPr>
                <w:sz w:val="17"/>
              </w:rPr>
              <w:t>Enriquecimiento externo necesario</w:t>
            </w:r>
          </w:p>
        </w:tc>
        <w:tc>
          <w:tcPr>
            <w:tcW w:type="dxa" w:w="6912"/>
          </w:tcPr>
          <w:p>
            <w:r>
              <w:rPr>
                <w:sz w:val="17"/>
              </w:rPr>
              <w:t>ninguno</w:t>
            </w:r>
          </w:p>
        </w:tc>
      </w:tr>
      <w:tr>
        <w:tc>
          <w:tcPr>
            <w:tcW w:type="dxa" w:w="2880"/>
          </w:tcPr>
          <w:p>
            <w:r>
              <w:rPr>
                <w:sz w:val="17"/>
              </w:rPr>
              <w:t>Lo que esto permite decirle al cliente</w:t>
            </w:r>
          </w:p>
        </w:tc>
        <w:tc>
          <w:tcPr>
            <w:tcW w:type="dxa" w:w="6912"/>
          </w:tcPr>
          <w:p>
            <w:r>
              <w:rPr>
                <w:sz w:val="17"/>
              </w:rPr>
              <w:t>qué anomalía se encontró (texto descriptivo tal cual lo entrega el módulo)</w:t>
            </w:r>
          </w:p>
        </w:tc>
      </w:tr>
      <w:tr>
        <w:tc>
          <w:tcPr>
            <w:tcW w:type="dxa" w:w="2880"/>
          </w:tcPr>
          <w:p>
            <w:r>
              <w:rPr>
                <w:sz w:val="17"/>
              </w:rPr>
              <w:t>Validación y limitación real</w:t>
            </w:r>
          </w:p>
        </w:tc>
        <w:tc>
          <w:tcPr>
            <w:tcW w:type="dxa" w:w="6912"/>
          </w:tcPr>
          <w:p>
            <w:r>
              <w:rPr>
                <w:sz w:val="17"/>
              </w:rPr>
              <w:t>LIMITACION REAL: rootcheck no tiene decoder con &lt;order&gt; que extraiga campos — solo produce el texto de la descripción de la regla. Se traduce casi literal, sin poder aislar 'proceso' o 'puerto' como campos separados</w:t>
            </w:r>
          </w:p>
        </w:tc>
      </w:tr>
    </w:tbl>
    <w:p/>
    <w:p>
      <w:pPr>
        <w:pStyle w:val="Heading3"/>
      </w:pPr>
      <w:r>
        <w:rPr>
          <w:rFonts w:ascii="Calibri" w:hAnsi="Calibri"/>
          <w:b/>
          <w:color w:val="1F2A44"/>
        </w:rPr>
        <w:t>SCA — SCA_REGRESSION / SCA_SCORE</w:t>
      </w:r>
    </w:p>
    <w:tbl>
      <w:tblPr>
        <w:tblW w:type="auto" w:w="0"/>
        <w:tblLook w:firstColumn="1" w:firstRow="1" w:lastColumn="0" w:lastRow="0" w:noHBand="0" w:noVBand="1" w:val="04A0"/>
      </w:tblPr>
      <w:tblGrid>
        <w:gridCol w:w="4320"/>
        <w:gridCol w:w="4320"/>
      </w:tblGrid>
      <w:tr>
        <w:tc>
          <w:tcPr>
            <w:tcW w:type="dxa" w:w="2880"/>
            <w:shd w:val="clear" w:fill="1F4E79"/>
          </w:tcPr>
          <w:p>
            <w:r>
              <w:rPr>
                <w:b/>
                <w:color w:val="FFFFFF"/>
                <w:sz w:val="19"/>
              </w:rPr>
              <w:t>Campo</w:t>
            </w:r>
          </w:p>
        </w:tc>
        <w:tc>
          <w:tcPr>
            <w:tcW w:type="dxa" w:w="6912"/>
            <w:shd w:val="clear" w:fill="1F4E79"/>
          </w:tcPr>
          <w:p>
            <w:r>
              <w:rPr>
                <w:b/>
                <w:color w:val="FFFFFF"/>
                <w:sz w:val="19"/>
              </w:rPr>
              <w:t>Detalle</w:t>
            </w:r>
          </w:p>
        </w:tc>
      </w:tr>
      <w:tr>
        <w:tc>
          <w:tcPr>
            <w:tcW w:type="dxa" w:w="2880"/>
          </w:tcPr>
          <w:p>
            <w:r>
              <w:rPr>
                <w:sz w:val="17"/>
              </w:rPr>
              <w:t>Campos nativos de Wazuh (verificados)</w:t>
            </w:r>
          </w:p>
        </w:tc>
        <w:tc>
          <w:tcPr>
            <w:tcW w:type="dxa" w:w="6912"/>
          </w:tcPr>
          <w:p>
            <w:r>
              <w:rPr>
                <w:sz w:val="17"/>
              </w:rPr>
              <w:t>sca.policy, sca.check.id, sca.check.title, sca.check.previous_result, sca.check.result, sca.score</w:t>
            </w:r>
          </w:p>
        </w:tc>
      </w:tr>
      <w:tr>
        <w:tc>
          <w:tcPr>
            <w:tcW w:type="dxa" w:w="2880"/>
          </w:tcPr>
          <w:p>
            <w:r>
              <w:rPr>
                <w:sz w:val="17"/>
              </w:rPr>
              <w:t>Enriquecimiento externo necesario</w:t>
            </w:r>
          </w:p>
        </w:tc>
        <w:tc>
          <w:tcPr>
            <w:tcW w:type="dxa" w:w="6912"/>
          </w:tcPr>
          <w:p>
            <w:r>
              <w:rPr>
                <w:sz w:val="17"/>
              </w:rPr>
              <w:t>ninguno</w:t>
            </w:r>
          </w:p>
        </w:tc>
      </w:tr>
      <w:tr>
        <w:tc>
          <w:tcPr>
            <w:tcW w:type="dxa" w:w="2880"/>
          </w:tcPr>
          <w:p>
            <w:r>
              <w:rPr>
                <w:sz w:val="17"/>
              </w:rPr>
              <w:t>Lo que esto permite decirle al cliente</w:t>
            </w:r>
          </w:p>
        </w:tc>
        <w:tc>
          <w:tcPr>
            <w:tcW w:type="dxa" w:w="6912"/>
          </w:tcPr>
          <w:p>
            <w:r>
              <w:rPr>
                <w:sz w:val="17"/>
              </w:rPr>
              <w:t>qué política de seguridad (ej. CIS Benchmark), qué control específico falló, si antes pasaba y ahora falla</w:t>
            </w:r>
          </w:p>
        </w:tc>
      </w:tr>
      <w:tr>
        <w:tc>
          <w:tcPr>
            <w:tcW w:type="dxa" w:w="2880"/>
          </w:tcPr>
          <w:p>
            <w:r>
              <w:rPr>
                <w:sz w:val="17"/>
              </w:rPr>
              <w:t>Validación y limitación real</w:t>
            </w:r>
          </w:p>
        </w:tc>
        <w:tc>
          <w:tcPr>
            <w:tcW w:type="dxa" w:w="6912"/>
          </w:tcPr>
          <w:p>
            <w:r>
              <w:rPr>
                <w:sz w:val="17"/>
              </w:rPr>
              <w:t>VALIDADO: rules/0570-sca_rules.xml. sca.check.title es el nombre legible del control — clave para explicarlo sin jerga</w:t>
            </w:r>
          </w:p>
        </w:tc>
      </w:tr>
    </w:tbl>
    <w:p/>
    <w:p>
      <w:pPr>
        <w:pStyle w:val="Heading3"/>
      </w:pPr>
      <w:r>
        <w:rPr>
          <w:rFonts w:ascii="Calibri" w:hAnsi="Calibri"/>
          <w:b/>
          <w:color w:val="1F2A44"/>
        </w:rPr>
        <w:t>Vuln — VULN / VULN_KEV</w:t>
      </w:r>
    </w:p>
    <w:tbl>
      <w:tblPr>
        <w:tblW w:type="auto" w:w="0"/>
        <w:tblLook w:firstColumn="1" w:firstRow="1" w:lastColumn="0" w:lastRow="0" w:noHBand="0" w:noVBand="1" w:val="04A0"/>
      </w:tblPr>
      <w:tblGrid>
        <w:gridCol w:w="4320"/>
        <w:gridCol w:w="4320"/>
      </w:tblGrid>
      <w:tr>
        <w:tc>
          <w:tcPr>
            <w:tcW w:type="dxa" w:w="2880"/>
            <w:shd w:val="clear" w:fill="1F4E79"/>
          </w:tcPr>
          <w:p>
            <w:r>
              <w:rPr>
                <w:b/>
                <w:color w:val="FFFFFF"/>
                <w:sz w:val="19"/>
              </w:rPr>
              <w:t>Campo</w:t>
            </w:r>
          </w:p>
        </w:tc>
        <w:tc>
          <w:tcPr>
            <w:tcW w:type="dxa" w:w="6912"/>
            <w:shd w:val="clear" w:fill="1F4E79"/>
          </w:tcPr>
          <w:p>
            <w:r>
              <w:rPr>
                <w:b/>
                <w:color w:val="FFFFFF"/>
                <w:sz w:val="19"/>
              </w:rPr>
              <w:t>Detalle</w:t>
            </w:r>
          </w:p>
        </w:tc>
      </w:tr>
      <w:tr>
        <w:tc>
          <w:tcPr>
            <w:tcW w:type="dxa" w:w="2880"/>
          </w:tcPr>
          <w:p>
            <w:r>
              <w:rPr>
                <w:sz w:val="17"/>
              </w:rPr>
              <w:t>Campos nativos de Wazuh (verificados)</w:t>
            </w:r>
          </w:p>
        </w:tc>
        <w:tc>
          <w:tcPr>
            <w:tcW w:type="dxa" w:w="6912"/>
          </w:tcPr>
          <w:p>
            <w:r>
              <w:rPr>
                <w:sz w:val="17"/>
              </w:rPr>
              <w:t>vulnerability.cve, vulnerability.package.name, vulnerability.package.version, vulnerability.severity, vulnerability.status</w:t>
            </w:r>
          </w:p>
        </w:tc>
      </w:tr>
      <w:tr>
        <w:tc>
          <w:tcPr>
            <w:tcW w:type="dxa" w:w="2880"/>
          </w:tcPr>
          <w:p>
            <w:r>
              <w:rPr>
                <w:sz w:val="17"/>
              </w:rPr>
              <w:t>Enriquecimiento externo necesario</w:t>
            </w:r>
          </w:p>
        </w:tc>
        <w:tc>
          <w:tcPr>
            <w:tcW w:type="dxa" w:w="6912"/>
          </w:tcPr>
          <w:p>
            <w:r>
              <w:rPr>
                <w:sz w:val="17"/>
              </w:rPr>
              <w:t>descripción en español del CVE (NVD/CISA no siempre trae resumen en español) + si está en el catálogo CISA KEV (lista kriptome-cisa-kev)</w:t>
            </w:r>
          </w:p>
        </w:tc>
      </w:tr>
      <w:tr>
        <w:tc>
          <w:tcPr>
            <w:tcW w:type="dxa" w:w="2880"/>
          </w:tcPr>
          <w:p>
            <w:r>
              <w:rPr>
                <w:sz w:val="17"/>
              </w:rPr>
              <w:t>Lo que esto permite decirle al cliente</w:t>
            </w:r>
          </w:p>
        </w:tc>
        <w:tc>
          <w:tcPr>
            <w:tcW w:type="dxa" w:w="6912"/>
          </w:tcPr>
          <w:p>
            <w:r>
              <w:rPr>
                <w:sz w:val="17"/>
              </w:rPr>
              <w:t>qué programa tiene la falla, qué versión, qué tan grave es, si ya la están explotando activamente (KEV)</w:t>
            </w:r>
          </w:p>
        </w:tc>
      </w:tr>
      <w:tr>
        <w:tc>
          <w:tcPr>
            <w:tcW w:type="dxa" w:w="2880"/>
          </w:tcPr>
          <w:p>
            <w:r>
              <w:rPr>
                <w:sz w:val="17"/>
              </w:rPr>
              <w:t>Validación y limitación real</w:t>
            </w:r>
          </w:p>
        </w:tc>
        <w:tc>
          <w:tcPr>
            <w:tcW w:type="dxa" w:w="6912"/>
          </w:tcPr>
          <w:p>
            <w:r>
              <w:rPr>
                <w:sz w:val="17"/>
              </w:rPr>
              <w:t>VALIDADO: rules/0520-vulnerability-detector_rules.xml. package.name+version permiten decirle al cliente exactamente qué actualizar</w:t>
            </w:r>
          </w:p>
        </w:tc>
      </w:tr>
    </w:tbl>
    <w:p/>
    <w:p>
      <w:pPr>
        <w:pStyle w:val="Heading3"/>
      </w:pPr>
      <w:r>
        <w:rPr>
          <w:rFonts w:ascii="Calibri" w:hAnsi="Calibri"/>
          <w:b/>
          <w:color w:val="1F2A44"/>
        </w:rPr>
        <w:t>AV/EDR — MALWARE_AV / AV_STORM</w:t>
      </w:r>
    </w:p>
    <w:tbl>
      <w:tblPr>
        <w:tblW w:type="auto" w:w="0"/>
        <w:tblLook w:firstColumn="1" w:firstRow="1" w:lastColumn="0" w:lastRow="0" w:noHBand="0" w:noVBand="1" w:val="04A0"/>
      </w:tblPr>
      <w:tblGrid>
        <w:gridCol w:w="4320"/>
        <w:gridCol w:w="4320"/>
      </w:tblGrid>
      <w:tr>
        <w:tc>
          <w:tcPr>
            <w:tcW w:type="dxa" w:w="2880"/>
            <w:shd w:val="clear" w:fill="1F4E79"/>
          </w:tcPr>
          <w:p>
            <w:r>
              <w:rPr>
                <w:b/>
                <w:color w:val="FFFFFF"/>
                <w:sz w:val="19"/>
              </w:rPr>
              <w:t>Campo</w:t>
            </w:r>
          </w:p>
        </w:tc>
        <w:tc>
          <w:tcPr>
            <w:tcW w:type="dxa" w:w="6912"/>
            <w:shd w:val="clear" w:fill="1F4E79"/>
          </w:tcPr>
          <w:p>
            <w:r>
              <w:rPr>
                <w:b/>
                <w:color w:val="FFFFFF"/>
                <w:sz w:val="19"/>
              </w:rPr>
              <w:t>Detalle</w:t>
            </w:r>
          </w:p>
        </w:tc>
      </w:tr>
      <w:tr>
        <w:tc>
          <w:tcPr>
            <w:tcW w:type="dxa" w:w="2880"/>
          </w:tcPr>
          <w:p>
            <w:r>
              <w:rPr>
                <w:sz w:val="17"/>
              </w:rPr>
              <w:t>Campos nativos de Wazuh (verificados)</w:t>
            </w:r>
          </w:p>
        </w:tc>
        <w:tc>
          <w:tcPr>
            <w:tcW w:type="dxa" w:w="6912"/>
          </w:tcPr>
          <w:p>
            <w:r>
              <w:rPr>
                <w:sz w:val="17"/>
              </w:rPr>
              <w:t>virustotal.source.file, virustotal.positives, virustotal.permalink (VT); win.system.message crudo (Defender, SIN campos separados)</w:t>
            </w:r>
          </w:p>
        </w:tc>
      </w:tr>
      <w:tr>
        <w:tc>
          <w:tcPr>
            <w:tcW w:type="dxa" w:w="2880"/>
          </w:tcPr>
          <w:p>
            <w:r>
              <w:rPr>
                <w:sz w:val="17"/>
              </w:rPr>
              <w:t>Enriquecimiento externo necesario</w:t>
            </w:r>
          </w:p>
        </w:tc>
        <w:tc>
          <w:tcPr>
            <w:tcW w:type="dxa" w:w="6912"/>
          </w:tcPr>
          <w:p>
            <w:r>
              <w:rPr>
                <w:sz w:val="17"/>
              </w:rPr>
              <w:t>nombre de la amenaza si VT no lo trae explícito (algunos motores sí, vía scans.*)</w:t>
            </w:r>
          </w:p>
        </w:tc>
      </w:tr>
      <w:tr>
        <w:tc>
          <w:tcPr>
            <w:tcW w:type="dxa" w:w="2880"/>
          </w:tcPr>
          <w:p>
            <w:r>
              <w:rPr>
                <w:sz w:val="17"/>
              </w:rPr>
              <w:t>Lo que esto permite decirle al cliente</w:t>
            </w:r>
          </w:p>
        </w:tc>
        <w:tc>
          <w:tcPr>
            <w:tcW w:type="dxa" w:w="6912"/>
          </w:tcPr>
          <w:p>
            <w:r>
              <w:rPr>
                <w:sz w:val="17"/>
              </w:rPr>
              <w:t>qué archivo, cuántos motores antivirus lo confirman como dañino, enlace de evidencia (permalink)</w:t>
            </w:r>
          </w:p>
        </w:tc>
      </w:tr>
      <w:tr>
        <w:tc>
          <w:tcPr>
            <w:tcW w:type="dxa" w:w="2880"/>
          </w:tcPr>
          <w:p>
            <w:r>
              <w:rPr>
                <w:sz w:val="17"/>
              </w:rPr>
              <w:t>Validación y limitación real</w:t>
            </w:r>
          </w:p>
        </w:tc>
        <w:tc>
          <w:tcPr>
            <w:tcW w:type="dxa" w:w="6912"/>
          </w:tcPr>
          <w:p>
            <w:r>
              <w:rPr>
                <w:sz w:val="17"/>
              </w:rPr>
              <w:t>VALIDADO: rules/0490-virustotal_rules.xml. LIMITACION: Defender (62102/62105/62106) NO expone threat_name como campo — solo detecta 'hubo error/warning', el nombre de la amenaza requiere revisar el mensaje crudo o consultar Defender directamente</w:t>
            </w:r>
          </w:p>
        </w:tc>
      </w:tr>
    </w:tbl>
    <w:p/>
    <w:p>
      <w:pPr>
        <w:pStyle w:val="Heading3"/>
      </w:pPr>
      <w:r>
        <w:rPr>
          <w:rFonts w:ascii="Calibri" w:hAnsi="Calibri"/>
          <w:b/>
          <w:color w:val="1F2A44"/>
        </w:rPr>
        <w:t>Firewall/IDS — FW_SCAN / IDS_IOC</w:t>
      </w:r>
    </w:p>
    <w:tbl>
      <w:tblPr>
        <w:tblW w:type="auto" w:w="0"/>
        <w:tblLook w:firstColumn="1" w:firstRow="1" w:lastColumn="0" w:lastRow="0" w:noHBand="0" w:noVBand="1" w:val="04A0"/>
      </w:tblPr>
      <w:tblGrid>
        <w:gridCol w:w="4320"/>
        <w:gridCol w:w="4320"/>
      </w:tblGrid>
      <w:tr>
        <w:tc>
          <w:tcPr>
            <w:tcW w:type="dxa" w:w="2880"/>
            <w:shd w:val="clear" w:fill="1F4E79"/>
          </w:tcPr>
          <w:p>
            <w:r>
              <w:rPr>
                <w:b/>
                <w:color w:val="FFFFFF"/>
                <w:sz w:val="19"/>
              </w:rPr>
              <w:t>Campo</w:t>
            </w:r>
          </w:p>
        </w:tc>
        <w:tc>
          <w:tcPr>
            <w:tcW w:type="dxa" w:w="6912"/>
            <w:shd w:val="clear" w:fill="1F4E79"/>
          </w:tcPr>
          <w:p>
            <w:r>
              <w:rPr>
                <w:b/>
                <w:color w:val="FFFFFF"/>
                <w:sz w:val="19"/>
              </w:rPr>
              <w:t>Detalle</w:t>
            </w:r>
          </w:p>
        </w:tc>
      </w:tr>
      <w:tr>
        <w:tc>
          <w:tcPr>
            <w:tcW w:type="dxa" w:w="2880"/>
          </w:tcPr>
          <w:p>
            <w:r>
              <w:rPr>
                <w:sz w:val="17"/>
              </w:rPr>
              <w:t>Campos nativos de Wazuh (verificados)</w:t>
            </w:r>
          </w:p>
        </w:tc>
        <w:tc>
          <w:tcPr>
            <w:tcW w:type="dxa" w:w="6912"/>
          </w:tcPr>
          <w:p>
            <w:r>
              <w:rPr>
                <w:sz w:val="17"/>
              </w:rPr>
              <w:t>srcip, dstip, srcport, dstport, action (decoder firewall genérico); Suricata: alert.signature, alert.category, src_ip, dest_ip</w:t>
            </w:r>
          </w:p>
        </w:tc>
      </w:tr>
      <w:tr>
        <w:tc>
          <w:tcPr>
            <w:tcW w:type="dxa" w:w="2880"/>
          </w:tcPr>
          <w:p>
            <w:r>
              <w:rPr>
                <w:sz w:val="17"/>
              </w:rPr>
              <w:t>Enriquecimiento externo necesario</w:t>
            </w:r>
          </w:p>
        </w:tc>
        <w:tc>
          <w:tcPr>
            <w:tcW w:type="dxa" w:w="6912"/>
          </w:tcPr>
          <w:p>
            <w:r>
              <w:rPr>
                <w:sz w:val="17"/>
              </w:rPr>
              <w:t>GeoIP + reputación IP/dominio</w:t>
            </w:r>
          </w:p>
        </w:tc>
      </w:tr>
      <w:tr>
        <w:tc>
          <w:tcPr>
            <w:tcW w:type="dxa" w:w="2880"/>
          </w:tcPr>
          <w:p>
            <w:r>
              <w:rPr>
                <w:sz w:val="17"/>
              </w:rPr>
              <w:t>Lo que esto permite decirle al cliente</w:t>
            </w:r>
          </w:p>
        </w:tc>
        <w:tc>
          <w:tcPr>
            <w:tcW w:type="dxa" w:w="6912"/>
          </w:tcPr>
          <w:p>
            <w:r>
              <w:rPr>
                <w:sz w:val="17"/>
              </w:rPr>
              <w:t>desde dónde y hacia dónde fue el intento, qué puerto, si el firewall lo bloqueó o lo dejó pasar</w:t>
            </w:r>
          </w:p>
        </w:tc>
      </w:tr>
      <w:tr>
        <w:tc>
          <w:tcPr>
            <w:tcW w:type="dxa" w:w="2880"/>
          </w:tcPr>
          <w:p>
            <w:r>
              <w:rPr>
                <w:sz w:val="17"/>
              </w:rPr>
              <w:t>Validación y limitación real</w:t>
            </w:r>
          </w:p>
        </w:tc>
        <w:tc>
          <w:tcPr>
            <w:tcW w:type="dxa" w:w="6912"/>
          </w:tcPr>
          <w:p>
            <w:r>
              <w:rPr>
                <w:sz w:val="17"/>
              </w:rPr>
              <w:t>VALIDADO: rules/0900-firewall_rules.xml + rules/0999-malicious-ioc-rules.xml (Suricata: alert.signature da el nombre humano de la amenaza, ej. 'ET TROJAN...')</w:t>
            </w:r>
          </w:p>
        </w:tc>
      </w:tr>
    </w:tbl>
    <w:p/>
    <w:p>
      <w:pPr>
        <w:pStyle w:val="Heading3"/>
      </w:pPr>
      <w:r>
        <w:rPr>
          <w:rFonts w:ascii="Calibri" w:hAnsi="Calibri"/>
          <w:b/>
          <w:color w:val="1F2A44"/>
        </w:rPr>
        <w:t>VPN — VPN_CERTFAIL / VPN_AUTHFAIL</w:t>
      </w:r>
    </w:p>
    <w:tbl>
      <w:tblPr>
        <w:tblW w:type="auto" w:w="0"/>
        <w:tblLook w:firstColumn="1" w:firstRow="1" w:lastColumn="0" w:lastRow="0" w:noHBand="0" w:noVBand="1" w:val="04A0"/>
      </w:tblPr>
      <w:tblGrid>
        <w:gridCol w:w="4320"/>
        <w:gridCol w:w="4320"/>
      </w:tblGrid>
      <w:tr>
        <w:tc>
          <w:tcPr>
            <w:tcW w:type="dxa" w:w="2880"/>
            <w:shd w:val="clear" w:fill="1F4E79"/>
          </w:tcPr>
          <w:p>
            <w:r>
              <w:rPr>
                <w:b/>
                <w:color w:val="FFFFFF"/>
                <w:sz w:val="19"/>
              </w:rPr>
              <w:t>Campo</w:t>
            </w:r>
          </w:p>
        </w:tc>
        <w:tc>
          <w:tcPr>
            <w:tcW w:type="dxa" w:w="6912"/>
            <w:shd w:val="clear" w:fill="1F4E79"/>
          </w:tcPr>
          <w:p>
            <w:r>
              <w:rPr>
                <w:b/>
                <w:color w:val="FFFFFF"/>
                <w:sz w:val="19"/>
              </w:rPr>
              <w:t>Detalle</w:t>
            </w:r>
          </w:p>
        </w:tc>
      </w:tr>
      <w:tr>
        <w:tc>
          <w:tcPr>
            <w:tcW w:type="dxa" w:w="2880"/>
          </w:tcPr>
          <w:p>
            <w:r>
              <w:rPr>
                <w:sz w:val="17"/>
              </w:rPr>
              <w:t>Campos nativos de Wazuh (verificados)</w:t>
            </w:r>
          </w:p>
        </w:tc>
        <w:tc>
          <w:tcPr>
            <w:tcW w:type="dxa" w:w="6912"/>
          </w:tcPr>
          <w:p>
            <w:r>
              <w:rPr>
                <w:sz w:val="17"/>
              </w:rPr>
              <w:t>srcip:puerto y usuario (regex de openvpn_rules); ldap_data.error_message (fallo LDAP)</w:t>
            </w:r>
          </w:p>
        </w:tc>
      </w:tr>
      <w:tr>
        <w:tc>
          <w:tcPr>
            <w:tcW w:type="dxa" w:w="2880"/>
          </w:tcPr>
          <w:p>
            <w:r>
              <w:rPr>
                <w:sz w:val="17"/>
              </w:rPr>
              <w:t>Enriquecimiento externo necesario</w:t>
            </w:r>
          </w:p>
        </w:tc>
        <w:tc>
          <w:tcPr>
            <w:tcW w:type="dxa" w:w="6912"/>
          </w:tcPr>
          <w:p>
            <w:r>
              <w:rPr>
                <w:sz w:val="17"/>
              </w:rPr>
              <w:t>GeoIP del srcip (para detectar 'conexión desde otro país')</w:t>
            </w:r>
          </w:p>
        </w:tc>
      </w:tr>
      <w:tr>
        <w:tc>
          <w:tcPr>
            <w:tcW w:type="dxa" w:w="2880"/>
          </w:tcPr>
          <w:p>
            <w:r>
              <w:rPr>
                <w:sz w:val="17"/>
              </w:rPr>
              <w:t>Lo que esto permite decirle al cliente</w:t>
            </w:r>
          </w:p>
        </w:tc>
        <w:tc>
          <w:tcPr>
            <w:tcW w:type="dxa" w:w="6912"/>
          </w:tcPr>
          <w:p>
            <w:r>
              <w:rPr>
                <w:sz w:val="17"/>
              </w:rPr>
              <w:t>qué usuario, desde qué dirección/país, si fue fallo de certificado o de usuario/clave</w:t>
            </w:r>
          </w:p>
        </w:tc>
      </w:tr>
      <w:tr>
        <w:tc>
          <w:tcPr>
            <w:tcW w:type="dxa" w:w="2880"/>
          </w:tcPr>
          <w:p>
            <w:r>
              <w:rPr>
                <w:sz w:val="17"/>
              </w:rPr>
              <w:t>Validación y limitación real</w:t>
            </w:r>
          </w:p>
        </w:tc>
        <w:tc>
          <w:tcPr>
            <w:tcW w:type="dxa" w:w="6912"/>
          </w:tcPr>
          <w:p>
            <w:r>
              <w:rPr>
                <w:sz w:val="17"/>
              </w:rPr>
              <w:t>VALIDADO: rules/0400-openvpn_rules.xml. El 'usuario' en 81801 viene del nombre de perfil OpenVPN (CN del certificado), no siempre = persona</w:t>
            </w:r>
          </w:p>
        </w:tc>
      </w:tr>
    </w:tbl>
    <w:p/>
    <w:p>
      <w:pPr>
        <w:pStyle w:val="Heading3"/>
      </w:pPr>
      <w:r>
        <w:rPr>
          <w:rFonts w:ascii="Calibri" w:hAnsi="Calibri"/>
          <w:b/>
          <w:color w:val="1F2A44"/>
        </w:rPr>
        <w:t>Sysmon — SYSMON_WATCHLIST</w:t>
      </w:r>
    </w:p>
    <w:tbl>
      <w:tblPr>
        <w:tblW w:type="auto" w:w="0"/>
        <w:tblLook w:firstColumn="1" w:firstRow="1" w:lastColumn="0" w:lastRow="0" w:noHBand="0" w:noVBand="1" w:val="04A0"/>
      </w:tblPr>
      <w:tblGrid>
        <w:gridCol w:w="4320"/>
        <w:gridCol w:w="4320"/>
      </w:tblGrid>
      <w:tr>
        <w:tc>
          <w:tcPr>
            <w:tcW w:type="dxa" w:w="2880"/>
            <w:shd w:val="clear" w:fill="1F4E79"/>
          </w:tcPr>
          <w:p>
            <w:r>
              <w:rPr>
                <w:b/>
                <w:color w:val="FFFFFF"/>
                <w:sz w:val="19"/>
              </w:rPr>
              <w:t>Campo</w:t>
            </w:r>
          </w:p>
        </w:tc>
        <w:tc>
          <w:tcPr>
            <w:tcW w:type="dxa" w:w="6912"/>
            <w:shd w:val="clear" w:fill="1F4E79"/>
          </w:tcPr>
          <w:p>
            <w:r>
              <w:rPr>
                <w:b/>
                <w:color w:val="FFFFFF"/>
                <w:sz w:val="19"/>
              </w:rPr>
              <w:t>Detalle</w:t>
            </w:r>
          </w:p>
        </w:tc>
      </w:tr>
      <w:tr>
        <w:tc>
          <w:tcPr>
            <w:tcW w:type="dxa" w:w="2880"/>
          </w:tcPr>
          <w:p>
            <w:r>
              <w:rPr>
                <w:sz w:val="17"/>
              </w:rPr>
              <w:t>Campos nativos de Wazuh (verificados)</w:t>
            </w:r>
          </w:p>
        </w:tc>
        <w:tc>
          <w:tcPr>
            <w:tcW w:type="dxa" w:w="6912"/>
          </w:tcPr>
          <w:p>
            <w:r>
              <w:rPr>
                <w:sz w:val="17"/>
              </w:rPr>
              <w:t>win.eventdata.image, win.eventdata.parentImage, win.eventdata.commandLine, win.eventdata.destinationIp, win.eventdata.destinationPort (EID3)</w:t>
            </w:r>
          </w:p>
        </w:tc>
      </w:tr>
      <w:tr>
        <w:tc>
          <w:tcPr>
            <w:tcW w:type="dxa" w:w="2880"/>
          </w:tcPr>
          <w:p>
            <w:r>
              <w:rPr>
                <w:sz w:val="17"/>
              </w:rPr>
              <w:t>Enriquecimiento externo necesario</w:t>
            </w:r>
          </w:p>
        </w:tc>
        <w:tc>
          <w:tcPr>
            <w:tcW w:type="dxa" w:w="6912"/>
          </w:tcPr>
          <w:p>
            <w:r>
              <w:rPr>
                <w:sz w:val="17"/>
              </w:rPr>
              <w:t>reputación de destinationIp si aplica</w:t>
            </w:r>
          </w:p>
        </w:tc>
      </w:tr>
      <w:tr>
        <w:tc>
          <w:tcPr>
            <w:tcW w:type="dxa" w:w="2880"/>
          </w:tcPr>
          <w:p>
            <w:r>
              <w:rPr>
                <w:sz w:val="17"/>
              </w:rPr>
              <w:t>Lo que esto permite decirle al cliente</w:t>
            </w:r>
          </w:p>
        </w:tc>
        <w:tc>
          <w:tcPr>
            <w:tcW w:type="dxa" w:w="6912"/>
          </w:tcPr>
          <w:p>
            <w:r>
              <w:rPr>
                <w:sz w:val="17"/>
              </w:rPr>
              <w:t>qué programa se ejecutó, quién lo lanzó (proceso padre), con qué comando exacto, a qué dirección se conectó</w:t>
            </w:r>
          </w:p>
        </w:tc>
      </w:tr>
      <w:tr>
        <w:tc>
          <w:tcPr>
            <w:tcW w:type="dxa" w:w="2880"/>
          </w:tcPr>
          <w:p>
            <w:r>
              <w:rPr>
                <w:sz w:val="17"/>
              </w:rPr>
              <w:t>Validación y limitación real</w:t>
            </w:r>
          </w:p>
        </w:tc>
        <w:tc>
          <w:tcPr>
            <w:tcW w:type="dxa" w:w="6912"/>
          </w:tcPr>
          <w:p>
            <w:r>
              <w:rPr>
                <w:sz w:val="17"/>
              </w:rPr>
              <w:t>VALIDADO: rules/0595-win-sysmon_rules.xml. commandLine es el campo más informativo de todo el ruleset: literalmente dice qué se ejecutó</w:t>
            </w:r>
          </w:p>
        </w:tc>
      </w:tr>
    </w:tbl>
    <w:p/>
    <w:p>
      <w:pPr>
        <w:pStyle w:val="Heading3"/>
      </w:pPr>
      <w:r>
        <w:rPr>
          <w:rFonts w:ascii="Calibri" w:hAnsi="Calibri"/>
          <w:b/>
          <w:color w:val="1F2A44"/>
        </w:rPr>
        <w:t>Malware/IOC — IOC_LOGIN_SSH / IOC_LOGIN_WIN</w:t>
      </w:r>
    </w:p>
    <w:tbl>
      <w:tblPr>
        <w:tblW w:type="auto" w:w="0"/>
        <w:tblLook w:firstColumn="1" w:firstRow="1" w:lastColumn="0" w:lastRow="0" w:noHBand="0" w:noVBand="1" w:val="04A0"/>
      </w:tblPr>
      <w:tblGrid>
        <w:gridCol w:w="4320"/>
        <w:gridCol w:w="4320"/>
      </w:tblGrid>
      <w:tr>
        <w:tc>
          <w:tcPr>
            <w:tcW w:type="dxa" w:w="2880"/>
            <w:shd w:val="clear" w:fill="1F4E79"/>
          </w:tcPr>
          <w:p>
            <w:r>
              <w:rPr>
                <w:b/>
                <w:color w:val="FFFFFF"/>
                <w:sz w:val="19"/>
              </w:rPr>
              <w:t>Campo</w:t>
            </w:r>
          </w:p>
        </w:tc>
        <w:tc>
          <w:tcPr>
            <w:tcW w:type="dxa" w:w="6912"/>
            <w:shd w:val="clear" w:fill="1F4E79"/>
          </w:tcPr>
          <w:p>
            <w:r>
              <w:rPr>
                <w:b/>
                <w:color w:val="FFFFFF"/>
                <w:sz w:val="19"/>
              </w:rPr>
              <w:t>Detalle</w:t>
            </w:r>
          </w:p>
        </w:tc>
      </w:tr>
      <w:tr>
        <w:tc>
          <w:tcPr>
            <w:tcW w:type="dxa" w:w="2880"/>
          </w:tcPr>
          <w:p>
            <w:r>
              <w:rPr>
                <w:sz w:val="17"/>
              </w:rPr>
              <w:t>Campos nativos de Wazuh (verificados)</w:t>
            </w:r>
          </w:p>
        </w:tc>
        <w:tc>
          <w:tcPr>
            <w:tcW w:type="dxa" w:w="6912"/>
          </w:tcPr>
          <w:p>
            <w:r>
              <w:rPr>
                <w:sz w:val="17"/>
              </w:rPr>
              <w:t>srcip o win.eventdata.ipAddress (match contra lista malicious-ip)</w:t>
            </w:r>
          </w:p>
        </w:tc>
      </w:tr>
      <w:tr>
        <w:tc>
          <w:tcPr>
            <w:tcW w:type="dxa" w:w="2880"/>
          </w:tcPr>
          <w:p>
            <w:r>
              <w:rPr>
                <w:sz w:val="17"/>
              </w:rPr>
              <w:t>Enriquecimiento externo necesario</w:t>
            </w:r>
          </w:p>
        </w:tc>
        <w:tc>
          <w:tcPr>
            <w:tcW w:type="dxa" w:w="6912"/>
          </w:tcPr>
          <w:p>
            <w:r>
              <w:rPr>
                <w:sz w:val="17"/>
              </w:rPr>
              <w:t>qué reputación/campaña asocia esa IP (si el feed de Kriptome guarda ese dato al poblar la lista)</w:t>
            </w:r>
          </w:p>
        </w:tc>
      </w:tr>
      <w:tr>
        <w:tc>
          <w:tcPr>
            <w:tcW w:type="dxa" w:w="2880"/>
          </w:tcPr>
          <w:p>
            <w:r>
              <w:rPr>
                <w:sz w:val="17"/>
              </w:rPr>
              <w:t>Lo que esto permite decirle al cliente</w:t>
            </w:r>
          </w:p>
        </w:tc>
        <w:tc>
          <w:tcPr>
            <w:tcW w:type="dxa" w:w="6912"/>
          </w:tcPr>
          <w:p>
            <w:r>
              <w:rPr>
                <w:sz w:val="17"/>
              </w:rPr>
              <w:t>que la dirección de origen YA es conocida como maliciosa, y si logró entrar o no</w:t>
            </w:r>
          </w:p>
        </w:tc>
      </w:tr>
      <w:tr>
        <w:tc>
          <w:tcPr>
            <w:tcW w:type="dxa" w:w="2880"/>
          </w:tcPr>
          <w:p>
            <w:r>
              <w:rPr>
                <w:sz w:val="17"/>
              </w:rPr>
              <w:t>Validación y limitación real</w:t>
            </w:r>
          </w:p>
        </w:tc>
        <w:tc>
          <w:tcPr>
            <w:tcW w:type="dxa" w:w="6912"/>
          </w:tcPr>
          <w:p>
            <w:r>
              <w:rPr>
                <w:sz w:val="17"/>
              </w:rPr>
              <w:t>VALIDADO: rules/0999-malicious-ioc-rules.xml. La lista es binaria (IP mala sí/no); el 'por qué es mala' depende de qué guarde Kriptome al poblarla</w:t>
            </w:r>
          </w:p>
        </w:tc>
      </w:tr>
    </w:tbl>
    <w:p/>
    <w:p>
      <w:pPr>
        <w:pStyle w:val="Heading3"/>
      </w:pPr>
      <w:r>
        <w:rPr>
          <w:rFonts w:ascii="Calibri" w:hAnsi="Calibri"/>
          <w:b/>
          <w:color w:val="1F2A44"/>
        </w:rPr>
        <w:t>Salud sensor — AGENT_DOWN / AGENT_REMOVED</w:t>
      </w:r>
    </w:p>
    <w:tbl>
      <w:tblPr>
        <w:tblW w:type="auto" w:w="0"/>
        <w:tblLook w:firstColumn="1" w:firstRow="1" w:lastColumn="0" w:lastRow="0" w:noHBand="0" w:noVBand="1" w:val="04A0"/>
      </w:tblPr>
      <w:tblGrid>
        <w:gridCol w:w="4320"/>
        <w:gridCol w:w="4320"/>
      </w:tblGrid>
      <w:tr>
        <w:tc>
          <w:tcPr>
            <w:tcW w:type="dxa" w:w="2880"/>
            <w:shd w:val="clear" w:fill="1F4E79"/>
          </w:tcPr>
          <w:p>
            <w:r>
              <w:rPr>
                <w:b/>
                <w:color w:val="FFFFFF"/>
                <w:sz w:val="19"/>
              </w:rPr>
              <w:t>Campo</w:t>
            </w:r>
          </w:p>
        </w:tc>
        <w:tc>
          <w:tcPr>
            <w:tcW w:type="dxa" w:w="6912"/>
            <w:shd w:val="clear" w:fill="1F4E79"/>
          </w:tcPr>
          <w:p>
            <w:r>
              <w:rPr>
                <w:b/>
                <w:color w:val="FFFFFF"/>
                <w:sz w:val="19"/>
              </w:rPr>
              <w:t>Detalle</w:t>
            </w:r>
          </w:p>
        </w:tc>
      </w:tr>
      <w:tr>
        <w:tc>
          <w:tcPr>
            <w:tcW w:type="dxa" w:w="2880"/>
          </w:tcPr>
          <w:p>
            <w:r>
              <w:rPr>
                <w:sz w:val="17"/>
              </w:rPr>
              <w:t>Campos nativos de Wazuh (verificados)</w:t>
            </w:r>
          </w:p>
        </w:tc>
        <w:tc>
          <w:tcPr>
            <w:tcW w:type="dxa" w:w="6912"/>
          </w:tcPr>
          <w:p>
            <w:r>
              <w:rPr>
                <w:sz w:val="17"/>
              </w:rPr>
              <w:t>agent.id, agent.name (siempre presentes en cualquier alerta Wazuh); extra_data con el nombre del agente en el mensaje 500</w:t>
            </w:r>
          </w:p>
        </w:tc>
      </w:tr>
      <w:tr>
        <w:tc>
          <w:tcPr>
            <w:tcW w:type="dxa" w:w="2880"/>
          </w:tcPr>
          <w:p>
            <w:r>
              <w:rPr>
                <w:sz w:val="17"/>
              </w:rPr>
              <w:t>Enriquecimiento externo necesario</w:t>
            </w:r>
          </w:p>
        </w:tc>
        <w:tc>
          <w:tcPr>
            <w:tcW w:type="dxa" w:w="6912"/>
          </w:tcPr>
          <w:p>
            <w:r>
              <w:rPr>
                <w:sz w:val="17"/>
              </w:rPr>
              <w:t>ninguno</w:t>
            </w:r>
          </w:p>
        </w:tc>
      </w:tr>
      <w:tr>
        <w:tc>
          <w:tcPr>
            <w:tcW w:type="dxa" w:w="2880"/>
          </w:tcPr>
          <w:p>
            <w:r>
              <w:rPr>
                <w:sz w:val="17"/>
              </w:rPr>
              <w:t>Lo que esto permite decirle al cliente</w:t>
            </w:r>
          </w:p>
        </w:tc>
        <w:tc>
          <w:tcPr>
            <w:tcW w:type="dxa" w:w="6912"/>
          </w:tcPr>
          <w:p>
            <w:r>
              <w:rPr>
                <w:sz w:val="17"/>
              </w:rPr>
              <w:t>qué equipo dejó de reportar y desde qué hora exacta</w:t>
            </w:r>
          </w:p>
        </w:tc>
      </w:tr>
      <w:tr>
        <w:tc>
          <w:tcPr>
            <w:tcW w:type="dxa" w:w="2880"/>
          </w:tcPr>
          <w:p>
            <w:r>
              <w:rPr>
                <w:sz w:val="17"/>
              </w:rPr>
              <w:t>Validación y limitación real</w:t>
            </w:r>
          </w:p>
        </w:tc>
        <w:tc>
          <w:tcPr>
            <w:tcW w:type="dxa" w:w="6912"/>
          </w:tcPr>
          <w:p>
            <w:r>
              <w:rPr>
                <w:sz w:val="17"/>
              </w:rPr>
              <w:t>VALIDADO: decoders/0200-ossec_decoders.xml. No hay campo de 'motivo' — solo se sabe QUE se desconectó, no POR QUÉ (eso lo debe indagar el operador con el cliente)</w:t>
            </w:r>
          </w:p>
        </w:tc>
      </w:tr>
    </w:tbl>
    <w:p/>
    <w:p>
      <w:pPr>
        <w:pStyle w:val="Heading3"/>
      </w:pPr>
      <w:r>
        <w:rPr>
          <w:rFonts w:ascii="Calibri" w:hAnsi="Calibri"/>
          <w:b/>
          <w:color w:val="1F2A44"/>
        </w:rPr>
        <w:t>Correo nube M365 — M365_PHISH / M365_COMPROMISED / M365_EXFIL / M365_PERM</w:t>
      </w:r>
    </w:p>
    <w:tbl>
      <w:tblPr>
        <w:tblW w:type="auto" w:w="0"/>
        <w:tblLook w:firstColumn="1" w:firstRow="1" w:lastColumn="0" w:lastRow="0" w:noHBand="0" w:noVBand="1" w:val="04A0"/>
      </w:tblPr>
      <w:tblGrid>
        <w:gridCol w:w="4320"/>
        <w:gridCol w:w="4320"/>
      </w:tblGrid>
      <w:tr>
        <w:tc>
          <w:tcPr>
            <w:tcW w:type="dxa" w:w="2880"/>
            <w:shd w:val="clear" w:fill="1F4E79"/>
          </w:tcPr>
          <w:p>
            <w:r>
              <w:rPr>
                <w:b/>
                <w:color w:val="FFFFFF"/>
                <w:sz w:val="19"/>
              </w:rPr>
              <w:t>Campo</w:t>
            </w:r>
          </w:p>
        </w:tc>
        <w:tc>
          <w:tcPr>
            <w:tcW w:type="dxa" w:w="6912"/>
            <w:shd w:val="clear" w:fill="1F4E79"/>
          </w:tcPr>
          <w:p>
            <w:r>
              <w:rPr>
                <w:b/>
                <w:color w:val="FFFFFF"/>
                <w:sz w:val="19"/>
              </w:rPr>
              <w:t>Detalle</w:t>
            </w:r>
          </w:p>
        </w:tc>
      </w:tr>
      <w:tr>
        <w:tc>
          <w:tcPr>
            <w:tcW w:type="dxa" w:w="2880"/>
          </w:tcPr>
          <w:p>
            <w:r>
              <w:rPr>
                <w:sz w:val="17"/>
              </w:rPr>
              <w:t>Campos nativos de Wazuh (verificados)</w:t>
            </w:r>
          </w:p>
        </w:tc>
        <w:tc>
          <w:tcPr>
            <w:tcW w:type="dxa" w:w="6912"/>
          </w:tcPr>
          <w:p>
            <w:r>
              <w:rPr>
                <w:sz w:val="17"/>
              </w:rPr>
              <w:t>office365.UserId, office365.SourceFileName, office365.Workload, office365.ClientIP, office365.Operation</w:t>
            </w:r>
          </w:p>
        </w:tc>
      </w:tr>
      <w:tr>
        <w:tc>
          <w:tcPr>
            <w:tcW w:type="dxa" w:w="2880"/>
          </w:tcPr>
          <w:p>
            <w:r>
              <w:rPr>
                <w:sz w:val="17"/>
              </w:rPr>
              <w:t>Enriquecimiento externo necesario</w:t>
            </w:r>
          </w:p>
        </w:tc>
        <w:tc>
          <w:tcPr>
            <w:tcW w:type="dxa" w:w="6912"/>
          </w:tcPr>
          <w:p>
            <w:r>
              <w:rPr>
                <w:sz w:val="17"/>
              </w:rPr>
              <w:t>traducción de office365.RecordType (numérico) a texto — Wazuh no lo resuelve por sí solo</w:t>
            </w:r>
          </w:p>
        </w:tc>
      </w:tr>
      <w:tr>
        <w:tc>
          <w:tcPr>
            <w:tcW w:type="dxa" w:w="2880"/>
          </w:tcPr>
          <w:p>
            <w:r>
              <w:rPr>
                <w:sz w:val="17"/>
              </w:rPr>
              <w:t>Lo que esto permite decirle al cliente</w:t>
            </w:r>
          </w:p>
        </w:tc>
        <w:tc>
          <w:tcPr>
            <w:tcW w:type="dxa" w:w="6912"/>
          </w:tcPr>
          <w:p>
            <w:r>
              <w:rPr>
                <w:sz w:val="17"/>
              </w:rPr>
              <w:t>qué cuenta de correo, qué acción (descarga/envío/permiso), desde qué dirección</w:t>
            </w:r>
          </w:p>
        </w:tc>
      </w:tr>
      <w:tr>
        <w:tc>
          <w:tcPr>
            <w:tcW w:type="dxa" w:w="2880"/>
          </w:tcPr>
          <w:p>
            <w:r>
              <w:rPr>
                <w:sz w:val="17"/>
              </w:rPr>
              <w:t>Validación y limitación real</w:t>
            </w:r>
          </w:p>
        </w:tc>
        <w:tc>
          <w:tcPr>
            <w:tcW w:type="dxa" w:w="6912"/>
          </w:tcPr>
          <w:p>
            <w:r>
              <w:rPr>
                <w:sz w:val="17"/>
              </w:rPr>
              <w:t>PEND-INTEGRACION: requiere el wodle office365 activo con credenciales del tenant del cliente. 91589 (cuenta comprometida) y 91556 (phishing) NO traen el detalle del motivo como campo — solo confirman el tipo de alerta; el detalle vino del scoring interno de Microsoft, no de Wazuh</w:t>
            </w:r>
          </w:p>
        </w:tc>
      </w:tr>
    </w:tbl>
    <w:p/>
    <w:p>
      <w:pPr>
        <w:pStyle w:val="Heading2"/>
      </w:pPr>
      <w:r>
        <w:rPr>
          <w:rFonts w:ascii="Calibri" w:hAnsi="Calibri"/>
          <w:b/>
          <w:color w:val="1F2A44"/>
        </w:rPr>
        <w:t>3. Limitaciones reales que NO se pueden prometer al cliente (honestidad técnica)</w:t>
      </w:r>
    </w:p>
    <w:p>
      <w:pPr>
        <w:pStyle w:val="ListBullet"/>
      </w:pPr>
      <w:r>
        <w:t>Sudo/Linux: el comando ejecutado tras el sudo NO es un campo separado — solo está en el texto crudo del log. Se puede mostrar el log tal cual en el "Detalle para su soporte técnico", pero no como un campo limpio "comando: X".</w:t>
      </w:r>
    </w:p>
    <w:p>
      <w:pPr>
        <w:pStyle w:val="ListBullet"/>
      </w:pPr>
      <w:r>
        <w:t>Rootcheck: no separa campos del hallazgo (qué proceso, qué puerto) — solo entrega el texto descriptivo completo. Se traduce casi literal.</w:t>
      </w:r>
    </w:p>
    <w:p>
      <w:pPr>
        <w:pStyle w:val="ListBullet"/>
      </w:pPr>
      <w:r>
        <w:t>Windows Defender (62102/62105/62106): NO expone el nombre de la amenaza como campo — solo indica "hubo errores/advertencias". El nombre real de la amenaza requiere revisar el evento crudo o consultar directamente el portal de Defender.</w:t>
      </w:r>
    </w:p>
    <w:p>
      <w:pPr>
        <w:pStyle w:val="ListBullet"/>
      </w:pPr>
      <w:r>
        <w:t>Microsoft 365 (91556 phishing, 91589 cuenta comprometida): confirman el TIPO de alerta pero no traen el motivo detallado como campo — ese detalle vive dentro del scoring de Microsoft, no en lo que Wazuh indexa. Se debe redactar en términos generales y remitir a revisar el portal de M365 si se necesita el detalle completo.</w:t>
      </w:r>
    </w:p>
    <w:p>
      <w:pPr>
        <w:pStyle w:val="ListBullet"/>
      </w:pPr>
      <w:r>
        <w:t>GeoIP y reputación de IP/hash/dominio NUNCA son nativos de Wazuh: siempre son un enriquecimiento que la App debe implementar aparte (ver doc 03, nivel 6, caché con TTL).</w:t>
      </w:r>
    </w:p>
    <w:p>
      <w:r>
        <w:rPr>
          <w:b/>
          <w:i w:val="0"/>
        </w:rPr>
        <w:t>Regla de oro: si un campo no está verificado en este documento, la plantilla y la IA NO deben inventarlo. Mejor un correo con menos detalle pero 100% cierto, que uno detallado con un dato inventado.</w:t>
      </w:r>
    </w:p>
    <w:p>
      <w:pPr>
        <w:pStyle w:val="Heading2"/>
      </w:pPr>
      <w:r>
        <w:rPr>
          <w:rFonts w:ascii="Calibri" w:hAnsi="Calibri"/>
          <w:b/>
          <w:color w:val="1F2A44"/>
        </w:rPr>
        <w:t>4. Ejemplo de extracción end-to-end (para que quede claro el mecanismo)</w:t>
      </w:r>
    </w:p>
    <w:p>
      <w:r>
        <w:rPr>
          <w:b w:val="0"/>
          <w:i w:val="0"/>
        </w:rPr>
        <w:t>Alerta cruda que llega al Indexer (SSH, rule_id 100012):</w:t>
      </w:r>
    </w:p>
    <w:p>
      <w:r>
        <w:rPr>
          <w:rFonts w:ascii="Consolas" w:hAnsi="Consolas"/>
          <w:sz w:val="18"/>
        </w:rPr>
        <w:t>srcip=203.0.113.4, srcport=51040, user=root, rule.id=100012, agent.id=004, agent.name=srv-facturacion, timestamp=2026-07-14T15:25:00-05:00</w:t>
      </w:r>
    </w:p>
    <w:p>
      <w:r>
        <w:rPr>
          <w:b w:val="0"/>
          <w:i w:val="0"/>
        </w:rPr>
      </w:r>
    </w:p>
    <w:p>
      <w:r>
        <w:rPr>
          <w:b w:val="0"/>
          <w:i w:val="0"/>
        </w:rPr>
        <w:t>1. Se busca "100012" en routing_matrix.csv → case_type = AUTH_BRUTEFORCE_SSH (en verdad, el éxito tras ataque). 2. Se buscan sus campos en este diccionario → srcip, user ya están; se pide GeoIP de 203.0.113.4 (enriquecimiento externo, con caché). 3. Con esos campos se rellena la plantilla 5.2 de 07_COMUNICACION_CON_EL_CLIENTE.docx: "alguien entró con la cuenta root a las 3:25 p.m. desde una dirección de {país obtenido por GeoIP}". El mismo mecanismo, cambiando solo el diccionario de campos, sirve para un antivirus, un cambio de archivo o una cuenta de Active Directory.</w:t>
      </w:r>
    </w:p>
    <w:p>
      <w:r>
        <w:rPr>
          <w:b w:val="0"/>
          <w:i w:val="0"/>
        </w:rPr>
      </w:r>
    </w:p>
    <w:p>
      <w:r>
        <w:rPr>
          <w:b w:val="0"/>
          <w:i/>
          <w:color w:val="5A6472"/>
          <w:sz w:val="19"/>
        </w:rPr>
        <w:t>Pendiente honesto: este diccionario es la especificación de qué campos existen y de dónde salen. El código que hace la búsqueda automática (paso 1-2-3 del ejemplo) es parte de la Kriptome App, aún no construida.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