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54"/>
          <w:sz w:val="38"/>
        </w:rPr>
        <w:br/>
        <w:t>KRIPTOME MINISOC</w:t>
        <w:br/>
      </w:r>
    </w:p>
    <w:p>
      <w:pPr>
        <w:jc w:val="center"/>
      </w:pPr>
      <w:r>
        <w:rPr>
          <w:b/>
          <w:color w:val="1F3854"/>
          <w:sz w:val="50"/>
        </w:rPr>
        <w:t>Propuesta de Negocio y Alcance del Servicio Kriptome MiniSOC</w:t>
      </w:r>
    </w:p>
    <w:p>
      <w:pPr>
        <w:jc w:val="center"/>
      </w:pPr>
      <w:r>
        <w:rPr>
          <w:i/>
          <w:sz w:val="24"/>
        </w:rPr>
        <w:t>Justificación del proyecto, propuesta de valor y límites del servicio</w:t>
      </w:r>
    </w:p>
    <w:p/>
    <w:tbl>
      <w:tblPr>
        <w:tblStyle w:val="TableGrid"/>
        <w:tblW w:type="auto" w:w="0"/>
        <w:jc w:val="center"/>
        <w:tblLook w:firstColumn="1" w:firstRow="1" w:lastColumn="0" w:lastRow="0" w:noHBand="0" w:noVBand="1" w:val="04A0"/>
      </w:tblPr>
      <w:tblGrid>
        <w:gridCol w:w="4957"/>
        <w:gridCol w:w="4957"/>
      </w:tblGrid>
      <w:tr>
        <w:tc>
          <w:tcPr>
            <w:tcW w:type="dxa" w:w="4957"/>
            <w:shd w:fill="D9E2F3"/>
            <w:vAlign w:val="center"/>
          </w:tcPr>
          <w:p>
            <w:r>
              <w:rPr>
                <w:b/>
              </w:rPr>
              <w:t>Proyecto</w:t>
            </w:r>
          </w:p>
        </w:tc>
        <w:tc>
          <w:tcPr>
            <w:tcW w:type="dxa" w:w="4957"/>
            <w:vAlign w:val="center"/>
          </w:tcPr>
          <w:p>
            <w:r>
              <w:t>Kriptome MiniSOC</w:t>
            </w:r>
          </w:p>
        </w:tc>
      </w:tr>
      <w:tr>
        <w:tc>
          <w:tcPr>
            <w:tcW w:type="dxa" w:w="4957"/>
            <w:shd w:fill="D9E2F3"/>
            <w:vAlign w:val="center"/>
          </w:tcPr>
          <w:p>
            <w:r>
              <w:rPr>
                <w:b/>
              </w:rPr>
              <w:t>Repositorio base</w:t>
            </w:r>
          </w:p>
        </w:tc>
        <w:tc>
          <w:tcPr>
            <w:tcW w:type="dxa" w:w="4957"/>
            <w:vAlign w:val="center"/>
          </w:tcPr>
          <w:p>
            <w:r>
              <w:t>Repositorio v1.2.0 — commit ab772d198719</w:t>
            </w:r>
          </w:p>
        </w:tc>
      </w:tr>
      <w:tr>
        <w:tc>
          <w:tcPr>
            <w:tcW w:type="dxa" w:w="4957"/>
            <w:shd w:fill="D9E2F3"/>
            <w:vAlign w:val="center"/>
          </w:tcPr>
          <w:p>
            <w:r>
              <w:rPr>
                <w:b/>
              </w:rPr>
              <w:t>Estado</w:t>
            </w:r>
          </w:p>
        </w:tc>
        <w:tc>
          <w:tcPr>
            <w:tcW w:type="dxa" w:w="4957"/>
            <w:vAlign w:val="center"/>
          </w:tcPr>
          <w:p>
            <w:r>
              <w:t>Diseño técnico consolidado; implementación de la aplicación pendiente</w:t>
            </w:r>
          </w:p>
        </w:tc>
      </w:tr>
      <w:tr>
        <w:tc>
          <w:tcPr>
            <w:tcW w:type="dxa" w:w="4957"/>
            <w:shd w:fill="D9E2F3"/>
            <w:vAlign w:val="center"/>
          </w:tcPr>
          <w:p>
            <w:r>
              <w:rPr>
                <w:b/>
              </w:rPr>
              <w:t>Audiencia</w:t>
            </w:r>
          </w:p>
        </w:tc>
        <w:tc>
          <w:tcPr>
            <w:tcW w:type="dxa" w:w="4957"/>
            <w:vAlign w:val="center"/>
          </w:tcPr>
          <w:p>
            <w:r>
              <w:t>Jefatura, dirección, responsables comerciales y técnicos</w:t>
            </w:r>
          </w:p>
        </w:tc>
      </w:tr>
      <w:tr>
        <w:tc>
          <w:tcPr>
            <w:tcW w:type="dxa" w:w="4957"/>
            <w:shd w:fill="D9E2F3"/>
            <w:vAlign w:val="center"/>
          </w:tcPr>
          <w:p>
            <w:r>
              <w:rPr>
                <w:b/>
              </w:rPr>
              <w:t>Versión</w:t>
            </w:r>
          </w:p>
        </w:tc>
        <w:tc>
          <w:tcPr>
            <w:tcW w:type="dxa" w:w="4957"/>
            <w:vAlign w:val="center"/>
          </w:tcPr>
          <w:p>
            <w:r>
              <w:t>Versión documental 2.0</w:t>
            </w:r>
          </w:p>
        </w:tc>
      </w:tr>
      <w:tr>
        <w:tc>
          <w:tcPr>
            <w:tcW w:type="dxa" w:w="4957"/>
            <w:shd w:fill="D9E2F3"/>
            <w:vAlign w:val="center"/>
          </w:tcPr>
          <w:p>
            <w:r>
              <w:rPr>
                <w:b/>
              </w:rPr>
              <w:t>Fecha</w:t>
            </w:r>
          </w:p>
        </w:tc>
        <w:tc>
          <w:tcPr>
            <w:tcW w:type="dxa" w:w="4957"/>
            <w:vAlign w:val="center"/>
          </w:tcPr>
          <w:p>
            <w:r>
              <w:t>22 de julio de 2026</w:t>
            </w:r>
          </w:p>
        </w:tc>
      </w:tr>
    </w:tbl>
    <w:p>
      <w:pPr>
        <w:jc w:val="center"/>
      </w:pPr>
      <w:r>
        <w:rPr>
          <w:i/>
        </w:rPr>
        <w:br/>
        <w:t>Documento elaborado a partir de los artefactos existentes en el repositorio. Las capacidades no implementadas se identifican expresamente como diseño o pendiente.</w:t>
      </w:r>
    </w:p>
    <w:p>
      <w:r>
        <w:br w:type="page"/>
      </w:r>
    </w:p>
    <w:p>
      <w:pPr>
        <w:pStyle w:val="Heading1"/>
      </w:pPr>
      <w:r>
        <w:t>Contenido</w:t>
      </w:r>
    </w:p>
    <w:p>
      <w:pPr>
        <w:spacing w:after="40"/>
      </w:pPr>
      <w:r>
        <w:rPr>
          <w:b/>
        </w:rPr>
        <w:t>1. Resumen ejecutivo</w:t>
      </w:r>
    </w:p>
    <w:p>
      <w:pPr>
        <w:spacing w:after="40"/>
      </w:pPr>
      <w:r>
        <w:rPr>
          <w:b/>
        </w:rPr>
        <w:t>2. Contexto y problema</w:t>
      </w:r>
    </w:p>
    <w:p>
      <w:pPr>
        <w:spacing w:after="40"/>
      </w:pPr>
      <w:r>
        <w:rPr>
          <w:b/>
        </w:rPr>
        <w:t>3. Cliente objetivo</w:t>
      </w:r>
    </w:p>
    <w:p>
      <w:pPr>
        <w:spacing w:after="40"/>
      </w:pPr>
      <w:r>
        <w:rPr>
          <w:b/>
        </w:rPr>
        <w:t>4. Propuesta de servicio</w:t>
      </w:r>
    </w:p>
    <w:p>
      <w:pPr>
        <w:spacing w:after="40"/>
      </w:pPr>
      <w:r>
        <w:rPr>
          <w:b/>
        </w:rPr>
        <w:t>5. Diferenciación respecto de Wazuh</w:t>
      </w:r>
    </w:p>
    <w:p>
      <w:pPr>
        <w:spacing w:after="40"/>
      </w:pPr>
      <w:r>
        <w:rPr>
          <w:b/>
        </w:rPr>
        <w:t>6. Alcance del MVP</w:t>
      </w:r>
    </w:p>
    <w:p>
      <w:pPr>
        <w:spacing w:after="40"/>
      </w:pPr>
      <w:r>
        <w:rPr>
          <w:b/>
        </w:rPr>
        <w:t>7. Modelo de servicio</w:t>
      </w:r>
    </w:p>
    <w:p>
      <w:pPr>
        <w:spacing w:after="40"/>
      </w:pPr>
      <w:r>
        <w:rPr>
          <w:b/>
        </w:rPr>
        <w:t>8. Beneficios y resultados esperados</w:t>
      </w:r>
    </w:p>
    <w:p>
      <w:pPr>
        <w:spacing w:after="40"/>
      </w:pPr>
      <w:r>
        <w:rPr>
          <w:b/>
        </w:rPr>
        <w:t>9. Riesgos y supuestos</w:t>
      </w:r>
    </w:p>
    <w:p>
      <w:pPr>
        <w:spacing w:after="40"/>
      </w:pPr>
      <w:r>
        <w:rPr>
          <w:b/>
        </w:rPr>
        <w:t>10. Indicadores del piloto</w:t>
      </w:r>
    </w:p>
    <w:p>
      <w:pPr>
        <w:spacing w:after="40"/>
      </w:pPr>
      <w:r>
        <w:rPr>
          <w:b/>
        </w:rPr>
        <w:t>11. Estado actual y decisión solicitada</w:t>
      </w:r>
    </w:p>
    <w:p>
      <w:r>
        <w:br w:type="page"/>
      </w:r>
    </w:p>
    <w:p>
      <w:pPr>
        <w:pStyle w:val="Heading1"/>
      </w:pPr>
      <w:r>
        <w:t>1. Resumen ejecutivo</w:t>
      </w:r>
    </w:p>
    <w:p>
      <w:r>
        <w:t>Kriptome MiniSOC es una propuesta de servicio gestionado de seguridad dirigida a organizaciones que necesitan supervisión continua, pero no pueden sostener un centro de operaciones de seguridad propio. La solución utiliza Wazuh como plataforma de recolección y detección, y añade una capa de aplicación destinada a transformar las alertas técnicas en casos de seguridad comprensibles, priorizados y gestionables. El propósito no es reemplazar la capacidad de detección de Wazuh, sino cubrir el espacio que existe entre recibir una alerta y lograr que una persona tome una acción adecuada.</w:t>
      </w:r>
    </w:p>
    <w:p>
      <w:r>
        <w:t>En una instalación tradicional, Wazuh puede producir miles de eventos y alertas. Sin un proceso posterior, esas señales se convierten en ruido: el cliente recibe mensajes repetidos, desconoce la relevancia del activo afectado y no sabe si una alerta representa una amenaza real o una actividad esperada. Kriptome propone resolver ese problema mediante una unidad operativa distinta de la alerta: el caso. Un caso puede contener varias alertas, mantiene una cronología, registra evidencia, incorpora contexto de negocio y permite seguimiento hasta su cierre.</w:t>
      </w:r>
    </w:p>
    <w:p>
      <w:r>
        <w:t>El alcance actual debe entenderse con precisión. El repositorio contiene documentación, reglas personalizadas para Wazuh, configuraciones, contratos de datos, políticas de casos y fixtures de prueba. No contiene todavía un backend funcional, una base de datos productiva, una integración real con un proveedor de inteligencia artificial ni un sistema de envío de correos. Por ello, esta propuesta solicita autorización para iniciar una fase de implementación controlada, no para declarar el servicio como producto terminado.</w:t>
      </w:r>
    </w:p>
    <w:tbl>
      <w:tblPr>
        <w:tblStyle w:val="TableGrid"/>
        <w:tblW w:type="auto" w:w="0"/>
        <w:jc w:val="center"/>
        <w:tblLook w:firstColumn="1" w:firstRow="1" w:lastColumn="0" w:lastRow="0" w:noHBand="0" w:noVBand="1" w:val="04A0"/>
      </w:tblPr>
      <w:tblGrid>
        <w:gridCol w:w="9915"/>
      </w:tblGrid>
      <w:tr>
        <w:tc>
          <w:tcPr>
            <w:tcW w:type="dxa" w:w="9915"/>
            <w:shd w:fill="EEF3F8"/>
          </w:tcPr>
          <w:p>
            <w:pPr>
              <w:jc w:val="left"/>
            </w:pPr>
            <w:r>
              <w:rPr>
                <w:b/>
                <w:color w:val="1F3854"/>
              </w:rPr>
              <w:t>Definición del producto</w:t>
              <w:br/>
            </w:r>
            <w:r>
              <w:t>Kriptome es un servicio gestionado de detección, priorización, explicación y respuesta guiada para pymes. No debe presentarse como un SOC autónomo ni como un mecanismo de remediación automática sin supervisión.</w:t>
            </w:r>
          </w:p>
        </w:tc>
      </w:tr>
    </w:tbl>
    <w:p/>
    <w:p>
      <w:pPr>
        <w:pStyle w:val="Heading1"/>
      </w:pPr>
      <w:r>
        <w:t>2. Contexto y problema</w:t>
      </w:r>
    </w:p>
    <w:p>
      <w:r>
        <w:t>Las pequeñas y medianas empresas enfrentan una contradicción: están expuestas a amenazas comparables a las de organizaciones grandes, pero disponen de menos personal, procesos y presupuesto. Instalar una plataforma de monitoreo mejora la visibilidad, aunque no elimina la necesidad de interpretar lo detectado. La herramienta puede informar que existieron intentos fallidos de autenticación, cambios de archivos, malware o vulnerabilidades, pero la organización todavía debe decidir si el evento es relevante, qué activo fue afectado, qué evidencia existe y qué acción debe ejecutarse.</w:t>
      </w:r>
    </w:p>
    <w:p>
      <w:r>
        <w:t>El problema aumenta cuando las reglas se disparan repetidamente. Un ataque de fuerza bruta puede generar decenas o cientos de alertas similares. Si cada alerta produce un correo o una llamada a un modelo de IA, el sistema consume recursos y satura al destinatario sin mejorar la decisión. Del mismo modo, una vulnerabilidad con un nivel técnico alto no siempre merece la misma prioridad: una laptop aislada de laboratorio no representa el mismo riesgo que un servidor de facturación expuesto a Internet.</w:t>
      </w:r>
    </w:p>
    <w:p>
      <w:r>
        <w:t>Kriptome aborda tres brechas. La primera es la brecha de volumen, mediante deduplicación y consolidación. La segunda es la brecha de contexto, mediante información del cliente, del activo y de fuentes externas. La tercera es la brecha de comunicación, mediante procedimientos aprobados y mensajes orientados a la acción. La propuesta de valor aparece precisamente en la combinación de esas tres capacidades.</w:t>
      </w:r>
    </w:p>
    <w:p>
      <w:pPr>
        <w:pStyle w:val="Heading1"/>
      </w:pPr>
      <w:r>
        <w:t>3. Cliente objetivo</w:t>
      </w:r>
    </w:p>
    <w:p>
      <w:r>
        <w:t>El cliente inicial debe ser una organización pequeña o mediana con infraestructura Windows o Linux, necesidad de monitoreo y ausencia de un SOC interno maduro. El mejor candidato no es necesariamente la empresa con mayor cantidad de endpoints, sino aquella que puede identificar activos críticos, designar responsables y comprometerse a atender las comunicaciones. Un cliente sin inventario, sin responsables o sin capacidad de ejecutar acciones recomendadas dificultará el piloto y reducirá la evidencia de valor.</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Característica</w:t>
            </w:r>
          </w:p>
        </w:tc>
        <w:tc>
          <w:tcPr>
            <w:tcW w:type="dxa" w:w="3305"/>
            <w:shd w:fill="D9E2F3"/>
          </w:tcPr>
          <w:p>
            <w:r>
              <w:rPr>
                <w:b/>
                <w:sz w:val="17"/>
              </w:rPr>
              <w:t>Cliente adecuado para el piloto</w:t>
            </w:r>
          </w:p>
        </w:tc>
        <w:tc>
          <w:tcPr>
            <w:tcW w:type="dxa" w:w="3305"/>
            <w:shd w:fill="D9E2F3"/>
          </w:tcPr>
          <w:p>
            <w:r>
              <w:rPr>
                <w:b/>
                <w:sz w:val="17"/>
              </w:rPr>
              <w:t>Cliente poco adecuado</w:t>
            </w:r>
          </w:p>
        </w:tc>
      </w:tr>
      <w:tr>
        <w:tc>
          <w:tcPr>
            <w:tcW w:type="dxa" w:w="3305"/>
            <w:vAlign w:val="top"/>
          </w:tcPr>
          <w:p>
            <w:pPr>
              <w:jc w:val="left"/>
            </w:pPr>
            <w:r>
              <w:rPr>
                <w:sz w:val="17"/>
              </w:rPr>
              <w:t>Infraestructura</w:t>
            </w:r>
          </w:p>
        </w:tc>
        <w:tc>
          <w:tcPr>
            <w:tcW w:type="dxa" w:w="3305"/>
            <w:vAlign w:val="top"/>
          </w:tcPr>
          <w:p>
            <w:pPr>
              <w:jc w:val="left"/>
            </w:pPr>
            <w:r>
              <w:rPr>
                <w:sz w:val="17"/>
              </w:rPr>
              <w:t>Parque controlado y fuentes compatibles con Wazuh</w:t>
            </w:r>
          </w:p>
        </w:tc>
        <w:tc>
          <w:tcPr>
            <w:tcW w:type="dxa" w:w="3305"/>
            <w:vAlign w:val="top"/>
          </w:tcPr>
          <w:p>
            <w:pPr>
              <w:jc w:val="left"/>
            </w:pPr>
            <w:r>
              <w:rPr>
                <w:sz w:val="17"/>
              </w:rPr>
              <w:t>Entorno desconocido o sin acceso administrativo</w:t>
            </w:r>
          </w:p>
        </w:tc>
      </w:tr>
      <w:tr>
        <w:tc>
          <w:tcPr>
            <w:tcW w:type="dxa" w:w="3305"/>
            <w:vAlign w:val="top"/>
          </w:tcPr>
          <w:p>
            <w:pPr>
              <w:jc w:val="left"/>
            </w:pPr>
            <w:r>
              <w:rPr>
                <w:sz w:val="17"/>
              </w:rPr>
              <w:t>Responsables</w:t>
            </w:r>
          </w:p>
        </w:tc>
        <w:tc>
          <w:tcPr>
            <w:tcW w:type="dxa" w:w="3305"/>
            <w:vAlign w:val="top"/>
          </w:tcPr>
          <w:p>
            <w:pPr>
              <w:jc w:val="left"/>
            </w:pPr>
            <w:r>
              <w:rPr>
                <w:sz w:val="17"/>
              </w:rPr>
              <w:t>Contacto técnico y contacto de negocio definidos</w:t>
            </w:r>
          </w:p>
        </w:tc>
        <w:tc>
          <w:tcPr>
            <w:tcW w:type="dxa" w:w="3305"/>
            <w:vAlign w:val="top"/>
          </w:tcPr>
          <w:p>
            <w:pPr>
              <w:jc w:val="left"/>
            </w:pPr>
            <w:r>
              <w:rPr>
                <w:sz w:val="17"/>
              </w:rPr>
              <w:t>Nadie asume las recomendaciones</w:t>
            </w:r>
          </w:p>
        </w:tc>
      </w:tr>
      <w:tr>
        <w:tc>
          <w:tcPr>
            <w:tcW w:type="dxa" w:w="3305"/>
            <w:vAlign w:val="top"/>
          </w:tcPr>
          <w:p>
            <w:pPr>
              <w:jc w:val="left"/>
            </w:pPr>
            <w:r>
              <w:rPr>
                <w:sz w:val="17"/>
              </w:rPr>
              <w:t>Activos críticos</w:t>
            </w:r>
          </w:p>
        </w:tc>
        <w:tc>
          <w:tcPr>
            <w:tcW w:type="dxa" w:w="3305"/>
            <w:vAlign w:val="top"/>
          </w:tcPr>
          <w:p>
            <w:pPr>
              <w:jc w:val="left"/>
            </w:pPr>
            <w:r>
              <w:rPr>
                <w:sz w:val="17"/>
              </w:rPr>
              <w:t>Identificados y clasificados</w:t>
            </w:r>
          </w:p>
        </w:tc>
        <w:tc>
          <w:tcPr>
            <w:tcW w:type="dxa" w:w="3305"/>
            <w:vAlign w:val="top"/>
          </w:tcPr>
          <w:p>
            <w:pPr>
              <w:jc w:val="left"/>
            </w:pPr>
            <w:r>
              <w:rPr>
                <w:sz w:val="17"/>
              </w:rPr>
              <w:t>No existe inventario ni criticidad</w:t>
            </w:r>
          </w:p>
        </w:tc>
      </w:tr>
      <w:tr>
        <w:tc>
          <w:tcPr>
            <w:tcW w:type="dxa" w:w="3305"/>
            <w:vAlign w:val="top"/>
          </w:tcPr>
          <w:p>
            <w:pPr>
              <w:jc w:val="left"/>
            </w:pPr>
            <w:r>
              <w:rPr>
                <w:sz w:val="17"/>
              </w:rPr>
              <w:t>Expectativa</w:t>
            </w:r>
          </w:p>
        </w:tc>
        <w:tc>
          <w:tcPr>
            <w:tcW w:type="dxa" w:w="3305"/>
            <w:vAlign w:val="top"/>
          </w:tcPr>
          <w:p>
            <w:pPr>
              <w:jc w:val="left"/>
            </w:pPr>
            <w:r>
              <w:rPr>
                <w:sz w:val="17"/>
              </w:rPr>
              <w:t>Monitoreo y respuesta guiada</w:t>
            </w:r>
          </w:p>
        </w:tc>
        <w:tc>
          <w:tcPr>
            <w:tcW w:type="dxa" w:w="3305"/>
            <w:vAlign w:val="top"/>
          </w:tcPr>
          <w:p>
            <w:pPr>
              <w:jc w:val="left"/>
            </w:pPr>
            <w:r>
              <w:rPr>
                <w:sz w:val="17"/>
              </w:rPr>
              <w:t>Remediación autónoma total</w:t>
            </w:r>
          </w:p>
        </w:tc>
      </w:tr>
      <w:tr>
        <w:tc>
          <w:tcPr>
            <w:tcW w:type="dxa" w:w="3305"/>
            <w:vAlign w:val="top"/>
          </w:tcPr>
          <w:p>
            <w:pPr>
              <w:jc w:val="left"/>
            </w:pPr>
            <w:r>
              <w:rPr>
                <w:sz w:val="17"/>
              </w:rPr>
              <w:t>Alcance</w:t>
            </w:r>
          </w:p>
        </w:tc>
        <w:tc>
          <w:tcPr>
            <w:tcW w:type="dxa" w:w="3305"/>
            <w:vAlign w:val="top"/>
          </w:tcPr>
          <w:p>
            <w:pPr>
              <w:jc w:val="left"/>
            </w:pPr>
            <w:r>
              <w:rPr>
                <w:sz w:val="17"/>
              </w:rPr>
              <w:t>Uno a tres clientes con volumen medible</w:t>
            </w:r>
          </w:p>
        </w:tc>
        <w:tc>
          <w:tcPr>
            <w:tcW w:type="dxa" w:w="3305"/>
            <w:vAlign w:val="top"/>
          </w:tcPr>
          <w:p>
            <w:pPr>
              <w:jc w:val="left"/>
            </w:pPr>
            <w:r>
              <w:rPr>
                <w:sz w:val="17"/>
              </w:rPr>
              <w:t>Despliegue masivo inicial</w:t>
            </w:r>
          </w:p>
        </w:tc>
      </w:tr>
    </w:tbl>
    <w:p/>
    <w:p>
      <w:pPr>
        <w:pStyle w:val="Heading1"/>
      </w:pPr>
      <w:r>
        <w:t>4. Propuesta de servicio</w:t>
      </w:r>
    </w:p>
    <w:p>
      <w:r>
        <w:t>El servicio comienza con la recepción de alertas de Wazuh, pero no finaliza allí. La aplicación Kriptome debe guardar la evidencia original, confirmar a qué cliente y activo pertenece, convertir los campos de la alerta a un modelo común y determinar si la señal abre un caso nuevo o actualiza uno existente. Luego agrega contexto, calcula la prioridad mediante reglas determinísticas y selecciona un procedimiento previamente aprobado.</w:t>
      </w:r>
    </w:p>
    <w:p>
      <w:r>
        <w:t>La inteligencia artificial se utiliza en una etapa posterior. Su papel es convertir evidencia estructurada y un procedimiento aprobado en una explicación clara. No debe resolver el tenant, decidir el fingerprint, calcular la severidad ni inventar acciones. Esta separación reduce el riesgo de decisiones inconsistentes y permite que el sistema continúe funcionando con plantillas cuando el proveedor de IA no esté disponible.</w:t>
      </w:r>
    </w:p>
    <w:p>
      <w:r>
        <w:t>La operación incluye seguimiento. El cliente no solo recibe un mensaje; debe poder reconocer el caso, solicitar ayuda, confirmar que la actividad era legítima o indicar que la acción fue completada. El estado del caso cambia con esas respuestas y queda disponible para auditoría y reportes.</w:t>
      </w:r>
    </w:p>
    <w:p>
      <w:pPr>
        <w:pStyle w:val="Heading1"/>
      </w:pPr>
      <w:r>
        <w:t>5. Diferenciación respecto de Wazuh</w:t>
      </w:r>
    </w:p>
    <w:p>
      <w:r>
        <w:t>Wazuh es una plataforma central del diseño y no debe ser reemplazada. Su responsabilidad es recolectar eventos, decodificar logs, evaluar reglas y almacenar alertas. Sin embargo, una alerta de Wazuh es una señal técnica, no un caso de negocio. Kriptome añade capacidades que no deben delegarse por completo al ruleset: correlación entre varios activos, deduplicación temporal, estados del caso, revisión humana, comunicación, confirmación del cliente y seguimiento.</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Capacidad</w:t>
            </w:r>
          </w:p>
        </w:tc>
        <w:tc>
          <w:tcPr>
            <w:tcW w:type="dxa" w:w="3305"/>
            <w:shd w:fill="D9E2F3"/>
          </w:tcPr>
          <w:p>
            <w:r>
              <w:rPr>
                <w:b/>
                <w:sz w:val="17"/>
              </w:rPr>
              <w:t>Wazuh</w:t>
            </w:r>
          </w:p>
        </w:tc>
        <w:tc>
          <w:tcPr>
            <w:tcW w:type="dxa" w:w="3305"/>
            <w:shd w:fill="D9E2F3"/>
          </w:tcPr>
          <w:p>
            <w:r>
              <w:rPr>
                <w:b/>
                <w:sz w:val="17"/>
              </w:rPr>
              <w:t>Kriptome</w:t>
            </w:r>
          </w:p>
        </w:tc>
      </w:tr>
      <w:tr>
        <w:tc>
          <w:tcPr>
            <w:tcW w:type="dxa" w:w="3305"/>
            <w:vAlign w:val="top"/>
          </w:tcPr>
          <w:p>
            <w:pPr>
              <w:jc w:val="left"/>
            </w:pPr>
            <w:r>
              <w:rPr>
                <w:sz w:val="17"/>
              </w:rPr>
              <w:t>Recolección y decodificación</w:t>
            </w:r>
          </w:p>
        </w:tc>
        <w:tc>
          <w:tcPr>
            <w:tcW w:type="dxa" w:w="3305"/>
            <w:vAlign w:val="top"/>
          </w:tcPr>
          <w:p>
            <w:pPr>
              <w:jc w:val="left"/>
            </w:pPr>
            <w:r>
              <w:rPr>
                <w:sz w:val="17"/>
              </w:rPr>
              <w:t>Principal responsable</w:t>
            </w:r>
          </w:p>
        </w:tc>
        <w:tc>
          <w:tcPr>
            <w:tcW w:type="dxa" w:w="3305"/>
            <w:vAlign w:val="top"/>
          </w:tcPr>
          <w:p>
            <w:pPr>
              <w:jc w:val="left"/>
            </w:pPr>
            <w:r>
              <w:rPr>
                <w:sz w:val="17"/>
              </w:rPr>
              <w:t>Consume el resultado</w:t>
            </w:r>
          </w:p>
        </w:tc>
      </w:tr>
      <w:tr>
        <w:tc>
          <w:tcPr>
            <w:tcW w:type="dxa" w:w="3305"/>
            <w:vAlign w:val="top"/>
          </w:tcPr>
          <w:p>
            <w:pPr>
              <w:jc w:val="left"/>
            </w:pPr>
            <w:r>
              <w:rPr>
                <w:sz w:val="17"/>
              </w:rPr>
              <w:t>Reglas técnicas</w:t>
            </w:r>
          </w:p>
        </w:tc>
        <w:tc>
          <w:tcPr>
            <w:tcW w:type="dxa" w:w="3305"/>
            <w:vAlign w:val="top"/>
          </w:tcPr>
          <w:p>
            <w:pPr>
              <w:jc w:val="left"/>
            </w:pPr>
            <w:r>
              <w:rPr>
                <w:sz w:val="17"/>
              </w:rPr>
              <w:t>Principal responsable</w:t>
            </w:r>
          </w:p>
        </w:tc>
        <w:tc>
          <w:tcPr>
            <w:tcW w:type="dxa" w:w="3305"/>
            <w:vAlign w:val="top"/>
          </w:tcPr>
          <w:p>
            <w:pPr>
              <w:jc w:val="left"/>
            </w:pPr>
            <w:r>
              <w:rPr>
                <w:sz w:val="17"/>
              </w:rPr>
              <w:t>Interpreta grupos y case types</w:t>
            </w:r>
          </w:p>
        </w:tc>
      </w:tr>
      <w:tr>
        <w:tc>
          <w:tcPr>
            <w:tcW w:type="dxa" w:w="3305"/>
            <w:vAlign w:val="top"/>
          </w:tcPr>
          <w:p>
            <w:pPr>
              <w:jc w:val="left"/>
            </w:pPr>
            <w:r>
              <w:rPr>
                <w:sz w:val="17"/>
              </w:rPr>
              <w:t>Correlación básica por agente</w:t>
            </w:r>
          </w:p>
        </w:tc>
        <w:tc>
          <w:tcPr>
            <w:tcW w:type="dxa" w:w="3305"/>
            <w:vAlign w:val="top"/>
          </w:tcPr>
          <w:p>
            <w:pPr>
              <w:jc w:val="left"/>
            </w:pPr>
            <w:r>
              <w:rPr>
                <w:sz w:val="17"/>
              </w:rPr>
              <w:t>Disponible</w:t>
            </w:r>
          </w:p>
        </w:tc>
        <w:tc>
          <w:tcPr>
            <w:tcW w:type="dxa" w:w="3305"/>
            <w:vAlign w:val="top"/>
          </w:tcPr>
          <w:p>
            <w:pPr>
              <w:jc w:val="left"/>
            </w:pPr>
            <w:r>
              <w:rPr>
                <w:sz w:val="17"/>
              </w:rPr>
              <w:t>Complementa</w:t>
            </w:r>
          </w:p>
        </w:tc>
      </w:tr>
      <w:tr>
        <w:tc>
          <w:tcPr>
            <w:tcW w:type="dxa" w:w="3305"/>
            <w:vAlign w:val="top"/>
          </w:tcPr>
          <w:p>
            <w:pPr>
              <w:jc w:val="left"/>
            </w:pPr>
            <w:r>
              <w:rPr>
                <w:sz w:val="17"/>
              </w:rPr>
              <w:t>Correlación entre activos/tenants</w:t>
            </w:r>
          </w:p>
        </w:tc>
        <w:tc>
          <w:tcPr>
            <w:tcW w:type="dxa" w:w="3305"/>
            <w:vAlign w:val="top"/>
          </w:tcPr>
          <w:p>
            <w:pPr>
              <w:jc w:val="left"/>
            </w:pPr>
            <w:r>
              <w:rPr>
                <w:sz w:val="17"/>
              </w:rPr>
              <w:t>Limitada para este diseño</w:t>
            </w:r>
          </w:p>
        </w:tc>
        <w:tc>
          <w:tcPr>
            <w:tcW w:type="dxa" w:w="3305"/>
            <w:vAlign w:val="top"/>
          </w:tcPr>
          <w:p>
            <w:pPr>
              <w:jc w:val="left"/>
            </w:pPr>
            <w:r>
              <w:rPr>
                <w:sz w:val="17"/>
              </w:rPr>
              <w:t>Responsabilidad principal</w:t>
            </w:r>
          </w:p>
        </w:tc>
      </w:tr>
      <w:tr>
        <w:tc>
          <w:tcPr>
            <w:tcW w:type="dxa" w:w="3305"/>
            <w:vAlign w:val="top"/>
          </w:tcPr>
          <w:p>
            <w:pPr>
              <w:jc w:val="left"/>
            </w:pPr>
            <w:r>
              <w:rPr>
                <w:sz w:val="17"/>
              </w:rPr>
              <w:t>Ciclo de vida de casos</w:t>
            </w:r>
          </w:p>
        </w:tc>
        <w:tc>
          <w:tcPr>
            <w:tcW w:type="dxa" w:w="3305"/>
            <w:vAlign w:val="top"/>
          </w:tcPr>
          <w:p>
            <w:pPr>
              <w:jc w:val="left"/>
            </w:pPr>
            <w:r>
              <w:rPr>
                <w:sz w:val="17"/>
              </w:rPr>
              <w:t>No es su función central</w:t>
            </w:r>
          </w:p>
        </w:tc>
        <w:tc>
          <w:tcPr>
            <w:tcW w:type="dxa" w:w="3305"/>
            <w:vAlign w:val="top"/>
          </w:tcPr>
          <w:p>
            <w:pPr>
              <w:jc w:val="left"/>
            </w:pPr>
            <w:r>
              <w:rPr>
                <w:sz w:val="17"/>
              </w:rPr>
              <w:t>Responsabilidad principal</w:t>
            </w:r>
          </w:p>
        </w:tc>
      </w:tr>
      <w:tr>
        <w:tc>
          <w:tcPr>
            <w:tcW w:type="dxa" w:w="3305"/>
            <w:vAlign w:val="top"/>
          </w:tcPr>
          <w:p>
            <w:pPr>
              <w:jc w:val="left"/>
            </w:pPr>
            <w:r>
              <w:rPr>
                <w:sz w:val="17"/>
              </w:rPr>
              <w:t>Prioridad de negocio</w:t>
            </w:r>
          </w:p>
        </w:tc>
        <w:tc>
          <w:tcPr>
            <w:tcW w:type="dxa" w:w="3305"/>
            <w:vAlign w:val="top"/>
          </w:tcPr>
          <w:p>
            <w:pPr>
              <w:jc w:val="left"/>
            </w:pPr>
            <w:r>
              <w:rPr>
                <w:sz w:val="17"/>
              </w:rPr>
              <w:t>Rule level técnico</w:t>
            </w:r>
          </w:p>
        </w:tc>
        <w:tc>
          <w:tcPr>
            <w:tcW w:type="dxa" w:w="3305"/>
            <w:vAlign w:val="top"/>
          </w:tcPr>
          <w:p>
            <w:pPr>
              <w:jc w:val="left"/>
            </w:pPr>
            <w:r>
              <w:rPr>
                <w:sz w:val="17"/>
              </w:rPr>
              <w:t>Riesgo contextual determinístico</w:t>
            </w:r>
          </w:p>
        </w:tc>
      </w:tr>
      <w:tr>
        <w:tc>
          <w:tcPr>
            <w:tcW w:type="dxa" w:w="3305"/>
            <w:vAlign w:val="top"/>
          </w:tcPr>
          <w:p>
            <w:pPr>
              <w:jc w:val="left"/>
            </w:pPr>
            <w:r>
              <w:rPr>
                <w:sz w:val="17"/>
              </w:rPr>
              <w:t>Comunicación al cliente</w:t>
            </w:r>
          </w:p>
        </w:tc>
        <w:tc>
          <w:tcPr>
            <w:tcW w:type="dxa" w:w="3305"/>
            <w:vAlign w:val="top"/>
          </w:tcPr>
          <w:p>
            <w:pPr>
              <w:jc w:val="left"/>
            </w:pPr>
            <w:r>
              <w:rPr>
                <w:sz w:val="17"/>
              </w:rPr>
              <w:t>No es el canal final</w:t>
            </w:r>
          </w:p>
        </w:tc>
        <w:tc>
          <w:tcPr>
            <w:tcW w:type="dxa" w:w="3305"/>
            <w:vAlign w:val="top"/>
          </w:tcPr>
          <w:p>
            <w:pPr>
              <w:jc w:val="left"/>
            </w:pPr>
            <w:r>
              <w:rPr>
                <w:sz w:val="17"/>
              </w:rPr>
              <w:t>Responsabilidad principal</w:t>
            </w:r>
          </w:p>
        </w:tc>
      </w:tr>
      <w:tr>
        <w:tc>
          <w:tcPr>
            <w:tcW w:type="dxa" w:w="3305"/>
            <w:vAlign w:val="top"/>
          </w:tcPr>
          <w:p>
            <w:pPr>
              <w:jc w:val="left"/>
            </w:pPr>
            <w:r>
              <w:rPr>
                <w:sz w:val="17"/>
              </w:rPr>
              <w:t>IA y procedimientos</w:t>
            </w:r>
          </w:p>
        </w:tc>
        <w:tc>
          <w:tcPr>
            <w:tcW w:type="dxa" w:w="3305"/>
            <w:vAlign w:val="top"/>
          </w:tcPr>
          <w:p>
            <w:pPr>
              <w:jc w:val="left"/>
            </w:pPr>
            <w:r>
              <w:rPr>
                <w:sz w:val="17"/>
              </w:rPr>
              <w:t>Fuera de alcance</w:t>
            </w:r>
          </w:p>
        </w:tc>
        <w:tc>
          <w:tcPr>
            <w:tcW w:type="dxa" w:w="3305"/>
            <w:vAlign w:val="top"/>
          </w:tcPr>
          <w:p>
            <w:pPr>
              <w:jc w:val="left"/>
            </w:pPr>
            <w:r>
              <w:rPr>
                <w:sz w:val="17"/>
              </w:rPr>
              <w:t>Capa controlada</w:t>
            </w:r>
          </w:p>
        </w:tc>
      </w:tr>
    </w:tbl>
    <w:p/>
    <w:p>
      <w:pPr>
        <w:pStyle w:val="Heading1"/>
      </w:pPr>
      <w:r>
        <w:t>6. Alcance del MVP</w:t>
      </w:r>
    </w:p>
    <w:p>
      <w:r>
        <w:t>El MVP debe demostrar el flujo completo con un número reducido de casos. Intentar cubrir desde el inicio las quince familias del routing aumentaría el esfuerzo de tuning, pruebas y operación sin asegurar que el motor de casos funcione. Se propone priorizar cinco escenarios que combinan relevancia, evidencia y posibilidad de validación.</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Caso</w:t>
            </w:r>
          </w:p>
        </w:tc>
        <w:tc>
          <w:tcPr>
            <w:tcW w:type="dxa" w:w="3305"/>
            <w:shd w:fill="D9E2F3"/>
          </w:tcPr>
          <w:p>
            <w:r>
              <w:rPr>
                <w:b/>
                <w:sz w:val="17"/>
              </w:rPr>
              <w:t>Razón de prioridad</w:t>
            </w:r>
          </w:p>
        </w:tc>
        <w:tc>
          <w:tcPr>
            <w:tcW w:type="dxa" w:w="3305"/>
            <w:shd w:fill="D9E2F3"/>
          </w:tcPr>
          <w:p>
            <w:r>
              <w:rPr>
                <w:b/>
                <w:sz w:val="17"/>
              </w:rPr>
              <w:t>Resultado del MVP</w:t>
            </w:r>
          </w:p>
        </w:tc>
      </w:tr>
      <w:tr>
        <w:tc>
          <w:tcPr>
            <w:tcW w:type="dxa" w:w="3305"/>
            <w:vAlign w:val="top"/>
          </w:tcPr>
          <w:p>
            <w:pPr>
              <w:jc w:val="left"/>
            </w:pPr>
            <w:r>
              <w:rPr>
                <w:sz w:val="17"/>
              </w:rPr>
              <w:t>Fuerza bruta seguida de login exitoso</w:t>
            </w:r>
          </w:p>
        </w:tc>
        <w:tc>
          <w:tcPr>
            <w:tcW w:type="dxa" w:w="3305"/>
            <w:vAlign w:val="top"/>
          </w:tcPr>
          <w:p>
            <w:pPr>
              <w:jc w:val="left"/>
            </w:pPr>
            <w:r>
              <w:rPr>
                <w:sz w:val="17"/>
              </w:rPr>
              <w:t>Muestra correlación temporal y cambio material</w:t>
            </w:r>
          </w:p>
        </w:tc>
        <w:tc>
          <w:tcPr>
            <w:tcW w:type="dxa" w:w="3305"/>
            <w:vAlign w:val="top"/>
          </w:tcPr>
          <w:p>
            <w:pPr>
              <w:jc w:val="left"/>
            </w:pPr>
            <w:r>
              <w:rPr>
                <w:sz w:val="17"/>
              </w:rPr>
              <w:t>Caso crítico consolidado</w:t>
            </w:r>
          </w:p>
        </w:tc>
      </w:tr>
      <w:tr>
        <w:tc>
          <w:tcPr>
            <w:tcW w:type="dxa" w:w="3305"/>
            <w:vAlign w:val="top"/>
          </w:tcPr>
          <w:p>
            <w:pPr>
              <w:jc w:val="left"/>
            </w:pPr>
            <w:r>
              <w:rPr>
                <w:sz w:val="17"/>
              </w:rPr>
              <w:t>Malware confirmado</w:t>
            </w:r>
          </w:p>
        </w:tc>
        <w:tc>
          <w:tcPr>
            <w:tcW w:type="dxa" w:w="3305"/>
            <w:vAlign w:val="top"/>
          </w:tcPr>
          <w:p>
            <w:pPr>
              <w:jc w:val="left"/>
            </w:pPr>
            <w:r>
              <w:rPr>
                <w:sz w:val="17"/>
              </w:rPr>
              <w:t>Alta confianza y procedimiento concreto</w:t>
            </w:r>
          </w:p>
        </w:tc>
        <w:tc>
          <w:tcPr>
            <w:tcW w:type="dxa" w:w="3305"/>
            <w:vAlign w:val="top"/>
          </w:tcPr>
          <w:p>
            <w:pPr>
              <w:jc w:val="left"/>
            </w:pPr>
            <w:r>
              <w:rPr>
                <w:sz w:val="17"/>
              </w:rPr>
              <w:t>Contención guiada</w:t>
            </w:r>
          </w:p>
        </w:tc>
      </w:tr>
      <w:tr>
        <w:tc>
          <w:tcPr>
            <w:tcW w:type="dxa" w:w="3305"/>
            <w:vAlign w:val="top"/>
          </w:tcPr>
          <w:p>
            <w:pPr>
              <w:jc w:val="left"/>
            </w:pPr>
            <w:r>
              <w:rPr>
                <w:sz w:val="17"/>
              </w:rPr>
              <w:t>FIM en ruta crítica</w:t>
            </w:r>
          </w:p>
        </w:tc>
        <w:tc>
          <w:tcPr>
            <w:tcW w:type="dxa" w:w="3305"/>
            <w:vAlign w:val="top"/>
          </w:tcPr>
          <w:p>
            <w:pPr>
              <w:jc w:val="left"/>
            </w:pPr>
            <w:r>
              <w:rPr>
                <w:sz w:val="17"/>
              </w:rPr>
              <w:t>Prueba contexto de activo y sensibilidad de ruta</w:t>
            </w:r>
          </w:p>
        </w:tc>
        <w:tc>
          <w:tcPr>
            <w:tcW w:type="dxa" w:w="3305"/>
            <w:vAlign w:val="top"/>
          </w:tcPr>
          <w:p>
            <w:pPr>
              <w:jc w:val="left"/>
            </w:pPr>
            <w:r>
              <w:rPr>
                <w:sz w:val="17"/>
              </w:rPr>
              <w:t>Validación del cambio</w:t>
            </w:r>
          </w:p>
        </w:tc>
      </w:tr>
      <w:tr>
        <w:tc>
          <w:tcPr>
            <w:tcW w:type="dxa" w:w="3305"/>
            <w:vAlign w:val="top"/>
          </w:tcPr>
          <w:p>
            <w:pPr>
              <w:jc w:val="left"/>
            </w:pPr>
            <w:r>
              <w:rPr>
                <w:sz w:val="17"/>
              </w:rPr>
              <w:t>Agente desconectado/manipulado</w:t>
            </w:r>
          </w:p>
        </w:tc>
        <w:tc>
          <w:tcPr>
            <w:tcW w:type="dxa" w:w="3305"/>
            <w:vAlign w:val="top"/>
          </w:tcPr>
          <w:p>
            <w:pPr>
              <w:jc w:val="left"/>
            </w:pPr>
            <w:r>
              <w:rPr>
                <w:sz w:val="17"/>
              </w:rPr>
              <w:t>Prueba salud, temporización y alcance</w:t>
            </w:r>
          </w:p>
        </w:tc>
        <w:tc>
          <w:tcPr>
            <w:tcW w:type="dxa" w:w="3305"/>
            <w:vAlign w:val="top"/>
          </w:tcPr>
          <w:p>
            <w:pPr>
              <w:jc w:val="left"/>
            </w:pPr>
            <w:r>
              <w:rPr>
                <w:sz w:val="17"/>
              </w:rPr>
              <w:t>Seguimiento por criticidad</w:t>
            </w:r>
          </w:p>
        </w:tc>
      </w:tr>
      <w:tr>
        <w:tc>
          <w:tcPr>
            <w:tcW w:type="dxa" w:w="3305"/>
            <w:vAlign w:val="top"/>
          </w:tcPr>
          <w:p>
            <w:pPr>
              <w:jc w:val="left"/>
            </w:pPr>
            <w:r>
              <w:rPr>
                <w:sz w:val="17"/>
              </w:rPr>
              <w:t>CVE KEV en activo crítico</w:t>
            </w:r>
          </w:p>
        </w:tc>
        <w:tc>
          <w:tcPr>
            <w:tcW w:type="dxa" w:w="3305"/>
            <w:vAlign w:val="top"/>
          </w:tcPr>
          <w:p>
            <w:pPr>
              <w:jc w:val="left"/>
            </w:pPr>
            <w:r>
              <w:rPr>
                <w:sz w:val="17"/>
              </w:rPr>
              <w:t>Prueba enriquecimiento externo y repriorización</w:t>
            </w:r>
          </w:p>
        </w:tc>
        <w:tc>
          <w:tcPr>
            <w:tcW w:type="dxa" w:w="3305"/>
            <w:vAlign w:val="top"/>
          </w:tcPr>
          <w:p>
            <w:pPr>
              <w:jc w:val="left"/>
            </w:pPr>
            <w:r>
              <w:rPr>
                <w:sz w:val="17"/>
              </w:rPr>
              <w:t>Parcheo priorizado</w:t>
            </w:r>
          </w:p>
        </w:tc>
      </w:tr>
    </w:tbl>
    <w:p/>
    <w:p>
      <w:r>
        <w:t>Quedan fuera del MVP las integraciones completas de Microsoft 365, Active Directory avanzado, VPN de múltiples fabricantes, firewall genérico, correlaciones Sysmon complejas y remediación automática. Esas capacidades pueden incorporarse cuando el motor de casos, la separación multi-tenant y el proceso operativo hayan sido validados.</w:t>
      </w:r>
    </w:p>
    <w:p>
      <w:pPr>
        <w:pStyle w:val="Heading1"/>
      </w:pPr>
      <w:r>
        <w:t>7. Modelo de servicio</w:t>
      </w:r>
    </w:p>
    <w:p>
      <w:r>
        <w:t>El servicio debe venderse como monitoreo automatizado continuo con atención humana según un SLA. La plataforma puede procesar señales permanentemente, pero la revisión humana depende de horarios, personal y criticidad. Prometer revisión inmediata las veinticuatro horas sin una guardia real generaría una obligación que el equipo no podría cumplir.</w:t>
      </w:r>
    </w:p>
    <w:p>
      <w:r>
        <w:t>Se recomienda separar la comunicación en dos canales. Los casos críticos generan notificación inmediata dentro de las reglas del SLA. Los hallazgos informativos o no urgentes se agrupan en un digest. Esta separación evita que el cliente pierda atención por exceso de mensajes. También debe definirse qué ocurre si el cliente no responde: número de recordatorios, escalamiento y cierre administrativo.</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Nivel de servicio</w:t>
            </w:r>
          </w:p>
        </w:tc>
        <w:tc>
          <w:tcPr>
            <w:tcW w:type="dxa" w:w="3305"/>
            <w:shd w:fill="D9E2F3"/>
          </w:tcPr>
          <w:p>
            <w:r>
              <w:rPr>
                <w:b/>
                <w:sz w:val="17"/>
              </w:rPr>
              <w:t>Contenido posible</w:t>
            </w:r>
          </w:p>
        </w:tc>
        <w:tc>
          <w:tcPr>
            <w:tcW w:type="dxa" w:w="3305"/>
            <w:shd w:fill="D9E2F3"/>
          </w:tcPr>
          <w:p>
            <w:r>
              <w:rPr>
                <w:b/>
                <w:sz w:val="17"/>
              </w:rPr>
              <w:t>Condición</w:t>
            </w:r>
          </w:p>
        </w:tc>
      </w:tr>
      <w:tr>
        <w:tc>
          <w:tcPr>
            <w:tcW w:type="dxa" w:w="3305"/>
            <w:vAlign w:val="top"/>
          </w:tcPr>
          <w:p>
            <w:pPr>
              <w:jc w:val="left"/>
            </w:pPr>
            <w:r>
              <w:rPr>
                <w:sz w:val="17"/>
              </w:rPr>
              <w:t>Piloto</w:t>
            </w:r>
          </w:p>
        </w:tc>
        <w:tc>
          <w:tcPr>
            <w:tcW w:type="dxa" w:w="3305"/>
            <w:vAlign w:val="top"/>
          </w:tcPr>
          <w:p>
            <w:pPr>
              <w:jc w:val="left"/>
            </w:pPr>
            <w:r>
              <w:rPr>
                <w:sz w:val="17"/>
              </w:rPr>
              <w:t>Cinco casos, correo, digest y revisión en horario definido</w:t>
            </w:r>
          </w:p>
        </w:tc>
        <w:tc>
          <w:tcPr>
            <w:tcW w:type="dxa" w:w="3305"/>
            <w:vAlign w:val="top"/>
          </w:tcPr>
          <w:p>
            <w:pPr>
              <w:jc w:val="left"/>
            </w:pPr>
            <w:r>
              <w:rPr>
                <w:sz w:val="17"/>
              </w:rPr>
              <w:t>Uno a tres clientes</w:t>
            </w:r>
          </w:p>
        </w:tc>
      </w:tr>
      <w:tr>
        <w:tc>
          <w:tcPr>
            <w:tcW w:type="dxa" w:w="3305"/>
            <w:vAlign w:val="top"/>
          </w:tcPr>
          <w:p>
            <w:pPr>
              <w:jc w:val="left"/>
            </w:pPr>
            <w:r>
              <w:rPr>
                <w:sz w:val="17"/>
              </w:rPr>
              <w:t>Gestionado básico</w:t>
            </w:r>
          </w:p>
        </w:tc>
        <w:tc>
          <w:tcPr>
            <w:tcW w:type="dxa" w:w="3305"/>
            <w:vAlign w:val="top"/>
          </w:tcPr>
          <w:p>
            <w:pPr>
              <w:jc w:val="left"/>
            </w:pPr>
            <w:r>
              <w:rPr>
                <w:sz w:val="17"/>
              </w:rPr>
              <w:t>Monitoreo, priorización y seguimiento</w:t>
            </w:r>
          </w:p>
        </w:tc>
        <w:tc>
          <w:tcPr>
            <w:tcW w:type="dxa" w:w="3305"/>
            <w:vAlign w:val="top"/>
          </w:tcPr>
          <w:p>
            <w:pPr>
              <w:jc w:val="left"/>
            </w:pPr>
            <w:r>
              <w:rPr>
                <w:sz w:val="17"/>
              </w:rPr>
              <w:t>SLA laboral</w:t>
            </w:r>
          </w:p>
        </w:tc>
      </w:tr>
      <w:tr>
        <w:tc>
          <w:tcPr>
            <w:tcW w:type="dxa" w:w="3305"/>
            <w:vAlign w:val="top"/>
          </w:tcPr>
          <w:p>
            <w:pPr>
              <w:jc w:val="left"/>
            </w:pPr>
            <w:r>
              <w:rPr>
                <w:sz w:val="17"/>
              </w:rPr>
              <w:t>Gestionado ampliado</w:t>
            </w:r>
          </w:p>
        </w:tc>
        <w:tc>
          <w:tcPr>
            <w:tcW w:type="dxa" w:w="3305"/>
            <w:vAlign w:val="top"/>
          </w:tcPr>
          <w:p>
            <w:pPr>
              <w:jc w:val="left"/>
            </w:pPr>
            <w:r>
              <w:rPr>
                <w:sz w:val="17"/>
              </w:rPr>
              <w:t>Mayor cobertura y soporte</w:t>
            </w:r>
          </w:p>
        </w:tc>
        <w:tc>
          <w:tcPr>
            <w:tcW w:type="dxa" w:w="3305"/>
            <w:vAlign w:val="top"/>
          </w:tcPr>
          <w:p>
            <w:pPr>
              <w:jc w:val="left"/>
            </w:pPr>
            <w:r>
              <w:rPr>
                <w:sz w:val="17"/>
              </w:rPr>
              <w:t>Personal y guardia formal</w:t>
            </w:r>
          </w:p>
        </w:tc>
      </w:tr>
    </w:tbl>
    <w:p/>
    <w:p>
      <w:pPr>
        <w:pStyle w:val="Heading1"/>
      </w:pPr>
      <w:r>
        <w:t>8. Beneficios y resultados esperados</w:t>
      </w:r>
    </w:p>
    <w:p>
      <w:r>
        <w:t>El beneficio principal no debe medirse por la cantidad de alertas generadas, sino por la reducción de ruido y la capacidad de conducir una acción. Un piloto exitoso debería demostrar que las alertas repetidas se convierten en pocos casos, que los mensajes contienen evidencia útil y que el cliente puede responder sin revisar directamente el JSON de Wazuh.</w:t>
      </w:r>
    </w:p>
    <w:p>
      <w:r>
        <w:t>Para Kriptome, el piloto también debe producir aprendizaje operativo. La tasa de falsos positivos, los minutos de analista por caso y la cantidad de comunicaciones por cliente permitirán estimar el costo real del servicio. Es probable que el costo humano de revisión, tuning y acompañamiento supere al costo de tokens de IA; por ello, el modelo comercial debe basarse en carga operativa y no únicamente en infraestructura.</w:t>
      </w:r>
    </w:p>
    <w:p>
      <w:pPr>
        <w:pStyle w:val="Heading1"/>
      </w:pPr>
      <w:r>
        <w:t>9. Riesgos y supuestos</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Riesgo</w:t>
            </w:r>
          </w:p>
        </w:tc>
        <w:tc>
          <w:tcPr>
            <w:tcW w:type="dxa" w:w="3305"/>
            <w:shd w:fill="D9E2F3"/>
          </w:tcPr>
          <w:p>
            <w:r>
              <w:rPr>
                <w:b/>
                <w:sz w:val="17"/>
              </w:rPr>
              <w:t>Consecuencia</w:t>
            </w:r>
          </w:p>
        </w:tc>
        <w:tc>
          <w:tcPr>
            <w:tcW w:type="dxa" w:w="3305"/>
            <w:shd w:fill="D9E2F3"/>
          </w:tcPr>
          <w:p>
            <w:r>
              <w:rPr>
                <w:b/>
                <w:sz w:val="17"/>
              </w:rPr>
              <w:t>Tratamiento propuesto</w:t>
            </w:r>
          </w:p>
        </w:tc>
      </w:tr>
      <w:tr>
        <w:tc>
          <w:tcPr>
            <w:tcW w:type="dxa" w:w="3305"/>
            <w:vAlign w:val="top"/>
          </w:tcPr>
          <w:p>
            <w:pPr>
              <w:jc w:val="left"/>
            </w:pPr>
            <w:r>
              <w:rPr>
                <w:sz w:val="17"/>
              </w:rPr>
              <w:t>Alcance excesivo</w:t>
            </w:r>
          </w:p>
        </w:tc>
        <w:tc>
          <w:tcPr>
            <w:tcW w:type="dxa" w:w="3305"/>
            <w:vAlign w:val="top"/>
          </w:tcPr>
          <w:p>
            <w:pPr>
              <w:jc w:val="left"/>
            </w:pPr>
            <w:r>
              <w:rPr>
                <w:sz w:val="17"/>
              </w:rPr>
              <w:t>Retraso y reglas poco confiables</w:t>
            </w:r>
          </w:p>
        </w:tc>
        <w:tc>
          <w:tcPr>
            <w:tcW w:type="dxa" w:w="3305"/>
            <w:vAlign w:val="top"/>
          </w:tcPr>
          <w:p>
            <w:pPr>
              <w:jc w:val="left"/>
            </w:pPr>
            <w:r>
              <w:rPr>
                <w:sz w:val="17"/>
              </w:rPr>
              <w:t>MVP limitado</w:t>
            </w:r>
          </w:p>
        </w:tc>
      </w:tr>
      <w:tr>
        <w:tc>
          <w:tcPr>
            <w:tcW w:type="dxa" w:w="3305"/>
            <w:vAlign w:val="top"/>
          </w:tcPr>
          <w:p>
            <w:pPr>
              <w:jc w:val="left"/>
            </w:pPr>
            <w:r>
              <w:rPr>
                <w:sz w:val="17"/>
              </w:rPr>
              <w:t>Dependencia de labels</w:t>
            </w:r>
          </w:p>
        </w:tc>
        <w:tc>
          <w:tcPr>
            <w:tcW w:type="dxa" w:w="3305"/>
            <w:vAlign w:val="top"/>
          </w:tcPr>
          <w:p>
            <w:pPr>
              <w:jc w:val="left"/>
            </w:pPr>
            <w:r>
              <w:rPr>
                <w:sz w:val="17"/>
              </w:rPr>
              <w:t>Mezcla entre clientes</w:t>
            </w:r>
          </w:p>
        </w:tc>
        <w:tc>
          <w:tcPr>
            <w:tcW w:type="dxa" w:w="3305"/>
            <w:vAlign w:val="top"/>
          </w:tcPr>
          <w:p>
            <w:pPr>
              <w:jc w:val="left"/>
            </w:pPr>
            <w:r>
              <w:rPr>
                <w:sz w:val="17"/>
              </w:rPr>
              <w:t>Resolución interna agent-tenant-asset</w:t>
            </w:r>
          </w:p>
        </w:tc>
      </w:tr>
      <w:tr>
        <w:tc>
          <w:tcPr>
            <w:tcW w:type="dxa" w:w="3305"/>
            <w:vAlign w:val="top"/>
          </w:tcPr>
          <w:p>
            <w:pPr>
              <w:jc w:val="left"/>
            </w:pPr>
            <w:r>
              <w:rPr>
                <w:sz w:val="17"/>
              </w:rPr>
              <w:t>Casos duplicados</w:t>
            </w:r>
          </w:p>
        </w:tc>
        <w:tc>
          <w:tcPr>
            <w:tcW w:type="dxa" w:w="3305"/>
            <w:vAlign w:val="top"/>
          </w:tcPr>
          <w:p>
            <w:pPr>
              <w:jc w:val="left"/>
            </w:pPr>
            <w:r>
              <w:rPr>
                <w:sz w:val="17"/>
              </w:rPr>
              <w:t>Saturación y pérdida de confianza</w:t>
            </w:r>
          </w:p>
        </w:tc>
        <w:tc>
          <w:tcPr>
            <w:tcW w:type="dxa" w:w="3305"/>
            <w:vAlign w:val="top"/>
          </w:tcPr>
          <w:p>
            <w:pPr>
              <w:jc w:val="left"/>
            </w:pPr>
            <w:r>
              <w:rPr>
                <w:sz w:val="17"/>
              </w:rPr>
              <w:t>Idempotencia y restricciones atómicas</w:t>
            </w:r>
          </w:p>
        </w:tc>
      </w:tr>
      <w:tr>
        <w:tc>
          <w:tcPr>
            <w:tcW w:type="dxa" w:w="3305"/>
            <w:vAlign w:val="top"/>
          </w:tcPr>
          <w:p>
            <w:pPr>
              <w:jc w:val="left"/>
            </w:pPr>
            <w:r>
              <w:rPr>
                <w:sz w:val="17"/>
              </w:rPr>
              <w:t>Uso excesivo de IA</w:t>
            </w:r>
          </w:p>
        </w:tc>
        <w:tc>
          <w:tcPr>
            <w:tcW w:type="dxa" w:w="3305"/>
            <w:vAlign w:val="top"/>
          </w:tcPr>
          <w:p>
            <w:pPr>
              <w:jc w:val="left"/>
            </w:pPr>
            <w:r>
              <w:rPr>
                <w:sz w:val="17"/>
              </w:rPr>
              <w:t>Costo e inconsistencia</w:t>
            </w:r>
          </w:p>
        </w:tc>
        <w:tc>
          <w:tcPr>
            <w:tcW w:type="dxa" w:w="3305"/>
            <w:vAlign w:val="top"/>
          </w:tcPr>
          <w:p>
            <w:pPr>
              <w:jc w:val="left"/>
            </w:pPr>
            <w:r>
              <w:rPr>
                <w:sz w:val="17"/>
              </w:rPr>
              <w:t>IA solo ante creación/cambio material</w:t>
            </w:r>
          </w:p>
        </w:tc>
      </w:tr>
      <w:tr>
        <w:tc>
          <w:tcPr>
            <w:tcW w:type="dxa" w:w="3305"/>
            <w:vAlign w:val="top"/>
          </w:tcPr>
          <w:p>
            <w:pPr>
              <w:jc w:val="left"/>
            </w:pPr>
            <w:r>
              <w:rPr>
                <w:sz w:val="17"/>
              </w:rPr>
              <w:t>KEV duplicado</w:t>
            </w:r>
          </w:p>
        </w:tc>
        <w:tc>
          <w:tcPr>
            <w:tcW w:type="dxa" w:w="3305"/>
            <w:vAlign w:val="top"/>
          </w:tcPr>
          <w:p>
            <w:pPr>
              <w:jc w:val="left"/>
            </w:pPr>
            <w:r>
              <w:rPr>
                <w:sz w:val="17"/>
              </w:rPr>
              <w:t>Dos casos para un CVE</w:t>
            </w:r>
          </w:p>
        </w:tc>
        <w:tc>
          <w:tcPr>
            <w:tcW w:type="dxa" w:w="3305"/>
            <w:vAlign w:val="top"/>
          </w:tcPr>
          <w:p>
            <w:pPr>
              <w:jc w:val="left"/>
            </w:pPr>
            <w:r>
              <w:rPr>
                <w:sz w:val="17"/>
              </w:rPr>
              <w:t>Enriquecimiento en la aplicación</w:t>
            </w:r>
          </w:p>
        </w:tc>
      </w:tr>
      <w:tr>
        <w:tc>
          <w:tcPr>
            <w:tcW w:type="dxa" w:w="3305"/>
            <w:vAlign w:val="top"/>
          </w:tcPr>
          <w:p>
            <w:pPr>
              <w:jc w:val="left"/>
            </w:pPr>
            <w:r>
              <w:rPr>
                <w:sz w:val="17"/>
              </w:rPr>
              <w:t>Capacidad humana insuficiente</w:t>
            </w:r>
          </w:p>
        </w:tc>
        <w:tc>
          <w:tcPr>
            <w:tcW w:type="dxa" w:w="3305"/>
            <w:vAlign w:val="top"/>
          </w:tcPr>
          <w:p>
            <w:pPr>
              <w:jc w:val="left"/>
            </w:pPr>
            <w:r>
              <w:rPr>
                <w:sz w:val="17"/>
              </w:rPr>
              <w:t>Incumplimiento del SLA</w:t>
            </w:r>
          </w:p>
        </w:tc>
        <w:tc>
          <w:tcPr>
            <w:tcW w:type="dxa" w:w="3305"/>
            <w:vAlign w:val="top"/>
          </w:tcPr>
          <w:p>
            <w:pPr>
              <w:jc w:val="left"/>
            </w:pPr>
            <w:r>
              <w:rPr>
                <w:sz w:val="17"/>
              </w:rPr>
              <w:t>Horario y escalamiento realistas</w:t>
            </w:r>
          </w:p>
        </w:tc>
      </w:tr>
      <w:tr>
        <w:tc>
          <w:tcPr>
            <w:tcW w:type="dxa" w:w="3305"/>
            <w:vAlign w:val="top"/>
          </w:tcPr>
          <w:p>
            <w:pPr>
              <w:jc w:val="left"/>
            </w:pPr>
            <w:r>
              <w:rPr>
                <w:sz w:val="17"/>
              </w:rPr>
              <w:t>Activos mal clasificados</w:t>
            </w:r>
          </w:p>
        </w:tc>
        <w:tc>
          <w:tcPr>
            <w:tcW w:type="dxa" w:w="3305"/>
            <w:vAlign w:val="top"/>
          </w:tcPr>
          <w:p>
            <w:pPr>
              <w:jc w:val="left"/>
            </w:pPr>
            <w:r>
              <w:rPr>
                <w:sz w:val="17"/>
              </w:rPr>
              <w:t>Prioridad incorrecta</w:t>
            </w:r>
          </w:p>
        </w:tc>
        <w:tc>
          <w:tcPr>
            <w:tcW w:type="dxa" w:w="3305"/>
            <w:vAlign w:val="top"/>
          </w:tcPr>
          <w:p>
            <w:pPr>
              <w:jc w:val="left"/>
            </w:pPr>
            <w:r>
              <w:rPr>
                <w:sz w:val="17"/>
              </w:rPr>
              <w:t>Proceso de onboarding y CMDB</w:t>
            </w:r>
          </w:p>
        </w:tc>
      </w:tr>
    </w:tbl>
    <w:p/>
    <w:p>
      <w:r>
        <w:t>El proyecto asume que el cliente permite instalar agentes, mantiene contactos actualizados y participa en el onboarding. También asume que el equipo Kriptome puede operar un entorno Wazuh compatible, mantener backups y atender incidentes internos del servicio.</w:t>
      </w:r>
    </w:p>
    <w:p>
      <w:pPr>
        <w:pStyle w:val="Heading1"/>
      </w:pPr>
      <w:r>
        <w:t>10. Indicadores del piloto</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Indicador</w:t>
            </w:r>
          </w:p>
        </w:tc>
        <w:tc>
          <w:tcPr>
            <w:tcW w:type="dxa" w:w="3305"/>
            <w:shd w:fill="D9E2F3"/>
          </w:tcPr>
          <w:p>
            <w:r>
              <w:rPr>
                <w:b/>
                <w:sz w:val="17"/>
              </w:rPr>
              <w:t>Qué demuestra</w:t>
            </w:r>
          </w:p>
        </w:tc>
        <w:tc>
          <w:tcPr>
            <w:tcW w:type="dxa" w:w="3305"/>
            <w:shd w:fill="D9E2F3"/>
          </w:tcPr>
          <w:p>
            <w:r>
              <w:rPr>
                <w:b/>
                <w:sz w:val="17"/>
              </w:rPr>
              <w:t>Meta inicial</w:t>
            </w:r>
          </w:p>
        </w:tc>
      </w:tr>
      <w:tr>
        <w:tc>
          <w:tcPr>
            <w:tcW w:type="dxa" w:w="3305"/>
            <w:vAlign w:val="top"/>
          </w:tcPr>
          <w:p>
            <w:pPr>
              <w:jc w:val="left"/>
            </w:pPr>
            <w:r>
              <w:rPr>
                <w:sz w:val="17"/>
              </w:rPr>
              <w:t>Reducción alerta/caso</w:t>
            </w:r>
          </w:p>
        </w:tc>
        <w:tc>
          <w:tcPr>
            <w:tcW w:type="dxa" w:w="3305"/>
            <w:vAlign w:val="top"/>
          </w:tcPr>
          <w:p>
            <w:pPr>
              <w:jc w:val="left"/>
            </w:pPr>
            <w:r>
              <w:rPr>
                <w:sz w:val="17"/>
              </w:rPr>
              <w:t>Capacidad de consolidación</w:t>
            </w:r>
          </w:p>
        </w:tc>
        <w:tc>
          <w:tcPr>
            <w:tcW w:type="dxa" w:w="3305"/>
            <w:vAlign w:val="top"/>
          </w:tcPr>
          <w:p>
            <w:pPr>
              <w:jc w:val="left"/>
            </w:pPr>
            <w:r>
              <w:rPr>
                <w:sz w:val="17"/>
              </w:rPr>
              <w:t>Medir por familia antes de fijar meta contractual</w:t>
            </w:r>
          </w:p>
        </w:tc>
      </w:tr>
      <w:tr>
        <w:tc>
          <w:tcPr>
            <w:tcW w:type="dxa" w:w="3305"/>
            <w:vAlign w:val="top"/>
          </w:tcPr>
          <w:p>
            <w:pPr>
              <w:jc w:val="left"/>
            </w:pPr>
            <w:r>
              <w:rPr>
                <w:sz w:val="17"/>
              </w:rPr>
              <w:t>Casos por cliente/semana</w:t>
            </w:r>
          </w:p>
        </w:tc>
        <w:tc>
          <w:tcPr>
            <w:tcW w:type="dxa" w:w="3305"/>
            <w:vAlign w:val="top"/>
          </w:tcPr>
          <w:p>
            <w:pPr>
              <w:jc w:val="left"/>
            </w:pPr>
            <w:r>
              <w:rPr>
                <w:sz w:val="17"/>
              </w:rPr>
              <w:t>Carga real</w:t>
            </w:r>
          </w:p>
        </w:tc>
        <w:tc>
          <w:tcPr>
            <w:tcW w:type="dxa" w:w="3305"/>
            <w:vAlign w:val="top"/>
          </w:tcPr>
          <w:p>
            <w:pPr>
              <w:jc w:val="left"/>
            </w:pPr>
            <w:r>
              <w:rPr>
                <w:sz w:val="17"/>
              </w:rPr>
              <w:t>Rango sostenible</w:t>
            </w:r>
          </w:p>
        </w:tc>
      </w:tr>
      <w:tr>
        <w:tc>
          <w:tcPr>
            <w:tcW w:type="dxa" w:w="3305"/>
            <w:vAlign w:val="top"/>
          </w:tcPr>
          <w:p>
            <w:pPr>
              <w:jc w:val="left"/>
            </w:pPr>
            <w:r>
              <w:rPr>
                <w:sz w:val="17"/>
              </w:rPr>
              <w:t>Correos por cliente/semana</w:t>
            </w:r>
          </w:p>
        </w:tc>
        <w:tc>
          <w:tcPr>
            <w:tcW w:type="dxa" w:w="3305"/>
            <w:vAlign w:val="top"/>
          </w:tcPr>
          <w:p>
            <w:pPr>
              <w:jc w:val="left"/>
            </w:pPr>
            <w:r>
              <w:rPr>
                <w:sz w:val="17"/>
              </w:rPr>
              <w:t>Riesgo de saturación</w:t>
            </w:r>
          </w:p>
        </w:tc>
        <w:tc>
          <w:tcPr>
            <w:tcW w:type="dxa" w:w="3305"/>
            <w:vAlign w:val="top"/>
          </w:tcPr>
          <w:p>
            <w:pPr>
              <w:jc w:val="left"/>
            </w:pPr>
            <w:r>
              <w:rPr>
                <w:sz w:val="17"/>
              </w:rPr>
              <w:t>Solo cambios accionables</w:t>
            </w:r>
          </w:p>
        </w:tc>
      </w:tr>
      <w:tr>
        <w:tc>
          <w:tcPr>
            <w:tcW w:type="dxa" w:w="3305"/>
            <w:vAlign w:val="top"/>
          </w:tcPr>
          <w:p>
            <w:pPr>
              <w:jc w:val="left"/>
            </w:pPr>
            <w:r>
              <w:rPr>
                <w:sz w:val="17"/>
              </w:rPr>
              <w:t>Falsos positivos</w:t>
            </w:r>
          </w:p>
        </w:tc>
        <w:tc>
          <w:tcPr>
            <w:tcW w:type="dxa" w:w="3305"/>
            <w:vAlign w:val="top"/>
          </w:tcPr>
          <w:p>
            <w:pPr>
              <w:jc w:val="left"/>
            </w:pPr>
            <w:r>
              <w:rPr>
                <w:sz w:val="17"/>
              </w:rPr>
              <w:t>Calidad del tuning</w:t>
            </w:r>
          </w:p>
        </w:tc>
        <w:tc>
          <w:tcPr>
            <w:tcW w:type="dxa" w:w="3305"/>
            <w:vAlign w:val="top"/>
          </w:tcPr>
          <w:p>
            <w:pPr>
              <w:jc w:val="left"/>
            </w:pPr>
            <w:r>
              <w:rPr>
                <w:sz w:val="17"/>
              </w:rPr>
              <w:t>Tendencia descendente</w:t>
            </w:r>
          </w:p>
        </w:tc>
      </w:tr>
      <w:tr>
        <w:tc>
          <w:tcPr>
            <w:tcW w:type="dxa" w:w="3305"/>
            <w:vAlign w:val="top"/>
          </w:tcPr>
          <w:p>
            <w:pPr>
              <w:jc w:val="left"/>
            </w:pPr>
            <w:r>
              <w:rPr>
                <w:sz w:val="17"/>
              </w:rPr>
              <w:t>Latencia de ingesta y clasificación</w:t>
            </w:r>
          </w:p>
        </w:tc>
        <w:tc>
          <w:tcPr>
            <w:tcW w:type="dxa" w:w="3305"/>
            <w:vAlign w:val="top"/>
          </w:tcPr>
          <w:p>
            <w:pPr>
              <w:jc w:val="left"/>
            </w:pPr>
            <w:r>
              <w:rPr>
                <w:sz w:val="17"/>
              </w:rPr>
              <w:t>Eficiencia técnica</w:t>
            </w:r>
          </w:p>
        </w:tc>
        <w:tc>
          <w:tcPr>
            <w:tcW w:type="dxa" w:w="3305"/>
            <w:vAlign w:val="top"/>
          </w:tcPr>
          <w:p>
            <w:pPr>
              <w:jc w:val="left"/>
            </w:pPr>
            <w:r>
              <w:rPr>
                <w:sz w:val="17"/>
              </w:rPr>
              <w:t>Dentro del objetivo operativo</w:t>
            </w:r>
          </w:p>
        </w:tc>
      </w:tr>
      <w:tr>
        <w:tc>
          <w:tcPr>
            <w:tcW w:type="dxa" w:w="3305"/>
            <w:vAlign w:val="top"/>
          </w:tcPr>
          <w:p>
            <w:pPr>
              <w:jc w:val="left"/>
            </w:pPr>
            <w:r>
              <w:rPr>
                <w:sz w:val="17"/>
              </w:rPr>
              <w:t>Minutos de analista por caso</w:t>
            </w:r>
          </w:p>
        </w:tc>
        <w:tc>
          <w:tcPr>
            <w:tcW w:type="dxa" w:w="3305"/>
            <w:vAlign w:val="top"/>
          </w:tcPr>
          <w:p>
            <w:pPr>
              <w:jc w:val="left"/>
            </w:pPr>
            <w:r>
              <w:rPr>
                <w:sz w:val="17"/>
              </w:rPr>
              <w:t>Costo de servicio</w:t>
            </w:r>
          </w:p>
        </w:tc>
        <w:tc>
          <w:tcPr>
            <w:tcW w:type="dxa" w:w="3305"/>
            <w:vAlign w:val="top"/>
          </w:tcPr>
          <w:p>
            <w:pPr>
              <w:jc w:val="left"/>
            </w:pPr>
            <w:r>
              <w:rPr>
                <w:sz w:val="17"/>
              </w:rPr>
              <w:t>Medido por tipo</w:t>
            </w:r>
          </w:p>
        </w:tc>
      </w:tr>
      <w:tr>
        <w:tc>
          <w:tcPr>
            <w:tcW w:type="dxa" w:w="3305"/>
            <w:vAlign w:val="top"/>
          </w:tcPr>
          <w:p>
            <w:pPr>
              <w:jc w:val="left"/>
            </w:pPr>
            <w:r>
              <w:rPr>
                <w:sz w:val="17"/>
              </w:rPr>
              <w:t>Duplicados y pérdidas</w:t>
            </w:r>
          </w:p>
        </w:tc>
        <w:tc>
          <w:tcPr>
            <w:tcW w:type="dxa" w:w="3305"/>
            <w:vAlign w:val="top"/>
          </w:tcPr>
          <w:p>
            <w:pPr>
              <w:jc w:val="left"/>
            </w:pPr>
            <w:r>
              <w:rPr>
                <w:sz w:val="17"/>
              </w:rPr>
              <w:t>Confiabilidad</w:t>
            </w:r>
          </w:p>
        </w:tc>
        <w:tc>
          <w:tcPr>
            <w:tcW w:type="dxa" w:w="3305"/>
            <w:vAlign w:val="top"/>
          </w:tcPr>
          <w:p>
            <w:pPr>
              <w:jc w:val="left"/>
            </w:pPr>
            <w:r>
              <w:rPr>
                <w:sz w:val="17"/>
              </w:rPr>
              <w:t>Cero efectos duplicados; cero pérdidas conocidas</w:t>
            </w:r>
          </w:p>
        </w:tc>
      </w:tr>
      <w:tr>
        <w:tc>
          <w:tcPr>
            <w:tcW w:type="dxa" w:w="3305"/>
            <w:vAlign w:val="top"/>
          </w:tcPr>
          <w:p>
            <w:pPr>
              <w:jc w:val="left"/>
            </w:pPr>
            <w:r>
              <w:rPr>
                <w:sz w:val="17"/>
              </w:rPr>
              <w:t>Fugas multi-tenant</w:t>
            </w:r>
          </w:p>
        </w:tc>
        <w:tc>
          <w:tcPr>
            <w:tcW w:type="dxa" w:w="3305"/>
            <w:vAlign w:val="top"/>
          </w:tcPr>
          <w:p>
            <w:pPr>
              <w:jc w:val="left"/>
            </w:pPr>
            <w:r>
              <w:rPr>
                <w:sz w:val="17"/>
              </w:rPr>
              <w:t>Seguridad</w:t>
            </w:r>
          </w:p>
        </w:tc>
        <w:tc>
          <w:tcPr>
            <w:tcW w:type="dxa" w:w="3305"/>
            <w:vAlign w:val="top"/>
          </w:tcPr>
          <w:p>
            <w:pPr>
              <w:jc w:val="left"/>
            </w:pPr>
            <w:r>
              <w:rPr>
                <w:sz w:val="17"/>
              </w:rPr>
              <w:t>Cero</w:t>
            </w:r>
          </w:p>
        </w:tc>
      </w:tr>
    </w:tbl>
    <w:p/>
    <w:p>
      <w:pPr>
        <w:pStyle w:val="Heading1"/>
      </w:pPr>
      <w:r>
        <w:t>11. Estado actual y decisión solicitada</w:t>
      </w:r>
    </w:p>
    <w:p>
      <w:r>
        <w:t>El repositorio v1.2.0 dispone de un ruleset personalizado, configuraciones, routing, diccionario de campos, fixtures, resultados esperados, contratos JSON y políticas de cinco case types. La regla 100040 de CISA KEV fue movida a experimental para evitar una ruta productiva duplicada. Los estados de validación fueron normalizados. Estas mejoras permiten iniciar el diseño detallado de la aplicación, pero no constituyen una implementación del servicio.</w:t>
      </w:r>
    </w:p>
    <w:p>
      <w:r>
        <w:t>La decisión solicitada a la jefatura es autorizar la construcción del MVP bajo el alcance descrito, definir quién será responsable del producto y aprobar un piloto limitado. La aprobación debe incluir tiempo para desarrollo, validación de reglas, definición de SLA y disponibilidad de un analista. Sin esas condiciones, el proyecto puede seguir produciendo documentación y reglas, pero no demostrar su valor como servicio.</w:t>
      </w:r>
    </w:p>
    <w:p>
      <w:pPr>
        <w:pStyle w:val="Heading1"/>
      </w:pPr>
      <w:r>
        <w:t>Fuentes internas consultadas</w:t>
      </w:r>
    </w:p>
    <w:p>
      <w:r>
        <w:t>Este informe se elaboró utilizando los artefactos técnicos disponibles en el repositorio `franciscosdafas133/kriptome-minisoc`, principalmente en el commit ab772d198719. La relación siguiente permite rastrear las decisiones del documento hasta sus fuentes internas.</w:t>
      </w:r>
    </w:p>
    <w:p>
      <w:pPr>
        <w:pStyle w:val="ListBullet"/>
        <w:jc w:val="left"/>
      </w:pPr>
      <w:r>
        <w:rPr>
          <w:rFonts w:ascii="Liberation Mono" w:hAnsi="Liberation Mono"/>
          <w:sz w:val="17"/>
        </w:rPr>
        <w:t>REPO_ALIGNMENT_REPORT.md</w:t>
      </w:r>
    </w:p>
    <w:p>
      <w:pPr>
        <w:pStyle w:val="ListBullet"/>
        <w:jc w:val="left"/>
      </w:pPr>
      <w:r>
        <w:rPr>
          <w:rFonts w:ascii="Liberation Mono" w:hAnsi="Liberation Mono"/>
          <w:sz w:val="17"/>
        </w:rPr>
        <w:t>REGLAS_TUNEADAS/README.md</w:t>
      </w:r>
    </w:p>
    <w:p>
      <w:pPr>
        <w:pStyle w:val="ListBullet"/>
        <w:jc w:val="left"/>
      </w:pPr>
      <w:r>
        <w:rPr>
          <w:rFonts w:ascii="Liberation Mono" w:hAnsi="Liberation Mono"/>
          <w:sz w:val="17"/>
        </w:rPr>
        <w:t>REGLAS_TUNEADAS/CHANGELOG.md</w:t>
      </w:r>
    </w:p>
    <w:p>
      <w:pPr>
        <w:pStyle w:val="ListBullet"/>
        <w:jc w:val="left"/>
      </w:pPr>
      <w:r>
        <w:rPr>
          <w:rFonts w:ascii="Liberation Mono" w:hAnsi="Liberation Mono"/>
          <w:sz w:val="17"/>
        </w:rPr>
        <w:t>REGLAS_TUNEADAS/routing/routing_matrix.csv</w:t>
      </w:r>
    </w:p>
    <w:p>
      <w:pPr>
        <w:pStyle w:val="ListBullet"/>
        <w:jc w:val="left"/>
      </w:pPr>
      <w:r>
        <w:rPr>
          <w:rFonts w:ascii="Liberation Mono" w:hAnsi="Liberation Mono"/>
          <w:sz w:val="17"/>
        </w:rPr>
        <w:t>policies/case_types/*.yaml</w:t>
      </w:r>
    </w:p>
    <w:p>
      <w:pPr>
        <w:pStyle w:val="ListBullet"/>
        <w:jc w:val="left"/>
      </w:pPr>
      <w:r>
        <w:rPr>
          <w:rFonts w:ascii="Liberation Mono" w:hAnsi="Liberation Mono"/>
          <w:sz w:val="17"/>
        </w:rPr>
        <w:t>specifications/*.json</w:t>
      </w:r>
    </w:p>
    <w:p>
      <w:pPr>
        <w:pStyle w:val="Heading1"/>
      </w:pPr>
      <w:r>
        <w:t>12. Escenarios de valor para el cliente</w:t>
      </w:r>
    </w:p>
    <w:p>
      <w:pPr>
        <w:jc w:val="both"/>
      </w:pPr>
      <w:r>
        <w:t>Para que la propuesta pueda evaluarse desde negocio, es útil observar qué cambia para el cliente en situaciones concretas. En un escenario de fuerza bruta, una instalación de Wazuh puede mostrar decenas de alertas. Kriptome convierte esas señales en un caso, agrega el activo afectado, determina si la cuenta es privilegiada, verifica reputación y entrega una sola comunicación. El valor no es detectar un fallo más, sino reducir la cantidad de decisiones que el cliente debe tomar.</w:t>
      </w:r>
    </w:p>
    <w:p>
      <w:pPr>
        <w:jc w:val="both"/>
      </w:pPr>
      <w:r>
        <w:t>En un escenario de vulnerabilidad, el cliente puede tener cientos de CVE. Kriptome no debe enviar un correo por cada registro. Prioriza aquellas presentes en CISA KEV, asociadas a activos críticos o expuestos. El resultado es una cola de remediación explicada: qué programa actualizar, por qué debe hacerse primero y cuál es el plazo. Esta capacidad permite que un cliente con recursos limitados concentre su esfuerzo.</w:t>
      </w:r>
    </w:p>
    <w:p>
      <w:pPr>
        <w:jc w:val="both"/>
      </w:pPr>
      <w:r>
        <w:t>En un escenario de salud del agente, una desconexión aislada y breve puede ser ruido. Sin embargo, la pérdida simultánea de varios agentes críticos puede indicar una falla de red, mantenimiento no informado o manipulación. Kriptome relaciona los eventos y comunica el alcance, evitando que el cliente revise cada endpoint de manera separada.</w:t>
      </w:r>
    </w:p>
    <w:p>
      <w:pPr>
        <w:pStyle w:val="Heading1"/>
      </w:pPr>
      <w:r>
        <w:t>13. Evolución propuesta del producto</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Etapa</w:t>
            </w:r>
          </w:p>
        </w:tc>
        <w:tc>
          <w:tcPr>
            <w:tcW w:type="dxa" w:w="2479"/>
            <w:shd w:fill="D9E2F3"/>
          </w:tcPr>
          <w:p>
            <w:r>
              <w:rPr>
                <w:b/>
                <w:sz w:val="17"/>
              </w:rPr>
              <w:t>Objetivo</w:t>
            </w:r>
          </w:p>
        </w:tc>
        <w:tc>
          <w:tcPr>
            <w:tcW w:type="dxa" w:w="2479"/>
            <w:shd w:fill="D9E2F3"/>
          </w:tcPr>
          <w:p>
            <w:r>
              <w:rPr>
                <w:b/>
                <w:sz w:val="17"/>
              </w:rPr>
              <w:t>Capacidad habilitada</w:t>
            </w:r>
          </w:p>
        </w:tc>
        <w:tc>
          <w:tcPr>
            <w:tcW w:type="dxa" w:w="2479"/>
            <w:shd w:fill="D9E2F3"/>
          </w:tcPr>
          <w:p>
            <w:r>
              <w:rPr>
                <w:b/>
                <w:sz w:val="17"/>
              </w:rPr>
              <w:t>Evidencia de avance</w:t>
            </w:r>
          </w:p>
        </w:tc>
      </w:tr>
      <w:tr>
        <w:tc>
          <w:tcPr>
            <w:tcW w:type="dxa" w:w="2479"/>
          </w:tcPr>
          <w:p>
            <w:pPr>
              <w:jc w:val="left"/>
            </w:pPr>
            <w:r>
              <w:rPr>
                <w:sz w:val="17"/>
              </w:rPr>
              <w:t>MVP</w:t>
            </w:r>
          </w:p>
        </w:tc>
        <w:tc>
          <w:tcPr>
            <w:tcW w:type="dxa" w:w="2479"/>
          </w:tcPr>
          <w:p>
            <w:pPr>
              <w:jc w:val="left"/>
            </w:pPr>
            <w:r>
              <w:rPr>
                <w:sz w:val="17"/>
              </w:rPr>
              <w:t>Demostrar el motor de casos</w:t>
            </w:r>
          </w:p>
        </w:tc>
        <w:tc>
          <w:tcPr>
            <w:tcW w:type="dxa" w:w="2479"/>
          </w:tcPr>
          <w:p>
            <w:pPr>
              <w:jc w:val="left"/>
            </w:pPr>
            <w:r>
              <w:rPr>
                <w:sz w:val="17"/>
              </w:rPr>
              <w:t>Cinco case types y correo controlado</w:t>
            </w:r>
          </w:p>
        </w:tc>
        <w:tc>
          <w:tcPr>
            <w:tcW w:type="dxa" w:w="2479"/>
          </w:tcPr>
          <w:p>
            <w:pPr>
              <w:jc w:val="left"/>
            </w:pPr>
            <w:r>
              <w:rPr>
                <w:sz w:val="17"/>
              </w:rPr>
              <w:t>Pruebas end-to-end</w:t>
            </w:r>
          </w:p>
        </w:tc>
      </w:tr>
      <w:tr>
        <w:tc>
          <w:tcPr>
            <w:tcW w:type="dxa" w:w="2479"/>
          </w:tcPr>
          <w:p>
            <w:pPr>
              <w:jc w:val="left"/>
            </w:pPr>
            <w:r>
              <w:rPr>
                <w:sz w:val="17"/>
              </w:rPr>
              <w:t>Piloto</w:t>
            </w:r>
          </w:p>
        </w:tc>
        <w:tc>
          <w:tcPr>
            <w:tcW w:type="dxa" w:w="2479"/>
          </w:tcPr>
          <w:p>
            <w:pPr>
              <w:jc w:val="left"/>
            </w:pPr>
            <w:r>
              <w:rPr>
                <w:sz w:val="17"/>
              </w:rPr>
              <w:t>Validar operación con clientes</w:t>
            </w:r>
          </w:p>
        </w:tc>
        <w:tc>
          <w:tcPr>
            <w:tcW w:type="dxa" w:w="2479"/>
          </w:tcPr>
          <w:p>
            <w:pPr>
              <w:jc w:val="left"/>
            </w:pPr>
            <w:r>
              <w:rPr>
                <w:sz w:val="17"/>
              </w:rPr>
              <w:t>SLA, revisión y digest</w:t>
            </w:r>
          </w:p>
        </w:tc>
        <w:tc>
          <w:tcPr>
            <w:tcW w:type="dxa" w:w="2479"/>
          </w:tcPr>
          <w:p>
            <w:pPr>
              <w:jc w:val="left"/>
            </w:pPr>
            <w:r>
              <w:rPr>
                <w:sz w:val="17"/>
              </w:rPr>
              <w:t>KPIs y aceptación</w:t>
            </w:r>
          </w:p>
        </w:tc>
      </w:tr>
      <w:tr>
        <w:tc>
          <w:tcPr>
            <w:tcW w:type="dxa" w:w="2479"/>
          </w:tcPr>
          <w:p>
            <w:pPr>
              <w:jc w:val="left"/>
            </w:pPr>
            <w:r>
              <w:rPr>
                <w:sz w:val="17"/>
              </w:rPr>
              <w:t>Producto inicial</w:t>
            </w:r>
          </w:p>
        </w:tc>
        <w:tc>
          <w:tcPr>
            <w:tcW w:type="dxa" w:w="2479"/>
          </w:tcPr>
          <w:p>
            <w:pPr>
              <w:jc w:val="left"/>
            </w:pPr>
            <w:r>
              <w:rPr>
                <w:sz w:val="17"/>
              </w:rPr>
              <w:t>Estandarizar onboarding</w:t>
            </w:r>
          </w:p>
        </w:tc>
        <w:tc>
          <w:tcPr>
            <w:tcW w:type="dxa" w:w="2479"/>
          </w:tcPr>
          <w:p>
            <w:pPr>
              <w:jc w:val="left"/>
            </w:pPr>
            <w:r>
              <w:rPr>
                <w:sz w:val="17"/>
              </w:rPr>
              <w:t>Portal básico, reportes y procedimientos</w:t>
            </w:r>
          </w:p>
        </w:tc>
        <w:tc>
          <w:tcPr>
            <w:tcW w:type="dxa" w:w="2479"/>
          </w:tcPr>
          <w:p>
            <w:pPr>
              <w:jc w:val="left"/>
            </w:pPr>
            <w:r>
              <w:rPr>
                <w:sz w:val="17"/>
              </w:rPr>
              <w:t>Clientes recurrentes</w:t>
            </w:r>
          </w:p>
        </w:tc>
      </w:tr>
      <w:tr>
        <w:tc>
          <w:tcPr>
            <w:tcW w:type="dxa" w:w="2479"/>
          </w:tcPr>
          <w:p>
            <w:pPr>
              <w:jc w:val="left"/>
            </w:pPr>
            <w:r>
              <w:rPr>
                <w:sz w:val="17"/>
              </w:rPr>
              <w:t>Expansión</w:t>
            </w:r>
          </w:p>
        </w:tc>
        <w:tc>
          <w:tcPr>
            <w:tcW w:type="dxa" w:w="2479"/>
          </w:tcPr>
          <w:p>
            <w:pPr>
              <w:jc w:val="left"/>
            </w:pPr>
            <w:r>
              <w:rPr>
                <w:sz w:val="17"/>
              </w:rPr>
              <w:t>Aumentar cobertura</w:t>
            </w:r>
          </w:p>
        </w:tc>
        <w:tc>
          <w:tcPr>
            <w:tcW w:type="dxa" w:w="2479"/>
          </w:tcPr>
          <w:p>
            <w:pPr>
              <w:jc w:val="left"/>
            </w:pPr>
            <w:r>
              <w:rPr>
                <w:sz w:val="17"/>
              </w:rPr>
              <w:t>M365, AD avanzado, VPN/firewall</w:t>
            </w:r>
          </w:p>
        </w:tc>
        <w:tc>
          <w:tcPr>
            <w:tcW w:type="dxa" w:w="2479"/>
          </w:tcPr>
          <w:p>
            <w:pPr>
              <w:jc w:val="left"/>
            </w:pPr>
            <w:r>
              <w:rPr>
                <w:sz w:val="17"/>
              </w:rPr>
              <w:t>Demanda y tuning</w:t>
            </w:r>
          </w:p>
        </w:tc>
      </w:tr>
      <w:tr>
        <w:tc>
          <w:tcPr>
            <w:tcW w:type="dxa" w:w="2479"/>
          </w:tcPr>
          <w:p>
            <w:pPr>
              <w:jc w:val="left"/>
            </w:pPr>
            <w:r>
              <w:rPr>
                <w:sz w:val="17"/>
              </w:rPr>
              <w:t>Madurez</w:t>
            </w:r>
          </w:p>
        </w:tc>
        <w:tc>
          <w:tcPr>
            <w:tcW w:type="dxa" w:w="2479"/>
          </w:tcPr>
          <w:p>
            <w:pPr>
              <w:jc w:val="left"/>
            </w:pPr>
            <w:r>
              <w:rPr>
                <w:sz w:val="17"/>
              </w:rPr>
              <w:t>Mejorar continuidad</w:t>
            </w:r>
          </w:p>
        </w:tc>
        <w:tc>
          <w:tcPr>
            <w:tcW w:type="dxa" w:w="2479"/>
          </w:tcPr>
          <w:p>
            <w:pPr>
              <w:jc w:val="left"/>
            </w:pPr>
            <w:r>
              <w:rPr>
                <w:sz w:val="17"/>
              </w:rPr>
              <w:t>Alta disponibilidad y automatización aprobada</w:t>
            </w:r>
          </w:p>
        </w:tc>
        <w:tc>
          <w:tcPr>
            <w:tcW w:type="dxa" w:w="2479"/>
          </w:tcPr>
          <w:p>
            <w:pPr>
              <w:jc w:val="left"/>
            </w:pPr>
            <w:r>
              <w:rPr>
                <w:sz w:val="17"/>
              </w:rPr>
              <w:t>SLA y capacidad</w:t>
            </w:r>
          </w:p>
        </w:tc>
      </w:tr>
    </w:tbl>
    <w:p/>
    <w:p>
      <w:pPr>
        <w:jc w:val="both"/>
      </w:pPr>
      <w:r>
        <w:t>Cada etapa depende de la anterior. La expansión de familias no debe realizarse si la deduplicación, el aislamiento o la operación humana todavía producen errores. Este orden protege la reputación del servicio y evita convertir el repositorio en una colección de reglas que no pueden operarse.</w:t>
      </w:r>
    </w:p>
    <w:p>
      <w:pPr>
        <w:pStyle w:val="Heading1"/>
      </w:pPr>
      <w:r>
        <w:t>14. Decisiones requeridas de la jefatura</w:t>
      </w:r>
    </w:p>
    <w:p>
      <w:pPr>
        <w:pStyle w:val="ListBullet"/>
        <w:jc w:val="left"/>
      </w:pPr>
      <w:r>
        <w:t>Aprobar el alcance de cinco casos para el MVP y evitar ampliaciones durante la primera implementación.</w:t>
      </w:r>
    </w:p>
    <w:p>
      <w:pPr>
        <w:pStyle w:val="ListBullet"/>
        <w:jc w:val="left"/>
      </w:pPr>
      <w:r>
        <w:t>Designar un responsable de producto que resuelva prioridades y acepte criterios de salida.</w:t>
      </w:r>
    </w:p>
    <w:p>
      <w:pPr>
        <w:pStyle w:val="ListBullet"/>
        <w:jc w:val="left"/>
      </w:pPr>
      <w:r>
        <w:t>Asignar tiempo de un analista para procedimientos, revisión y shadow mode.</w:t>
      </w:r>
    </w:p>
    <w:p>
      <w:pPr>
        <w:pStyle w:val="ListBullet"/>
        <w:jc w:val="left"/>
      </w:pPr>
      <w:r>
        <w:t>Definir presupuesto de infraestructura, correo, IA y proveedores de reputación.</w:t>
      </w:r>
    </w:p>
    <w:p>
      <w:pPr>
        <w:pStyle w:val="ListBullet"/>
        <w:jc w:val="left"/>
      </w:pPr>
      <w:r>
        <w:t>Seleccionar uno a tres clientes piloto con contactos y activos críticos identificados.</w:t>
      </w:r>
    </w:p>
    <w:p>
      <w:pPr>
        <w:pStyle w:val="ListBullet"/>
        <w:jc w:val="left"/>
      </w:pPr>
      <w:r>
        <w:t>Aprobar un SLA realista y la forma en que se comunicarán limitaciones.</w:t>
      </w:r>
    </w:p>
    <w:p>
      <w:pPr>
        <w:jc w:val="both"/>
      </w:pPr>
      <w:r>
        <w:t>Sin estas decisiones, el equipo puede continuar refinando reglas y documentación, pero no podrá demostrar un servicio operativo. La aprobación debe convertir el proyecto en un conjunto de entregables con responsables, no solo en una intención tecnológica.</w:t>
      </w:r>
    </w:p>
    <w:p>
      <w:pPr>
        <w:pStyle w:val="Heading1"/>
      </w:pPr>
      <w:r>
        <w:t>15. Estructura inicial de la oferta comercial</w:t>
      </w:r>
    </w:p>
    <w:p>
      <w:pPr>
        <w:jc w:val="both"/>
      </w:pPr>
      <w:r>
        <w:t>La oferta comercial debe reflejar el esfuerzo operativo y la cobertura, no solamente la cantidad de agentes. Un plan puede incluir un volumen de casos revisados, horarios de atención, canales y tipos de reportes. Las ampliaciones de fuentes, retención y guardia se cotizan de forma separada. Esta estructura evita vender una promesa ilimitada que no pueda sostenerse.</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6"/>
              </w:rPr>
              <w:t>Componente</w:t>
            </w:r>
          </w:p>
        </w:tc>
        <w:tc>
          <w:tcPr>
            <w:tcW w:type="dxa" w:w="2479"/>
            <w:shd w:fill="D9E2F3"/>
          </w:tcPr>
          <w:p>
            <w:r>
              <w:rPr>
                <w:b/>
                <w:sz w:val="16"/>
              </w:rPr>
              <w:t>Piloto</w:t>
            </w:r>
          </w:p>
        </w:tc>
        <w:tc>
          <w:tcPr>
            <w:tcW w:type="dxa" w:w="2479"/>
            <w:shd w:fill="D9E2F3"/>
          </w:tcPr>
          <w:p>
            <w:r>
              <w:rPr>
                <w:b/>
                <w:sz w:val="16"/>
              </w:rPr>
              <w:t>Servicio inicial</w:t>
            </w:r>
          </w:p>
        </w:tc>
        <w:tc>
          <w:tcPr>
            <w:tcW w:type="dxa" w:w="2479"/>
            <w:shd w:fill="D9E2F3"/>
          </w:tcPr>
          <w:p>
            <w:r>
              <w:rPr>
                <w:b/>
                <w:sz w:val="16"/>
              </w:rPr>
              <w:t>Evolución</w:t>
            </w:r>
          </w:p>
        </w:tc>
      </w:tr>
      <w:tr>
        <w:tc>
          <w:tcPr>
            <w:tcW w:type="dxa" w:w="2479"/>
          </w:tcPr>
          <w:p>
            <w:pPr>
              <w:jc w:val="left"/>
            </w:pPr>
            <w:r>
              <w:rPr>
                <w:sz w:val="16"/>
              </w:rPr>
              <w:t>Cobertura</w:t>
            </w:r>
          </w:p>
        </w:tc>
        <w:tc>
          <w:tcPr>
            <w:tcW w:type="dxa" w:w="2479"/>
          </w:tcPr>
          <w:p>
            <w:pPr>
              <w:jc w:val="left"/>
            </w:pPr>
            <w:r>
              <w:rPr>
                <w:sz w:val="16"/>
              </w:rPr>
              <w:t>Horario definido</w:t>
            </w:r>
          </w:p>
        </w:tc>
        <w:tc>
          <w:tcPr>
            <w:tcW w:type="dxa" w:w="2479"/>
          </w:tcPr>
          <w:p>
            <w:pPr>
              <w:jc w:val="left"/>
            </w:pPr>
            <w:r>
              <w:rPr>
                <w:sz w:val="16"/>
              </w:rPr>
              <w:t>Horario laboral con escalamiento</w:t>
            </w:r>
          </w:p>
        </w:tc>
        <w:tc>
          <w:tcPr>
            <w:tcW w:type="dxa" w:w="2479"/>
          </w:tcPr>
          <w:p>
            <w:pPr>
              <w:jc w:val="left"/>
            </w:pPr>
            <w:r>
              <w:rPr>
                <w:sz w:val="16"/>
              </w:rPr>
              <w:t>Guardia formal</w:t>
            </w:r>
          </w:p>
        </w:tc>
      </w:tr>
      <w:tr>
        <w:tc>
          <w:tcPr>
            <w:tcW w:type="dxa" w:w="2479"/>
          </w:tcPr>
          <w:p>
            <w:pPr>
              <w:jc w:val="left"/>
            </w:pPr>
            <w:r>
              <w:rPr>
                <w:sz w:val="16"/>
              </w:rPr>
              <w:t>Casos</w:t>
            </w:r>
          </w:p>
        </w:tc>
        <w:tc>
          <w:tcPr>
            <w:tcW w:type="dxa" w:w="2479"/>
          </w:tcPr>
          <w:p>
            <w:pPr>
              <w:jc w:val="left"/>
            </w:pPr>
            <w:r>
              <w:rPr>
                <w:sz w:val="16"/>
              </w:rPr>
              <w:t>Cinco case types</w:t>
            </w:r>
          </w:p>
        </w:tc>
        <w:tc>
          <w:tcPr>
            <w:tcW w:type="dxa" w:w="2479"/>
          </w:tcPr>
          <w:p>
            <w:pPr>
              <w:jc w:val="left"/>
            </w:pPr>
            <w:r>
              <w:rPr>
                <w:sz w:val="16"/>
              </w:rPr>
              <w:t>Familias validadas</w:t>
            </w:r>
          </w:p>
        </w:tc>
        <w:tc>
          <w:tcPr>
            <w:tcW w:type="dxa" w:w="2479"/>
          </w:tcPr>
          <w:p>
            <w:pPr>
              <w:jc w:val="left"/>
            </w:pPr>
            <w:r>
              <w:rPr>
                <w:sz w:val="16"/>
              </w:rPr>
              <w:t>Cobertura ampliada</w:t>
            </w:r>
          </w:p>
        </w:tc>
      </w:tr>
      <w:tr>
        <w:tc>
          <w:tcPr>
            <w:tcW w:type="dxa" w:w="2479"/>
          </w:tcPr>
          <w:p>
            <w:pPr>
              <w:jc w:val="left"/>
            </w:pPr>
            <w:r>
              <w:rPr>
                <w:sz w:val="16"/>
              </w:rPr>
              <w:t>Comunicación</w:t>
            </w:r>
          </w:p>
        </w:tc>
        <w:tc>
          <w:tcPr>
            <w:tcW w:type="dxa" w:w="2479"/>
          </w:tcPr>
          <w:p>
            <w:pPr>
              <w:jc w:val="left"/>
            </w:pPr>
            <w:r>
              <w:rPr>
                <w:sz w:val="16"/>
              </w:rPr>
              <w:t>Correo y confirmación</w:t>
            </w:r>
          </w:p>
        </w:tc>
        <w:tc>
          <w:tcPr>
            <w:tcW w:type="dxa" w:w="2479"/>
          </w:tcPr>
          <w:p>
            <w:pPr>
              <w:jc w:val="left"/>
            </w:pPr>
            <w:r>
              <w:rPr>
                <w:sz w:val="16"/>
              </w:rPr>
              <w:t>Correo, digest y reportes</w:t>
            </w:r>
          </w:p>
        </w:tc>
        <w:tc>
          <w:tcPr>
            <w:tcW w:type="dxa" w:w="2479"/>
          </w:tcPr>
          <w:p>
            <w:pPr>
              <w:jc w:val="left"/>
            </w:pPr>
            <w:r>
              <w:rPr>
                <w:sz w:val="16"/>
              </w:rPr>
              <w:t>Portal e integraciones</w:t>
            </w:r>
          </w:p>
        </w:tc>
      </w:tr>
      <w:tr>
        <w:tc>
          <w:tcPr>
            <w:tcW w:type="dxa" w:w="2479"/>
          </w:tcPr>
          <w:p>
            <w:pPr>
              <w:jc w:val="left"/>
            </w:pPr>
            <w:r>
              <w:rPr>
                <w:sz w:val="16"/>
              </w:rPr>
              <w:t>Revisión</w:t>
            </w:r>
          </w:p>
        </w:tc>
        <w:tc>
          <w:tcPr>
            <w:tcW w:type="dxa" w:w="2479"/>
          </w:tcPr>
          <w:p>
            <w:pPr>
              <w:jc w:val="left"/>
            </w:pPr>
            <w:r>
              <w:rPr>
                <w:sz w:val="16"/>
              </w:rPr>
              <w:t>Limitada y medida</w:t>
            </w:r>
          </w:p>
        </w:tc>
        <w:tc>
          <w:tcPr>
            <w:tcW w:type="dxa" w:w="2479"/>
          </w:tcPr>
          <w:p>
            <w:pPr>
              <w:jc w:val="left"/>
            </w:pPr>
            <w:r>
              <w:rPr>
                <w:sz w:val="16"/>
              </w:rPr>
              <w:t>Según SLA</w:t>
            </w:r>
          </w:p>
        </w:tc>
        <w:tc>
          <w:tcPr>
            <w:tcW w:type="dxa" w:w="2479"/>
          </w:tcPr>
          <w:p>
            <w:pPr>
              <w:jc w:val="left"/>
            </w:pPr>
            <w:r>
              <w:rPr>
                <w:sz w:val="16"/>
              </w:rPr>
              <w:t>Segundo nivel</w:t>
            </w:r>
          </w:p>
        </w:tc>
      </w:tr>
      <w:tr>
        <w:tc>
          <w:tcPr>
            <w:tcW w:type="dxa" w:w="2479"/>
          </w:tcPr>
          <w:p>
            <w:pPr>
              <w:jc w:val="left"/>
            </w:pPr>
            <w:r>
              <w:rPr>
                <w:sz w:val="16"/>
              </w:rPr>
              <w:t>Retención</w:t>
            </w:r>
          </w:p>
        </w:tc>
        <w:tc>
          <w:tcPr>
            <w:tcW w:type="dxa" w:w="2479"/>
          </w:tcPr>
          <w:p>
            <w:pPr>
              <w:jc w:val="left"/>
            </w:pPr>
            <w:r>
              <w:rPr>
                <w:sz w:val="16"/>
              </w:rPr>
              <w:t>Corta y controlada</w:t>
            </w:r>
          </w:p>
        </w:tc>
        <w:tc>
          <w:tcPr>
            <w:tcW w:type="dxa" w:w="2479"/>
          </w:tcPr>
          <w:p>
            <w:pPr>
              <w:jc w:val="left"/>
            </w:pPr>
            <w:r>
              <w:rPr>
                <w:sz w:val="16"/>
              </w:rPr>
              <w:t>Política acordada</w:t>
            </w:r>
          </w:p>
        </w:tc>
        <w:tc>
          <w:tcPr>
            <w:tcW w:type="dxa" w:w="2479"/>
          </w:tcPr>
          <w:p>
            <w:pPr>
              <w:jc w:val="left"/>
            </w:pPr>
            <w:r>
              <w:rPr>
                <w:sz w:val="16"/>
              </w:rPr>
              <w:t>Opciones regulatorias</w:t>
            </w:r>
          </w:p>
        </w:tc>
      </w:tr>
    </w:tbl>
    <w:p/>
    <w:p>
      <w:pPr>
        <w:pStyle w:val="Heading1"/>
      </w:pPr>
      <w:r>
        <w:t>16. Matriz de valor y esfuerzo</w:t>
      </w:r>
    </w:p>
    <w:tbl>
      <w:tblPr>
        <w:tblStyle w:val="TableGrid"/>
        <w:tblW w:type="auto" w:w="0"/>
        <w:jc w:val="center"/>
        <w:tblLook w:firstColumn="1" w:firstRow="1" w:lastColumn="0" w:lastRow="0" w:noHBand="0" w:noVBand="1" w:val="04A0"/>
      </w:tblPr>
      <w:tblGrid>
        <w:gridCol w:w="1983"/>
        <w:gridCol w:w="1983"/>
        <w:gridCol w:w="1983"/>
        <w:gridCol w:w="1983"/>
        <w:gridCol w:w="1983"/>
      </w:tblGrid>
      <w:tr>
        <w:trPr>
          <w:tblHeader w:val="true"/>
        </w:trPr>
        <w:tc>
          <w:tcPr>
            <w:tcW w:type="dxa" w:w="1983"/>
            <w:shd w:fill="D9E2F3"/>
          </w:tcPr>
          <w:p>
            <w:r>
              <w:rPr>
                <w:b/>
                <w:sz w:val="16"/>
              </w:rPr>
              <w:t>Capacidad</w:t>
            </w:r>
          </w:p>
        </w:tc>
        <w:tc>
          <w:tcPr>
            <w:tcW w:type="dxa" w:w="1983"/>
            <w:shd w:fill="D9E2F3"/>
          </w:tcPr>
          <w:p>
            <w:r>
              <w:rPr>
                <w:b/>
                <w:sz w:val="16"/>
              </w:rPr>
              <w:t>Valor cliente</w:t>
            </w:r>
          </w:p>
        </w:tc>
        <w:tc>
          <w:tcPr>
            <w:tcW w:type="dxa" w:w="1983"/>
            <w:shd w:fill="D9E2F3"/>
          </w:tcPr>
          <w:p>
            <w:r>
              <w:rPr>
                <w:b/>
                <w:sz w:val="16"/>
              </w:rPr>
              <w:t>Esfuerzo técnico</w:t>
            </w:r>
          </w:p>
        </w:tc>
        <w:tc>
          <w:tcPr>
            <w:tcW w:type="dxa" w:w="1983"/>
            <w:shd w:fill="D9E2F3"/>
          </w:tcPr>
          <w:p>
            <w:r>
              <w:rPr>
                <w:b/>
                <w:sz w:val="16"/>
              </w:rPr>
              <w:t>Esfuerzo operativo</w:t>
            </w:r>
          </w:p>
        </w:tc>
        <w:tc>
          <w:tcPr>
            <w:tcW w:type="dxa" w:w="1983"/>
            <w:shd w:fill="D9E2F3"/>
          </w:tcPr>
          <w:p>
            <w:r>
              <w:rPr>
                <w:b/>
                <w:sz w:val="16"/>
              </w:rPr>
              <w:t>Prioridad</w:t>
            </w:r>
          </w:p>
        </w:tc>
      </w:tr>
      <w:tr>
        <w:tc>
          <w:tcPr>
            <w:tcW w:type="dxa" w:w="1983"/>
          </w:tcPr>
          <w:p>
            <w:pPr>
              <w:jc w:val="left"/>
            </w:pPr>
            <w:r>
              <w:rPr>
                <w:sz w:val="16"/>
              </w:rPr>
              <w:t>Deduplicación</w:t>
            </w:r>
          </w:p>
        </w:tc>
        <w:tc>
          <w:tcPr>
            <w:tcW w:type="dxa" w:w="1983"/>
          </w:tcPr>
          <w:p>
            <w:pPr>
              <w:jc w:val="left"/>
            </w:pPr>
            <w:r>
              <w:rPr>
                <w:sz w:val="16"/>
              </w:rPr>
              <w:t>Muy alto</w:t>
            </w:r>
          </w:p>
        </w:tc>
        <w:tc>
          <w:tcPr>
            <w:tcW w:type="dxa" w:w="1983"/>
          </w:tcPr>
          <w:p>
            <w:pPr>
              <w:jc w:val="left"/>
            </w:pPr>
            <w:r>
              <w:rPr>
                <w:sz w:val="16"/>
              </w:rPr>
              <w:t>Medio</w:t>
            </w:r>
          </w:p>
        </w:tc>
        <w:tc>
          <w:tcPr>
            <w:tcW w:type="dxa" w:w="1983"/>
          </w:tcPr>
          <w:p>
            <w:pPr>
              <w:jc w:val="left"/>
            </w:pPr>
            <w:r>
              <w:rPr>
                <w:sz w:val="16"/>
              </w:rPr>
              <w:t>Bajo</w:t>
            </w:r>
          </w:p>
        </w:tc>
        <w:tc>
          <w:tcPr>
            <w:tcW w:type="dxa" w:w="1983"/>
          </w:tcPr>
          <w:p>
            <w:pPr>
              <w:jc w:val="left"/>
            </w:pPr>
            <w:r>
              <w:rPr>
                <w:sz w:val="16"/>
              </w:rPr>
              <w:t>MVP</w:t>
            </w:r>
          </w:p>
        </w:tc>
      </w:tr>
      <w:tr>
        <w:tc>
          <w:tcPr>
            <w:tcW w:type="dxa" w:w="1983"/>
          </w:tcPr>
          <w:p>
            <w:pPr>
              <w:jc w:val="left"/>
            </w:pPr>
            <w:r>
              <w:rPr>
                <w:sz w:val="16"/>
              </w:rPr>
              <w:t>Tenant/activos</w:t>
            </w:r>
          </w:p>
        </w:tc>
        <w:tc>
          <w:tcPr>
            <w:tcW w:type="dxa" w:w="1983"/>
          </w:tcPr>
          <w:p>
            <w:pPr>
              <w:jc w:val="left"/>
            </w:pPr>
            <w:r>
              <w:rPr>
                <w:sz w:val="16"/>
              </w:rPr>
              <w:t>Muy alto</w:t>
            </w:r>
          </w:p>
        </w:tc>
        <w:tc>
          <w:tcPr>
            <w:tcW w:type="dxa" w:w="1983"/>
          </w:tcPr>
          <w:p>
            <w:pPr>
              <w:jc w:val="left"/>
            </w:pPr>
            <w:r>
              <w:rPr>
                <w:sz w:val="16"/>
              </w:rPr>
              <w:t>Alto</w:t>
            </w:r>
          </w:p>
        </w:tc>
        <w:tc>
          <w:tcPr>
            <w:tcW w:type="dxa" w:w="1983"/>
          </w:tcPr>
          <w:p>
            <w:pPr>
              <w:jc w:val="left"/>
            </w:pPr>
            <w:r>
              <w:rPr>
                <w:sz w:val="16"/>
              </w:rPr>
              <w:t>Medio</w:t>
            </w:r>
          </w:p>
        </w:tc>
        <w:tc>
          <w:tcPr>
            <w:tcW w:type="dxa" w:w="1983"/>
          </w:tcPr>
          <w:p>
            <w:pPr>
              <w:jc w:val="left"/>
            </w:pPr>
            <w:r>
              <w:rPr>
                <w:sz w:val="16"/>
              </w:rPr>
              <w:t>MVP</w:t>
            </w:r>
          </w:p>
        </w:tc>
      </w:tr>
      <w:tr>
        <w:tc>
          <w:tcPr>
            <w:tcW w:type="dxa" w:w="1983"/>
          </w:tcPr>
          <w:p>
            <w:pPr>
              <w:jc w:val="left"/>
            </w:pPr>
            <w:r>
              <w:rPr>
                <w:sz w:val="16"/>
              </w:rPr>
              <w:t>KEV</w:t>
            </w:r>
          </w:p>
        </w:tc>
        <w:tc>
          <w:tcPr>
            <w:tcW w:type="dxa" w:w="1983"/>
          </w:tcPr>
          <w:p>
            <w:pPr>
              <w:jc w:val="left"/>
            </w:pPr>
            <w:r>
              <w:rPr>
                <w:sz w:val="16"/>
              </w:rPr>
              <w:t>Alto</w:t>
            </w:r>
          </w:p>
        </w:tc>
        <w:tc>
          <w:tcPr>
            <w:tcW w:type="dxa" w:w="1983"/>
          </w:tcPr>
          <w:p>
            <w:pPr>
              <w:jc w:val="left"/>
            </w:pPr>
            <w:r>
              <w:rPr>
                <w:sz w:val="16"/>
              </w:rPr>
              <w:t>Medio</w:t>
            </w:r>
          </w:p>
        </w:tc>
        <w:tc>
          <w:tcPr>
            <w:tcW w:type="dxa" w:w="1983"/>
          </w:tcPr>
          <w:p>
            <w:pPr>
              <w:jc w:val="left"/>
            </w:pPr>
            <w:r>
              <w:rPr>
                <w:sz w:val="16"/>
              </w:rPr>
              <w:t>Bajo</w:t>
            </w:r>
          </w:p>
        </w:tc>
        <w:tc>
          <w:tcPr>
            <w:tcW w:type="dxa" w:w="1983"/>
          </w:tcPr>
          <w:p>
            <w:pPr>
              <w:jc w:val="left"/>
            </w:pPr>
            <w:r>
              <w:rPr>
                <w:sz w:val="16"/>
              </w:rPr>
              <w:t>MVP</w:t>
            </w:r>
          </w:p>
        </w:tc>
      </w:tr>
      <w:tr>
        <w:tc>
          <w:tcPr>
            <w:tcW w:type="dxa" w:w="1983"/>
          </w:tcPr>
          <w:p>
            <w:pPr>
              <w:jc w:val="left"/>
            </w:pPr>
            <w:r>
              <w:rPr>
                <w:sz w:val="16"/>
              </w:rPr>
              <w:t>IA de redacción</w:t>
            </w:r>
          </w:p>
        </w:tc>
        <w:tc>
          <w:tcPr>
            <w:tcW w:type="dxa" w:w="1983"/>
          </w:tcPr>
          <w:p>
            <w:pPr>
              <w:jc w:val="left"/>
            </w:pPr>
            <w:r>
              <w:rPr>
                <w:sz w:val="16"/>
              </w:rPr>
              <w:t>Medio</w:t>
            </w:r>
          </w:p>
        </w:tc>
        <w:tc>
          <w:tcPr>
            <w:tcW w:type="dxa" w:w="1983"/>
          </w:tcPr>
          <w:p>
            <w:pPr>
              <w:jc w:val="left"/>
            </w:pPr>
            <w:r>
              <w:rPr>
                <w:sz w:val="16"/>
              </w:rPr>
              <w:t>Medio</w:t>
            </w:r>
          </w:p>
        </w:tc>
        <w:tc>
          <w:tcPr>
            <w:tcW w:type="dxa" w:w="1983"/>
          </w:tcPr>
          <w:p>
            <w:pPr>
              <w:jc w:val="left"/>
            </w:pPr>
            <w:r>
              <w:rPr>
                <w:sz w:val="16"/>
              </w:rPr>
              <w:t>Bajo/medio</w:t>
            </w:r>
          </w:p>
        </w:tc>
        <w:tc>
          <w:tcPr>
            <w:tcW w:type="dxa" w:w="1983"/>
          </w:tcPr>
          <w:p>
            <w:pPr>
              <w:jc w:val="left"/>
            </w:pPr>
            <w:r>
              <w:rPr>
                <w:sz w:val="16"/>
              </w:rPr>
              <w:t>Después del motor</w:t>
            </w:r>
          </w:p>
        </w:tc>
      </w:tr>
      <w:tr>
        <w:tc>
          <w:tcPr>
            <w:tcW w:type="dxa" w:w="1983"/>
          </w:tcPr>
          <w:p>
            <w:pPr>
              <w:jc w:val="left"/>
            </w:pPr>
            <w:r>
              <w:rPr>
                <w:sz w:val="16"/>
              </w:rPr>
              <w:t>Portal</w:t>
            </w:r>
          </w:p>
        </w:tc>
        <w:tc>
          <w:tcPr>
            <w:tcW w:type="dxa" w:w="1983"/>
          </w:tcPr>
          <w:p>
            <w:pPr>
              <w:jc w:val="left"/>
            </w:pPr>
            <w:r>
              <w:rPr>
                <w:sz w:val="16"/>
              </w:rPr>
              <w:t>Medio</w:t>
            </w:r>
          </w:p>
        </w:tc>
        <w:tc>
          <w:tcPr>
            <w:tcW w:type="dxa" w:w="1983"/>
          </w:tcPr>
          <w:p>
            <w:pPr>
              <w:jc w:val="left"/>
            </w:pPr>
            <w:r>
              <w:rPr>
                <w:sz w:val="16"/>
              </w:rPr>
              <w:t>Alto</w:t>
            </w:r>
          </w:p>
        </w:tc>
        <w:tc>
          <w:tcPr>
            <w:tcW w:type="dxa" w:w="1983"/>
          </w:tcPr>
          <w:p>
            <w:pPr>
              <w:jc w:val="left"/>
            </w:pPr>
            <w:r>
              <w:rPr>
                <w:sz w:val="16"/>
              </w:rPr>
              <w:t>Medio</w:t>
            </w:r>
          </w:p>
        </w:tc>
        <w:tc>
          <w:tcPr>
            <w:tcW w:type="dxa" w:w="1983"/>
          </w:tcPr>
          <w:p>
            <w:pPr>
              <w:jc w:val="left"/>
            </w:pPr>
            <w:r>
              <w:rPr>
                <w:sz w:val="16"/>
              </w:rPr>
              <w:t>Posterior</w:t>
            </w:r>
          </w:p>
        </w:tc>
      </w:tr>
      <w:tr>
        <w:tc>
          <w:tcPr>
            <w:tcW w:type="dxa" w:w="1983"/>
          </w:tcPr>
          <w:p>
            <w:pPr>
              <w:jc w:val="left"/>
            </w:pPr>
            <w:r>
              <w:rPr>
                <w:sz w:val="16"/>
              </w:rPr>
              <w:t>Respuesta automática</w:t>
            </w:r>
          </w:p>
        </w:tc>
        <w:tc>
          <w:tcPr>
            <w:tcW w:type="dxa" w:w="1983"/>
          </w:tcPr>
          <w:p>
            <w:pPr>
              <w:jc w:val="left"/>
            </w:pPr>
            <w:r>
              <w:rPr>
                <w:sz w:val="16"/>
              </w:rPr>
              <w:t>Alto pero riesgoso</w:t>
            </w:r>
          </w:p>
        </w:tc>
        <w:tc>
          <w:tcPr>
            <w:tcW w:type="dxa" w:w="1983"/>
          </w:tcPr>
          <w:p>
            <w:pPr>
              <w:jc w:val="left"/>
            </w:pPr>
            <w:r>
              <w:rPr>
                <w:sz w:val="16"/>
              </w:rPr>
              <w:t>Muy alto</w:t>
            </w:r>
          </w:p>
        </w:tc>
        <w:tc>
          <w:tcPr>
            <w:tcW w:type="dxa" w:w="1983"/>
          </w:tcPr>
          <w:p>
            <w:pPr>
              <w:jc w:val="left"/>
            </w:pPr>
            <w:r>
              <w:rPr>
                <w:sz w:val="16"/>
              </w:rPr>
              <w:t>Muy alto</w:t>
            </w:r>
          </w:p>
        </w:tc>
        <w:tc>
          <w:tcPr>
            <w:tcW w:type="dxa" w:w="1983"/>
          </w:tcPr>
          <w:p>
            <w:pPr>
              <w:jc w:val="left"/>
            </w:pPr>
            <w:r>
              <w:rPr>
                <w:sz w:val="16"/>
              </w:rPr>
              <w:t>Fuera del MVP</w:t>
            </w:r>
          </w:p>
        </w:tc>
      </w:tr>
    </w:tbl>
    <w:p/>
    <w:p>
      <w:pPr>
        <w:jc w:val="both"/>
      </w:pPr>
      <w:r>
        <w:t>La matriz muestra por qué el motor de casos y el aislamiento deben construirse antes que una interfaz atractiva o automatizaciones de respuesta. Las capacidades con mayor visibilidad comercial no siempre son las que reducen primero el riesgo del producto.</w:t>
      </w:r>
    </w:p>
    <w:p>
      <w:pPr>
        <w:pStyle w:val="Heading1"/>
      </w:pPr>
      <w:r>
        <w:t>17. Criterios para seleccionar clientes piloto</w:t>
      </w:r>
    </w:p>
    <w:p>
      <w:pPr>
        <w:pStyle w:val="ListBullet"/>
        <w:jc w:val="left"/>
      </w:pPr>
      <w:r>
        <w:t>Infraestructura limitada y comprendida por el equipo.</w:t>
      </w:r>
    </w:p>
    <w:p>
      <w:pPr>
        <w:pStyle w:val="ListBullet"/>
        <w:jc w:val="left"/>
      </w:pPr>
      <w:r>
        <w:t>Activos críticos identificados y responsables disponibles.</w:t>
      </w:r>
    </w:p>
    <w:p>
      <w:pPr>
        <w:pStyle w:val="ListBullet"/>
        <w:jc w:val="left"/>
      </w:pPr>
      <w:r>
        <w:t>Disposición a compartir feedback y validar comunicaciones.</w:t>
      </w:r>
    </w:p>
    <w:p>
      <w:pPr>
        <w:pStyle w:val="ListBullet"/>
        <w:jc w:val="left"/>
      </w:pPr>
      <w:r>
        <w:t>Ausencia de requisitos regulatorios que excedan la infraestructura piloto.</w:t>
      </w:r>
    </w:p>
    <w:p>
      <w:pPr>
        <w:pStyle w:val="ListBullet"/>
        <w:jc w:val="left"/>
      </w:pPr>
      <w:r>
        <w:t>Volumen suficiente para medir, pero no tan alto que impida el tuning.</w:t>
      </w:r>
    </w:p>
    <w:p>
      <w:pPr>
        <w:pStyle w:val="ListBullet"/>
        <w:jc w:val="left"/>
      </w:pPr>
      <w:r>
        <w:t>Acuerdo sobre alcance, limitaciones y tratamiento de falsos positivos.</w:t>
      </w:r>
    </w:p>
    <w:p>
      <w:pPr>
        <w:pStyle w:val="Heading1"/>
      </w:pPr>
      <w:r>
        <w:t>18. Estructura de costos que debe medirse</w:t>
      </w:r>
    </w:p>
    <w:p>
      <w:pPr>
        <w:jc w:val="both"/>
      </w:pPr>
      <w:r>
        <w:t>La rentabilidad no puede calcularse solamente con el costo del servidor o de la API de IA. El servicio consume tiempo de onboarding, revisión, investigación, seguimiento, tuning, mantenimiento, soporte y elaboración de reportes. Cada uno de estos componentes debe medirse durante el piloto. El objetivo no es fijar un precio definitivo antes de operar, sino obtener una base real.</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6"/>
              </w:rPr>
              <w:t>Categoría</w:t>
            </w:r>
          </w:p>
        </w:tc>
        <w:tc>
          <w:tcPr>
            <w:tcW w:type="dxa" w:w="2479"/>
            <w:shd w:fill="D9E2F3"/>
          </w:tcPr>
          <w:p>
            <w:r>
              <w:rPr>
                <w:b/>
                <w:sz w:val="16"/>
              </w:rPr>
              <w:t>Unidad de medición</w:t>
            </w:r>
          </w:p>
        </w:tc>
        <w:tc>
          <w:tcPr>
            <w:tcW w:type="dxa" w:w="2479"/>
            <w:shd w:fill="D9E2F3"/>
          </w:tcPr>
          <w:p>
            <w:r>
              <w:rPr>
                <w:b/>
                <w:sz w:val="16"/>
              </w:rPr>
              <w:t>Ejemplo de costo</w:t>
            </w:r>
          </w:p>
        </w:tc>
        <w:tc>
          <w:tcPr>
            <w:tcW w:type="dxa" w:w="2479"/>
            <w:shd w:fill="D9E2F3"/>
          </w:tcPr>
          <w:p>
            <w:r>
              <w:rPr>
                <w:b/>
                <w:sz w:val="16"/>
              </w:rPr>
              <w:t>Dato del piloto</w:t>
            </w:r>
          </w:p>
        </w:tc>
      </w:tr>
      <w:tr>
        <w:tc>
          <w:tcPr>
            <w:tcW w:type="dxa" w:w="2479"/>
          </w:tcPr>
          <w:p>
            <w:pPr>
              <w:jc w:val="left"/>
            </w:pPr>
            <w:r>
              <w:rPr>
                <w:sz w:val="16"/>
              </w:rPr>
              <w:t>Infraestructura</w:t>
            </w:r>
          </w:p>
        </w:tc>
        <w:tc>
          <w:tcPr>
            <w:tcW w:type="dxa" w:w="2479"/>
          </w:tcPr>
          <w:p>
            <w:pPr>
              <w:jc w:val="left"/>
            </w:pPr>
            <w:r>
              <w:rPr>
                <w:sz w:val="16"/>
              </w:rPr>
              <w:t>Mes/cliente o volumen</w:t>
            </w:r>
          </w:p>
        </w:tc>
        <w:tc>
          <w:tcPr>
            <w:tcW w:type="dxa" w:w="2479"/>
          </w:tcPr>
          <w:p>
            <w:pPr>
              <w:jc w:val="left"/>
            </w:pPr>
            <w:r>
              <w:rPr>
                <w:sz w:val="16"/>
              </w:rPr>
              <w:t>Wazuh, DB, backups</w:t>
            </w:r>
          </w:p>
        </w:tc>
        <w:tc>
          <w:tcPr>
            <w:tcW w:type="dxa" w:w="2479"/>
          </w:tcPr>
          <w:p>
            <w:pPr>
              <w:jc w:val="left"/>
            </w:pPr>
            <w:r>
              <w:rPr>
                <w:sz w:val="16"/>
              </w:rPr>
              <w:t>CPU, almacenamiento y retención</w:t>
            </w:r>
          </w:p>
        </w:tc>
      </w:tr>
      <w:tr>
        <w:tc>
          <w:tcPr>
            <w:tcW w:type="dxa" w:w="2479"/>
          </w:tcPr>
          <w:p>
            <w:pPr>
              <w:jc w:val="left"/>
            </w:pPr>
            <w:r>
              <w:rPr>
                <w:sz w:val="16"/>
              </w:rPr>
              <w:t>IA</w:t>
            </w:r>
          </w:p>
        </w:tc>
        <w:tc>
          <w:tcPr>
            <w:tcW w:type="dxa" w:w="2479"/>
          </w:tcPr>
          <w:p>
            <w:pPr>
              <w:jc w:val="left"/>
            </w:pPr>
            <w:r>
              <w:rPr>
                <w:sz w:val="16"/>
              </w:rPr>
              <w:t>Tokens/ejecución</w:t>
            </w:r>
          </w:p>
        </w:tc>
        <w:tc>
          <w:tcPr>
            <w:tcW w:type="dxa" w:w="2479"/>
          </w:tcPr>
          <w:p>
            <w:pPr>
              <w:jc w:val="left"/>
            </w:pPr>
            <w:r>
              <w:rPr>
                <w:sz w:val="16"/>
              </w:rPr>
              <w:t>Redacción y resumen</w:t>
            </w:r>
          </w:p>
        </w:tc>
        <w:tc>
          <w:tcPr>
            <w:tcW w:type="dxa" w:w="2479"/>
          </w:tcPr>
          <w:p>
            <w:pPr>
              <w:jc w:val="left"/>
            </w:pPr>
            <w:r>
              <w:rPr>
                <w:sz w:val="16"/>
              </w:rPr>
              <w:t>Tokens por caso material</w:t>
            </w:r>
          </w:p>
        </w:tc>
      </w:tr>
      <w:tr>
        <w:tc>
          <w:tcPr>
            <w:tcW w:type="dxa" w:w="2479"/>
          </w:tcPr>
          <w:p>
            <w:pPr>
              <w:jc w:val="left"/>
            </w:pPr>
            <w:r>
              <w:rPr>
                <w:sz w:val="16"/>
              </w:rPr>
              <w:t>Enriquecimiento</w:t>
            </w:r>
          </w:p>
        </w:tc>
        <w:tc>
          <w:tcPr>
            <w:tcW w:type="dxa" w:w="2479"/>
          </w:tcPr>
          <w:p>
            <w:pPr>
              <w:jc w:val="left"/>
            </w:pPr>
            <w:r>
              <w:rPr>
                <w:sz w:val="16"/>
              </w:rPr>
              <w:t>Consulta/indicador</w:t>
            </w:r>
          </w:p>
        </w:tc>
        <w:tc>
          <w:tcPr>
            <w:tcW w:type="dxa" w:w="2479"/>
          </w:tcPr>
          <w:p>
            <w:pPr>
              <w:jc w:val="left"/>
            </w:pPr>
            <w:r>
              <w:rPr>
                <w:sz w:val="16"/>
              </w:rPr>
              <w:t>Reputación y feeds</w:t>
            </w:r>
          </w:p>
        </w:tc>
        <w:tc>
          <w:tcPr>
            <w:tcW w:type="dxa" w:w="2479"/>
          </w:tcPr>
          <w:p>
            <w:pPr>
              <w:jc w:val="left"/>
            </w:pPr>
            <w:r>
              <w:rPr>
                <w:sz w:val="16"/>
              </w:rPr>
              <w:t>Consultas y cache hit</w:t>
            </w:r>
          </w:p>
        </w:tc>
      </w:tr>
      <w:tr>
        <w:tc>
          <w:tcPr>
            <w:tcW w:type="dxa" w:w="2479"/>
          </w:tcPr>
          <w:p>
            <w:pPr>
              <w:jc w:val="left"/>
            </w:pPr>
            <w:r>
              <w:rPr>
                <w:sz w:val="16"/>
              </w:rPr>
              <w:t>Analista</w:t>
            </w:r>
          </w:p>
        </w:tc>
        <w:tc>
          <w:tcPr>
            <w:tcW w:type="dxa" w:w="2479"/>
          </w:tcPr>
          <w:p>
            <w:pPr>
              <w:jc w:val="left"/>
            </w:pPr>
            <w:r>
              <w:rPr>
                <w:sz w:val="16"/>
              </w:rPr>
              <w:t>Minutos/caso</w:t>
            </w:r>
          </w:p>
        </w:tc>
        <w:tc>
          <w:tcPr>
            <w:tcW w:type="dxa" w:w="2479"/>
          </w:tcPr>
          <w:p>
            <w:pPr>
              <w:jc w:val="left"/>
            </w:pPr>
            <w:r>
              <w:rPr>
                <w:sz w:val="16"/>
              </w:rPr>
              <w:t>Revisión y seguimiento</w:t>
            </w:r>
          </w:p>
        </w:tc>
        <w:tc>
          <w:tcPr>
            <w:tcW w:type="dxa" w:w="2479"/>
          </w:tcPr>
          <w:p>
            <w:pPr>
              <w:jc w:val="left"/>
            </w:pPr>
            <w:r>
              <w:rPr>
                <w:sz w:val="16"/>
              </w:rPr>
              <w:t>Tiempo por case type</w:t>
            </w:r>
          </w:p>
        </w:tc>
      </w:tr>
      <w:tr>
        <w:tc>
          <w:tcPr>
            <w:tcW w:type="dxa" w:w="2479"/>
          </w:tcPr>
          <w:p>
            <w:pPr>
              <w:jc w:val="left"/>
            </w:pPr>
            <w:r>
              <w:rPr>
                <w:sz w:val="16"/>
              </w:rPr>
              <w:t>Tuning</w:t>
            </w:r>
          </w:p>
        </w:tc>
        <w:tc>
          <w:tcPr>
            <w:tcW w:type="dxa" w:w="2479"/>
          </w:tcPr>
          <w:p>
            <w:pPr>
              <w:jc w:val="left"/>
            </w:pPr>
            <w:r>
              <w:rPr>
                <w:sz w:val="16"/>
              </w:rPr>
              <w:t>Horas/mes</w:t>
            </w:r>
          </w:p>
        </w:tc>
        <w:tc>
          <w:tcPr>
            <w:tcW w:type="dxa" w:w="2479"/>
          </w:tcPr>
          <w:p>
            <w:pPr>
              <w:jc w:val="left"/>
            </w:pPr>
            <w:r>
              <w:rPr>
                <w:sz w:val="16"/>
              </w:rPr>
              <w:t>Ajustes de reglas</w:t>
            </w:r>
          </w:p>
        </w:tc>
        <w:tc>
          <w:tcPr>
            <w:tcW w:type="dxa" w:w="2479"/>
          </w:tcPr>
          <w:p>
            <w:pPr>
              <w:jc w:val="left"/>
            </w:pPr>
            <w:r>
              <w:rPr>
                <w:sz w:val="16"/>
              </w:rPr>
              <w:t>Cambios y FP</w:t>
            </w:r>
          </w:p>
        </w:tc>
      </w:tr>
      <w:tr>
        <w:tc>
          <w:tcPr>
            <w:tcW w:type="dxa" w:w="2479"/>
          </w:tcPr>
          <w:p>
            <w:pPr>
              <w:jc w:val="left"/>
            </w:pPr>
            <w:r>
              <w:rPr>
                <w:sz w:val="16"/>
              </w:rPr>
              <w:t>Soporte</w:t>
            </w:r>
          </w:p>
        </w:tc>
        <w:tc>
          <w:tcPr>
            <w:tcW w:type="dxa" w:w="2479"/>
          </w:tcPr>
          <w:p>
            <w:pPr>
              <w:jc w:val="left"/>
            </w:pPr>
            <w:r>
              <w:rPr>
                <w:sz w:val="16"/>
              </w:rPr>
              <w:t>Tickets/mes</w:t>
            </w:r>
          </w:p>
        </w:tc>
        <w:tc>
          <w:tcPr>
            <w:tcW w:type="dxa" w:w="2479"/>
          </w:tcPr>
          <w:p>
            <w:pPr>
              <w:jc w:val="left"/>
            </w:pPr>
            <w:r>
              <w:rPr>
                <w:sz w:val="16"/>
              </w:rPr>
              <w:t>Incidencias y onboarding</w:t>
            </w:r>
          </w:p>
        </w:tc>
        <w:tc>
          <w:tcPr>
            <w:tcW w:type="dxa" w:w="2479"/>
          </w:tcPr>
          <w:p>
            <w:pPr>
              <w:jc w:val="left"/>
            </w:pPr>
            <w:r>
              <w:rPr>
                <w:sz w:val="16"/>
              </w:rPr>
              <w:t>Carga por cliente</w:t>
            </w:r>
          </w:p>
        </w:tc>
      </w:tr>
      <w:tr>
        <w:tc>
          <w:tcPr>
            <w:tcW w:type="dxa" w:w="2479"/>
          </w:tcPr>
          <w:p>
            <w:pPr>
              <w:jc w:val="left"/>
            </w:pPr>
            <w:r>
              <w:rPr>
                <w:sz w:val="16"/>
              </w:rPr>
              <w:t>Reportes</w:t>
            </w:r>
          </w:p>
        </w:tc>
        <w:tc>
          <w:tcPr>
            <w:tcW w:type="dxa" w:w="2479"/>
          </w:tcPr>
          <w:p>
            <w:pPr>
              <w:jc w:val="left"/>
            </w:pPr>
            <w:r>
              <w:rPr>
                <w:sz w:val="16"/>
              </w:rPr>
              <w:t>Horas/periodo</w:t>
            </w:r>
          </w:p>
        </w:tc>
        <w:tc>
          <w:tcPr>
            <w:tcW w:type="dxa" w:w="2479"/>
          </w:tcPr>
          <w:p>
            <w:pPr>
              <w:jc w:val="left"/>
            </w:pPr>
            <w:r>
              <w:rPr>
                <w:sz w:val="16"/>
              </w:rPr>
              <w:t>Digest e informe</w:t>
            </w:r>
          </w:p>
        </w:tc>
        <w:tc>
          <w:tcPr>
            <w:tcW w:type="dxa" w:w="2479"/>
          </w:tcPr>
          <w:p>
            <w:pPr>
              <w:jc w:val="left"/>
            </w:pPr>
            <w:r>
              <w:rPr>
                <w:sz w:val="16"/>
              </w:rPr>
              <w:t>Automatización posible</w:t>
            </w:r>
          </w:p>
        </w:tc>
      </w:tr>
    </w:tbl>
    <w:p/>
    <w:p>
      <w:pPr>
        <w:jc w:val="both"/>
      </w:pPr>
      <w:r>
        <w:t>El costo marginal de un cliente depende de su calidad de telemetría y madurez. Un parque con configuraciones heterogéneas puede requerir más tuning que uno mayor pero estandarizado. Por eso, el número de agentes no debe ser el único criterio de precio.</w:t>
      </w:r>
    </w:p>
    <w:p>
      <w:pPr>
        <w:pStyle w:val="Heading1"/>
      </w:pPr>
      <w:r>
        <w:t>19. Caso de negocio hipotético del piloto</w:t>
      </w:r>
    </w:p>
    <w:p>
      <w:pPr>
        <w:jc w:val="both"/>
      </w:pPr>
      <w:r>
        <w:t>Supóngase un cliente con veinte endpoints y dos servidores críticos. Durante un mes, Wazuh produce miles de alertas, pero Kriptome consolida la actividad en treinta casos. Cinco requieren revisión humana y dos son críticos. El equipo dedica un promedio de veinte minutos por caso revisado y varias horas de tuning inicial. Esta información permite estimar una carga real y comparar el costo con el beneficio de evitar revisión manual de todas las alertas.</w:t>
      </w:r>
    </w:p>
    <w:p>
      <w:pPr>
        <w:jc w:val="both"/>
      </w:pPr>
      <w:r>
        <w:t>El piloto será valioso incluso si demuestra que una familia produce demasiado ruido o que el tiempo humano es mayor al previsto. Esos resultados permiten ajustar el alcance o el precio. Un piloto no debe evaluarse por la ausencia total de errores, sino por la capacidad de identificarlos, medirlos y corregirlos antes de comercializar.</w:t>
      </w:r>
    </w:p>
    <w:p>
      <w:pPr>
        <w:pStyle w:val="Heading1"/>
      </w:pPr>
      <w:r>
        <w:t>20. Condiciones de salida de la fase de negocio</w:t>
      </w:r>
    </w:p>
    <w:p>
      <w:pPr>
        <w:pStyle w:val="ListBullet"/>
        <w:jc w:val="left"/>
      </w:pPr>
      <w:r>
        <w:t>Existe una propuesta de valor entendible por un cliente no técnico.</w:t>
      </w:r>
    </w:p>
    <w:p>
      <w:pPr>
        <w:pStyle w:val="ListBullet"/>
        <w:jc w:val="left"/>
      </w:pPr>
      <w:r>
        <w:t>El alcance del MVP y las exclusiones están aprobados.</w:t>
      </w:r>
    </w:p>
    <w:p>
      <w:pPr>
        <w:pStyle w:val="ListBullet"/>
        <w:jc w:val="left"/>
      </w:pPr>
      <w:r>
        <w:t>Se conocen costos aproximados por caso y por cliente.</w:t>
      </w:r>
    </w:p>
    <w:p>
      <w:pPr>
        <w:pStyle w:val="ListBullet"/>
        <w:jc w:val="left"/>
      </w:pPr>
      <w:r>
        <w:t>El SLA puede cumplirse con el personal disponible.</w:t>
      </w:r>
    </w:p>
    <w:p>
      <w:pPr>
        <w:pStyle w:val="ListBullet"/>
        <w:jc w:val="left"/>
      </w:pPr>
      <w:r>
        <w:t>El piloto demuestra reducción de ruido y seguimiento.</w:t>
      </w:r>
    </w:p>
    <w:p>
      <w:pPr>
        <w:pStyle w:val="ListBullet"/>
        <w:jc w:val="left"/>
      </w:pPr>
      <w:r>
        <w:t>No existen incidentes de aislamiento ni comunicaciones incorrectas.</w:t>
      </w:r>
    </w:p>
    <w:p>
      <w:pPr>
        <w:pStyle w:val="ListBullet"/>
        <w:jc w:val="left"/>
      </w:pPr>
      <w:r>
        <w:t>Existe una recomendación documentada de continuar, ajustar o detener.</w:t>
      </w:r>
    </w:p>
    <w:sectPr w:rsidR="00FC693F" w:rsidRPr="0006063C" w:rsidSect="00034616">
      <w:headerReference w:type="default" r:id="rId9"/>
      <w:footerReference w:type="default" r:id="rId10"/>
      <w:pgSz w:w="12240" w:h="15840"/>
      <w:pgMar w:top="1020" w:right="1134"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Versión documental 2.0 | 22 de julio de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KRIPTOME MINISOC | NEGOCIO Y ALCANCE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3854"/>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54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38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b w:val="0"/>
      <w:i/>
      <w:iCs/>
      <w:color w:val="5555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