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Arquitectura y Diseño Técnico de Kriptome MiniSOC</w:t>
      </w:r>
    </w:p>
    <w:p>
      <w:pPr>
        <w:jc w:val="center"/>
      </w:pPr>
      <w:r>
        <w:rPr>
          <w:i/>
          <w:sz w:val="24"/>
        </w:rPr>
        <w:t>Diseño de componentes, responsabilidades, contratos y decisiones</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Jefatura técnica, arquitectura, desarrollo, infraestructura y SOC</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Propósito y restricciones</w:t>
      </w:r>
    </w:p>
    <w:p>
      <w:pPr>
        <w:spacing w:after="40"/>
      </w:pPr>
      <w:r>
        <w:rPr>
          <w:b/>
        </w:rPr>
        <w:t>2. Principios de arquitectura</w:t>
      </w:r>
    </w:p>
    <w:p>
      <w:pPr>
        <w:spacing w:after="40"/>
      </w:pPr>
      <w:r>
        <w:rPr>
          <w:b/>
        </w:rPr>
        <w:t>3. Arquitectura lógica</w:t>
      </w:r>
    </w:p>
    <w:p>
      <w:pPr>
        <w:spacing w:after="40"/>
      </w:pPr>
      <w:r>
        <w:rPr>
          <w:b/>
        </w:rPr>
        <w:t>4. Flujo de datos</w:t>
      </w:r>
    </w:p>
    <w:p>
      <w:pPr>
        <w:spacing w:after="40"/>
      </w:pPr>
      <w:r>
        <w:rPr>
          <w:b/>
        </w:rPr>
        <w:t>5. Integración con Wazuh</w:t>
      </w:r>
    </w:p>
    <w:p>
      <w:pPr>
        <w:spacing w:after="40"/>
      </w:pPr>
      <w:r>
        <w:rPr>
          <w:b/>
        </w:rPr>
        <w:t>6. Ingesta y almacenamiento</w:t>
      </w:r>
    </w:p>
    <w:p>
      <w:pPr>
        <w:spacing w:after="40"/>
      </w:pPr>
      <w:r>
        <w:rPr>
          <w:b/>
        </w:rPr>
        <w:t>7. Resolución multi-tenant</w:t>
      </w:r>
    </w:p>
    <w:p>
      <w:pPr>
        <w:spacing w:after="40"/>
      </w:pPr>
      <w:r>
        <w:rPr>
          <w:b/>
        </w:rPr>
        <w:t>8. Normalización</w:t>
      </w:r>
    </w:p>
    <w:p>
      <w:pPr>
        <w:spacing w:after="40"/>
      </w:pPr>
      <w:r>
        <w:rPr>
          <w:b/>
        </w:rPr>
        <w:t>9. Motor de casos</w:t>
      </w:r>
    </w:p>
    <w:p>
      <w:pPr>
        <w:spacing w:after="40"/>
      </w:pPr>
      <w:r>
        <w:rPr>
          <w:b/>
        </w:rPr>
        <w:t>10. Enriquecimiento</w:t>
      </w:r>
    </w:p>
    <w:p>
      <w:pPr>
        <w:spacing w:after="40"/>
      </w:pPr>
      <w:r>
        <w:rPr>
          <w:b/>
        </w:rPr>
        <w:t>11. Motor de riesgo y procedimientos</w:t>
      </w:r>
    </w:p>
    <w:p>
      <w:pPr>
        <w:spacing w:after="40"/>
      </w:pPr>
      <w:r>
        <w:rPr>
          <w:b/>
        </w:rPr>
        <w:t>12. IA y validación</w:t>
      </w:r>
    </w:p>
    <w:p>
      <w:pPr>
        <w:spacing w:after="40"/>
      </w:pPr>
      <w:r>
        <w:rPr>
          <w:b/>
        </w:rPr>
        <w:t>13. Comunicación y auditoría</w:t>
      </w:r>
    </w:p>
    <w:p>
      <w:pPr>
        <w:spacing w:after="40"/>
      </w:pPr>
      <w:r>
        <w:rPr>
          <w:b/>
        </w:rPr>
        <w:t>14. Disponibilidad, escalabilidad y evolución</w:t>
      </w:r>
    </w:p>
    <w:p>
      <w:pPr>
        <w:spacing w:after="40"/>
      </w:pPr>
      <w:r>
        <w:rPr>
          <w:b/>
        </w:rPr>
        <w:t>15. Estado actual</w:t>
      </w:r>
    </w:p>
    <w:p>
      <w:r>
        <w:br w:type="page"/>
      </w:r>
    </w:p>
    <w:p>
      <w:pPr>
        <w:pStyle w:val="Heading1"/>
      </w:pPr>
      <w:r>
        <w:t>1. Propósito y restricciones</w:t>
      </w:r>
    </w:p>
    <w:p>
      <w:r>
        <w:t>La arquitectura de Kriptome debe permitir que las alertas de Wazuh se transformen en casos sin perder evidencia, mezclar clientes ni generar acciones repetidas. El diseño se plantea como una aplicación separada de Wazuh porque las responsabilidades de negocio —deduplicación, estados, procedimientos, revisión y comunicación— no deben depender exclusivamente de reglas XML.</w:t>
      </w:r>
    </w:p>
    <w:p>
      <w:r>
        <w:t>La primera restricción es el estado actual del repositorio. Existen contratos y políticas, pero no una aplicación funcional. La segunda es el alcance del piloto: debe utilizar componentes simples y operables, evitando Kafka, Kubernetes o una arquitectura de microservicios innecesaria. La tercera es la seguridad multi-tenant, que obliga a verificar el cliente en cada etapa y a no confiar en una sola etiqueta.</w:t>
      </w:r>
    </w:p>
    <w:tbl>
      <w:tblPr>
        <w:tblStyle w:val="TableGrid"/>
        <w:tblW w:type="auto" w:w="0"/>
        <w:jc w:val="center"/>
        <w:tblLook w:firstColumn="1" w:firstRow="1" w:lastColumn="0" w:lastRow="0" w:noHBand="0" w:noVBand="1" w:val="04A0"/>
      </w:tblPr>
      <w:tblGrid>
        <w:gridCol w:w="9915"/>
      </w:tblGrid>
      <w:tr>
        <w:tc>
          <w:tcPr>
            <w:tcW w:type="dxa" w:w="9915"/>
            <w:shd w:fill="EEF3F8"/>
          </w:tcPr>
          <w:p>
            <w:pPr>
              <w:jc w:val="left"/>
            </w:pPr>
            <w:r>
              <w:rPr>
                <w:b/>
                <w:color w:val="1F3854"/>
              </w:rPr>
              <w:t>Criterio arquitectónico</w:t>
              <w:br/>
            </w:r>
            <w:r>
              <w:t>El MVP puede implementarse como un monolito modular con workers y PostgreSQL. La separación lógica de componentes debe existir desde el diseño, aunque no sea necesario desplegar cada módulo como un servicio independiente.</w:t>
            </w:r>
          </w:p>
        </w:tc>
      </w:tr>
    </w:tbl>
    <w:p/>
    <w:p>
      <w:pPr>
        <w:pStyle w:val="Heading1"/>
      </w:pPr>
      <w:r>
        <w:t>2. Principios de arquitectura</w:t>
      </w:r>
    </w:p>
    <w:p>
      <w:r>
        <w:t>El diseño adopta una serie de principios que sirven para resolver contradicciones del proyecto anterior. El primero es la separación de responsabilidades: Wazuh detecta; Kriptome administra casos. El segundo es la determinación explícita de decisiones críticas. Tenant, fingerprint, severidad y procedimiento se calculan con reglas y datos estructurados. La IA no sustituye esas decisiones.</w:t>
      </w:r>
    </w:p>
    <w:p>
      <w:r>
        <w:t>El tercer principio es la idempotencia. La misma alerta puede leerse varias veces por un reinicio o un reintento, pero el efecto final debe ser único. El cuarto es la degradación controlada: si un servicio de reputación o IA falla, el caso continúa con un estado conocido y una plantilla. El quinto es la trazabilidad: toda transformación debe relacionarse con el evento original.</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Principio</w:t>
            </w:r>
          </w:p>
        </w:tc>
        <w:tc>
          <w:tcPr>
            <w:tcW w:type="dxa" w:w="4957"/>
            <w:shd w:fill="D9E2F3"/>
          </w:tcPr>
          <w:p>
            <w:r>
              <w:rPr>
                <w:b/>
                <w:sz w:val="17"/>
              </w:rPr>
              <w:t>Aplicación en Kriptome</w:t>
            </w:r>
          </w:p>
        </w:tc>
      </w:tr>
      <w:tr>
        <w:tc>
          <w:tcPr>
            <w:tcW w:type="dxa" w:w="4957"/>
            <w:vAlign w:val="top"/>
          </w:tcPr>
          <w:p>
            <w:pPr>
              <w:jc w:val="left"/>
            </w:pPr>
            <w:r>
              <w:rPr>
                <w:sz w:val="17"/>
              </w:rPr>
              <w:t>Separación de responsabilidades</w:t>
            </w:r>
          </w:p>
        </w:tc>
        <w:tc>
          <w:tcPr>
            <w:tcW w:type="dxa" w:w="4957"/>
            <w:vAlign w:val="top"/>
          </w:tcPr>
          <w:p>
            <w:pPr>
              <w:jc w:val="left"/>
            </w:pPr>
            <w:r>
              <w:rPr>
                <w:sz w:val="17"/>
              </w:rPr>
              <w:t>Wazuh, aplicación, IA y analista tienen funciones distintas</w:t>
            </w:r>
          </w:p>
        </w:tc>
      </w:tr>
      <w:tr>
        <w:tc>
          <w:tcPr>
            <w:tcW w:type="dxa" w:w="4957"/>
            <w:vAlign w:val="top"/>
          </w:tcPr>
          <w:p>
            <w:pPr>
              <w:jc w:val="left"/>
            </w:pPr>
            <w:r>
              <w:rPr>
                <w:sz w:val="17"/>
              </w:rPr>
              <w:t>Fuente de verdad</w:t>
            </w:r>
          </w:p>
        </w:tc>
        <w:tc>
          <w:tcPr>
            <w:tcW w:type="dxa" w:w="4957"/>
            <w:vAlign w:val="top"/>
          </w:tcPr>
          <w:p>
            <w:pPr>
              <w:jc w:val="left"/>
            </w:pPr>
            <w:r>
              <w:rPr>
                <w:sz w:val="17"/>
              </w:rPr>
              <w:t>La aplicación es fuente del ciclo de vida del caso</w:t>
            </w:r>
          </w:p>
        </w:tc>
      </w:tr>
      <w:tr>
        <w:tc>
          <w:tcPr>
            <w:tcW w:type="dxa" w:w="4957"/>
            <w:vAlign w:val="top"/>
          </w:tcPr>
          <w:p>
            <w:pPr>
              <w:jc w:val="left"/>
            </w:pPr>
            <w:r>
              <w:rPr>
                <w:sz w:val="17"/>
              </w:rPr>
              <w:t>Idempotencia</w:t>
            </w:r>
          </w:p>
        </w:tc>
        <w:tc>
          <w:tcPr>
            <w:tcW w:type="dxa" w:w="4957"/>
            <w:vAlign w:val="top"/>
          </w:tcPr>
          <w:p>
            <w:pPr>
              <w:jc w:val="left"/>
            </w:pPr>
            <w:r>
              <w:rPr>
                <w:sz w:val="17"/>
              </w:rPr>
              <w:t>Eventos, casos y comunicaciones evitan efectos duplicados</w:t>
            </w:r>
          </w:p>
        </w:tc>
      </w:tr>
      <w:tr>
        <w:tc>
          <w:tcPr>
            <w:tcW w:type="dxa" w:w="4957"/>
            <w:vAlign w:val="top"/>
          </w:tcPr>
          <w:p>
            <w:pPr>
              <w:jc w:val="left"/>
            </w:pPr>
            <w:r>
              <w:rPr>
                <w:sz w:val="17"/>
              </w:rPr>
              <w:t>Tenant por diseño</w:t>
            </w:r>
          </w:p>
        </w:tc>
        <w:tc>
          <w:tcPr>
            <w:tcW w:type="dxa" w:w="4957"/>
            <w:vAlign w:val="top"/>
          </w:tcPr>
          <w:p>
            <w:pPr>
              <w:jc w:val="left"/>
            </w:pPr>
            <w:r>
              <w:rPr>
                <w:sz w:val="17"/>
              </w:rPr>
              <w:t>Toda consulta y escritura está acotada por tenant</w:t>
            </w:r>
          </w:p>
        </w:tc>
      </w:tr>
      <w:tr>
        <w:tc>
          <w:tcPr>
            <w:tcW w:type="dxa" w:w="4957"/>
            <w:vAlign w:val="top"/>
          </w:tcPr>
          <w:p>
            <w:pPr>
              <w:jc w:val="left"/>
            </w:pPr>
            <w:r>
              <w:rPr>
                <w:sz w:val="17"/>
              </w:rPr>
              <w:t>Explicabilidad</w:t>
            </w:r>
          </w:p>
        </w:tc>
        <w:tc>
          <w:tcPr>
            <w:tcW w:type="dxa" w:w="4957"/>
            <w:vAlign w:val="top"/>
          </w:tcPr>
          <w:p>
            <w:pPr>
              <w:jc w:val="left"/>
            </w:pPr>
            <w:r>
              <w:rPr>
                <w:sz w:val="17"/>
              </w:rPr>
              <w:t>Riesgo y procedimiento se pueden justificar</w:t>
            </w:r>
          </w:p>
        </w:tc>
      </w:tr>
      <w:tr>
        <w:tc>
          <w:tcPr>
            <w:tcW w:type="dxa" w:w="4957"/>
            <w:vAlign w:val="top"/>
          </w:tcPr>
          <w:p>
            <w:pPr>
              <w:jc w:val="left"/>
            </w:pPr>
            <w:r>
              <w:rPr>
                <w:sz w:val="17"/>
              </w:rPr>
              <w:t>Degradación</w:t>
            </w:r>
          </w:p>
        </w:tc>
        <w:tc>
          <w:tcPr>
            <w:tcW w:type="dxa" w:w="4957"/>
            <w:vAlign w:val="top"/>
          </w:tcPr>
          <w:p>
            <w:pPr>
              <w:jc w:val="left"/>
            </w:pPr>
            <w:r>
              <w:rPr>
                <w:sz w:val="17"/>
              </w:rPr>
              <w:t>Fallback cuando IA o enriquecimientos no están disponibles</w:t>
            </w:r>
          </w:p>
        </w:tc>
      </w:tr>
      <w:tr>
        <w:tc>
          <w:tcPr>
            <w:tcW w:type="dxa" w:w="4957"/>
            <w:vAlign w:val="top"/>
          </w:tcPr>
          <w:p>
            <w:pPr>
              <w:jc w:val="left"/>
            </w:pPr>
            <w:r>
              <w:rPr>
                <w:sz w:val="17"/>
              </w:rPr>
              <w:t>Trazabilidad</w:t>
            </w:r>
          </w:p>
        </w:tc>
        <w:tc>
          <w:tcPr>
            <w:tcW w:type="dxa" w:w="4957"/>
            <w:vAlign w:val="top"/>
          </w:tcPr>
          <w:p>
            <w:pPr>
              <w:jc w:val="left"/>
            </w:pPr>
            <w:r>
              <w:rPr>
                <w:sz w:val="17"/>
              </w:rPr>
              <w:t>Cada output mantiene referencia al evento y caso</w:t>
            </w:r>
          </w:p>
        </w:tc>
      </w:tr>
    </w:tbl>
    <w:p/>
    <w:p>
      <w:pPr>
        <w:pStyle w:val="Heading1"/>
      </w:pPr>
      <w:r>
        <w:t>3. Arquitectura lógica</w:t>
      </w:r>
    </w:p>
    <w:p>
      <w:pPr>
        <w:jc w:val="center"/>
      </w:pPr>
      <w:r>
        <w:drawing>
          <wp:inline xmlns:a="http://schemas.openxmlformats.org/drawingml/2006/main" xmlns:pic="http://schemas.openxmlformats.org/drawingml/2006/picture">
            <wp:extent cx="6400800" cy="3173527"/>
            <wp:docPr id="1" name="Picture 1"/>
            <wp:cNvGraphicFramePr>
              <a:graphicFrameLocks noChangeAspect="1"/>
            </wp:cNvGraphicFramePr>
            <a:graphic>
              <a:graphicData uri="http://schemas.openxmlformats.org/drawingml/2006/picture">
                <pic:pic>
                  <pic:nvPicPr>
                    <pic:cNvPr id="0" name="arquitectura_logica.png"/>
                    <pic:cNvPicPr/>
                  </pic:nvPicPr>
                  <pic:blipFill>
                    <a:blip r:embed="rId11"/>
                    <a:stretch>
                      <a:fillRect/>
                    </a:stretch>
                  </pic:blipFill>
                  <pic:spPr>
                    <a:xfrm>
                      <a:off x="0" y="0"/>
                      <a:ext cx="6400800" cy="3173527"/>
                    </a:xfrm>
                    <a:prstGeom prst="rect"/>
                  </pic:spPr>
                </pic:pic>
              </a:graphicData>
            </a:graphic>
          </wp:inline>
        </w:drawing>
      </w:r>
    </w:p>
    <w:p>
      <w:pPr>
        <w:jc w:val="center"/>
      </w:pPr>
      <w:r>
        <w:rPr>
          <w:i/>
          <w:sz w:val="17"/>
        </w:rPr>
        <w:t>Figura 1. Arquitectura lógica propuesta para Kriptome MiniSOC.</w:t>
      </w:r>
    </w:p>
    <w:p>
      <w:r>
        <w:t>La arquitectura comienza en los endpoints y fuentes de logs. Los agentes entregan eventos al Manager de Wazuh, que utiliza decoders y reglas para producir alertas. El Indexer conserva esas alertas y funciona como fuente para la ingesta. La aplicación Kriptome inicia su responsabilidad cuando recupera la alerta, la almacena y verifica.</w:t>
      </w:r>
    </w:p>
    <w:p>
      <w:r>
        <w:t>Dentro de Kriptome, la normalización convierte campos heterogéneos a un contrato común. El motor de casos utiliza ese contrato para deduplicar, correlacionar y mantener estados. Después se ejecutan enriquecimientos condicionales y se calcula la prioridad. Un procedimiento aprobado determina las acciones. La IA puede redactar, un validador controla la estructura y un analista interviene según la política.</w:t>
      </w:r>
    </w:p>
    <w:p>
      <w:pPr>
        <w:pStyle w:val="Heading1"/>
      </w:pPr>
      <w:r>
        <w:t>4. Flujo de datos</w:t>
      </w:r>
    </w:p>
    <w:p>
      <w:r>
        <w:t>El dato atraviesa varias representaciones. En primer lugar existe el evento original del endpoint. Wazuh lo transforma en una alerta con rule.id, rule.level, grupos, agente, timestamp y campos decodificados. Kriptome guarda ese JSON sin modificación como evidencia. Luego produce una alerta normalizada. A partir de ella genera o actualiza un caso, añade enriquecimientos y emite outputs como comunicaciones y métricas.</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Etapa</w:t>
            </w:r>
          </w:p>
        </w:tc>
        <w:tc>
          <w:tcPr>
            <w:tcW w:type="dxa" w:w="2479"/>
            <w:shd w:fill="D9E2F3"/>
          </w:tcPr>
          <w:p>
            <w:r>
              <w:rPr>
                <w:b/>
                <w:sz w:val="17"/>
              </w:rPr>
              <w:t>Representación</w:t>
            </w:r>
          </w:p>
        </w:tc>
        <w:tc>
          <w:tcPr>
            <w:tcW w:type="dxa" w:w="2479"/>
            <w:shd w:fill="D9E2F3"/>
          </w:tcPr>
          <w:p>
            <w:r>
              <w:rPr>
                <w:b/>
                <w:sz w:val="17"/>
              </w:rPr>
              <w:t>Responsable</w:t>
            </w:r>
          </w:p>
        </w:tc>
        <w:tc>
          <w:tcPr>
            <w:tcW w:type="dxa" w:w="2479"/>
            <w:shd w:fill="D9E2F3"/>
          </w:tcPr>
          <w:p>
            <w:r>
              <w:rPr>
                <w:b/>
                <w:sz w:val="17"/>
              </w:rPr>
              <w:t>Persistencia</w:t>
            </w:r>
          </w:p>
        </w:tc>
      </w:tr>
      <w:tr>
        <w:tc>
          <w:tcPr>
            <w:tcW w:type="dxa" w:w="2479"/>
            <w:vAlign w:val="top"/>
          </w:tcPr>
          <w:p>
            <w:pPr>
              <w:jc w:val="left"/>
            </w:pPr>
            <w:r>
              <w:rPr>
                <w:sz w:val="17"/>
              </w:rPr>
              <w:t>Origen</w:t>
            </w:r>
          </w:p>
        </w:tc>
        <w:tc>
          <w:tcPr>
            <w:tcW w:type="dxa" w:w="2479"/>
            <w:vAlign w:val="top"/>
          </w:tcPr>
          <w:p>
            <w:pPr>
              <w:jc w:val="left"/>
            </w:pPr>
            <w:r>
              <w:rPr>
                <w:sz w:val="17"/>
              </w:rPr>
              <w:t>Log o evento</w:t>
            </w:r>
          </w:p>
        </w:tc>
        <w:tc>
          <w:tcPr>
            <w:tcW w:type="dxa" w:w="2479"/>
            <w:vAlign w:val="top"/>
          </w:tcPr>
          <w:p>
            <w:pPr>
              <w:jc w:val="left"/>
            </w:pPr>
            <w:r>
              <w:rPr>
                <w:sz w:val="17"/>
              </w:rPr>
              <w:t>Endpoint/agente</w:t>
            </w:r>
          </w:p>
        </w:tc>
        <w:tc>
          <w:tcPr>
            <w:tcW w:type="dxa" w:w="2479"/>
            <w:vAlign w:val="top"/>
          </w:tcPr>
          <w:p>
            <w:pPr>
              <w:jc w:val="left"/>
            </w:pPr>
            <w:r>
              <w:rPr>
                <w:sz w:val="17"/>
              </w:rPr>
              <w:t>Según fuente</w:t>
            </w:r>
          </w:p>
        </w:tc>
      </w:tr>
      <w:tr>
        <w:tc>
          <w:tcPr>
            <w:tcW w:type="dxa" w:w="2479"/>
            <w:vAlign w:val="top"/>
          </w:tcPr>
          <w:p>
            <w:pPr>
              <w:jc w:val="left"/>
            </w:pPr>
            <w:r>
              <w:rPr>
                <w:sz w:val="17"/>
              </w:rPr>
              <w:t>Detección</w:t>
            </w:r>
          </w:p>
        </w:tc>
        <w:tc>
          <w:tcPr>
            <w:tcW w:type="dxa" w:w="2479"/>
            <w:vAlign w:val="top"/>
          </w:tcPr>
          <w:p>
            <w:pPr>
              <w:jc w:val="left"/>
            </w:pPr>
            <w:r>
              <w:rPr>
                <w:sz w:val="17"/>
              </w:rPr>
              <w:t>Alerta Wazuh JSON</w:t>
            </w:r>
          </w:p>
        </w:tc>
        <w:tc>
          <w:tcPr>
            <w:tcW w:type="dxa" w:w="2479"/>
            <w:vAlign w:val="top"/>
          </w:tcPr>
          <w:p>
            <w:pPr>
              <w:jc w:val="left"/>
            </w:pPr>
            <w:r>
              <w:rPr>
                <w:sz w:val="17"/>
              </w:rPr>
              <w:t>Manager/Indexer</w:t>
            </w:r>
          </w:p>
        </w:tc>
        <w:tc>
          <w:tcPr>
            <w:tcW w:type="dxa" w:w="2479"/>
            <w:vAlign w:val="top"/>
          </w:tcPr>
          <w:p>
            <w:pPr>
              <w:jc w:val="left"/>
            </w:pPr>
            <w:r>
              <w:rPr>
                <w:sz w:val="17"/>
              </w:rPr>
              <w:t>Indexer</w:t>
            </w:r>
          </w:p>
        </w:tc>
      </w:tr>
      <w:tr>
        <w:tc>
          <w:tcPr>
            <w:tcW w:type="dxa" w:w="2479"/>
            <w:vAlign w:val="top"/>
          </w:tcPr>
          <w:p>
            <w:pPr>
              <w:jc w:val="left"/>
            </w:pPr>
            <w:r>
              <w:rPr>
                <w:sz w:val="17"/>
              </w:rPr>
              <w:t>Recepción</w:t>
            </w:r>
          </w:p>
        </w:tc>
        <w:tc>
          <w:tcPr>
            <w:tcW w:type="dxa" w:w="2479"/>
            <w:vAlign w:val="top"/>
          </w:tcPr>
          <w:p>
            <w:pPr>
              <w:jc w:val="left"/>
            </w:pPr>
            <w:r>
              <w:rPr>
                <w:sz w:val="17"/>
              </w:rPr>
              <w:t>Raw event</w:t>
            </w:r>
          </w:p>
        </w:tc>
        <w:tc>
          <w:tcPr>
            <w:tcW w:type="dxa" w:w="2479"/>
            <w:vAlign w:val="top"/>
          </w:tcPr>
          <w:p>
            <w:pPr>
              <w:jc w:val="left"/>
            </w:pPr>
            <w:r>
              <w:rPr>
                <w:sz w:val="17"/>
              </w:rPr>
              <w:t>Ingesta Kriptome</w:t>
            </w:r>
          </w:p>
        </w:tc>
        <w:tc>
          <w:tcPr>
            <w:tcW w:type="dxa" w:w="2479"/>
            <w:vAlign w:val="top"/>
          </w:tcPr>
          <w:p>
            <w:pPr>
              <w:jc w:val="left"/>
            </w:pPr>
            <w:r>
              <w:rPr>
                <w:sz w:val="17"/>
              </w:rPr>
              <w:t>raw_events</w:t>
            </w:r>
          </w:p>
        </w:tc>
      </w:tr>
      <w:tr>
        <w:tc>
          <w:tcPr>
            <w:tcW w:type="dxa" w:w="2479"/>
            <w:vAlign w:val="top"/>
          </w:tcPr>
          <w:p>
            <w:pPr>
              <w:jc w:val="left"/>
            </w:pPr>
            <w:r>
              <w:rPr>
                <w:sz w:val="17"/>
              </w:rPr>
              <w:t>Normalización</w:t>
            </w:r>
          </w:p>
        </w:tc>
        <w:tc>
          <w:tcPr>
            <w:tcW w:type="dxa" w:w="2479"/>
            <w:vAlign w:val="top"/>
          </w:tcPr>
          <w:p>
            <w:pPr>
              <w:jc w:val="left"/>
            </w:pPr>
            <w:r>
              <w:rPr>
                <w:sz w:val="17"/>
              </w:rPr>
              <w:t>Normalized event</w:t>
            </w:r>
          </w:p>
        </w:tc>
        <w:tc>
          <w:tcPr>
            <w:tcW w:type="dxa" w:w="2479"/>
            <w:vAlign w:val="top"/>
          </w:tcPr>
          <w:p>
            <w:pPr>
              <w:jc w:val="left"/>
            </w:pPr>
            <w:r>
              <w:rPr>
                <w:sz w:val="17"/>
              </w:rPr>
              <w:t>Normalizer</w:t>
            </w:r>
          </w:p>
        </w:tc>
        <w:tc>
          <w:tcPr>
            <w:tcW w:type="dxa" w:w="2479"/>
            <w:vAlign w:val="top"/>
          </w:tcPr>
          <w:p>
            <w:pPr>
              <w:jc w:val="left"/>
            </w:pPr>
            <w:r>
              <w:rPr>
                <w:sz w:val="17"/>
              </w:rPr>
              <w:t>normalized_events o referencia</w:t>
            </w:r>
          </w:p>
        </w:tc>
      </w:tr>
      <w:tr>
        <w:tc>
          <w:tcPr>
            <w:tcW w:type="dxa" w:w="2479"/>
            <w:vAlign w:val="top"/>
          </w:tcPr>
          <w:p>
            <w:pPr>
              <w:jc w:val="left"/>
            </w:pPr>
            <w:r>
              <w:rPr>
                <w:sz w:val="17"/>
              </w:rPr>
              <w:t>Gestión</w:t>
            </w:r>
          </w:p>
        </w:tc>
        <w:tc>
          <w:tcPr>
            <w:tcW w:type="dxa" w:w="2479"/>
            <w:vAlign w:val="top"/>
          </w:tcPr>
          <w:p>
            <w:pPr>
              <w:jc w:val="left"/>
            </w:pPr>
            <w:r>
              <w:rPr>
                <w:sz w:val="17"/>
              </w:rPr>
              <w:t>Case + evidence</w:t>
            </w:r>
          </w:p>
        </w:tc>
        <w:tc>
          <w:tcPr>
            <w:tcW w:type="dxa" w:w="2479"/>
            <w:vAlign w:val="top"/>
          </w:tcPr>
          <w:p>
            <w:pPr>
              <w:jc w:val="left"/>
            </w:pPr>
            <w:r>
              <w:rPr>
                <w:sz w:val="17"/>
              </w:rPr>
              <w:t>Motor de casos</w:t>
            </w:r>
          </w:p>
        </w:tc>
        <w:tc>
          <w:tcPr>
            <w:tcW w:type="dxa" w:w="2479"/>
            <w:vAlign w:val="top"/>
          </w:tcPr>
          <w:p>
            <w:pPr>
              <w:jc w:val="left"/>
            </w:pPr>
            <w:r>
              <w:rPr>
                <w:sz w:val="17"/>
              </w:rPr>
              <w:t>PostgreSQL</w:t>
            </w:r>
          </w:p>
        </w:tc>
      </w:tr>
      <w:tr>
        <w:tc>
          <w:tcPr>
            <w:tcW w:type="dxa" w:w="2479"/>
            <w:vAlign w:val="top"/>
          </w:tcPr>
          <w:p>
            <w:pPr>
              <w:jc w:val="left"/>
            </w:pPr>
            <w:r>
              <w:rPr>
                <w:sz w:val="17"/>
              </w:rPr>
              <w:t>Contexto</w:t>
            </w:r>
          </w:p>
        </w:tc>
        <w:tc>
          <w:tcPr>
            <w:tcW w:type="dxa" w:w="2479"/>
            <w:vAlign w:val="top"/>
          </w:tcPr>
          <w:p>
            <w:pPr>
              <w:jc w:val="left"/>
            </w:pPr>
            <w:r>
              <w:rPr>
                <w:sz w:val="17"/>
              </w:rPr>
              <w:t>Enrichment result</w:t>
            </w:r>
          </w:p>
        </w:tc>
        <w:tc>
          <w:tcPr>
            <w:tcW w:type="dxa" w:w="2479"/>
            <w:vAlign w:val="top"/>
          </w:tcPr>
          <w:p>
            <w:pPr>
              <w:jc w:val="left"/>
            </w:pPr>
            <w:r>
              <w:rPr>
                <w:sz w:val="17"/>
              </w:rPr>
              <w:t>Conectores</w:t>
            </w:r>
          </w:p>
        </w:tc>
        <w:tc>
          <w:tcPr>
            <w:tcW w:type="dxa" w:w="2479"/>
            <w:vAlign w:val="top"/>
          </w:tcPr>
          <w:p>
            <w:pPr>
              <w:jc w:val="left"/>
            </w:pPr>
            <w:r>
              <w:rPr>
                <w:sz w:val="17"/>
              </w:rPr>
              <w:t>Cache y caso</w:t>
            </w:r>
          </w:p>
        </w:tc>
      </w:tr>
      <w:tr>
        <w:tc>
          <w:tcPr>
            <w:tcW w:type="dxa" w:w="2479"/>
            <w:vAlign w:val="top"/>
          </w:tcPr>
          <w:p>
            <w:pPr>
              <w:jc w:val="left"/>
            </w:pPr>
            <w:r>
              <w:rPr>
                <w:sz w:val="17"/>
              </w:rPr>
              <w:t>Salida</w:t>
            </w:r>
          </w:p>
        </w:tc>
        <w:tc>
          <w:tcPr>
            <w:tcW w:type="dxa" w:w="2479"/>
            <w:vAlign w:val="top"/>
          </w:tcPr>
          <w:p>
            <w:pPr>
              <w:jc w:val="left"/>
            </w:pPr>
            <w:r>
              <w:rPr>
                <w:sz w:val="17"/>
              </w:rPr>
              <w:t>Notification/audit/metric</w:t>
            </w:r>
          </w:p>
        </w:tc>
        <w:tc>
          <w:tcPr>
            <w:tcW w:type="dxa" w:w="2479"/>
            <w:vAlign w:val="top"/>
          </w:tcPr>
          <w:p>
            <w:pPr>
              <w:jc w:val="left"/>
            </w:pPr>
            <w:r>
              <w:rPr>
                <w:sz w:val="17"/>
              </w:rPr>
              <w:t>Comunicación y auditoría</w:t>
            </w:r>
          </w:p>
        </w:tc>
        <w:tc>
          <w:tcPr>
            <w:tcW w:type="dxa" w:w="2479"/>
            <w:vAlign w:val="top"/>
          </w:tcPr>
          <w:p>
            <w:pPr>
              <w:jc w:val="left"/>
            </w:pPr>
            <w:r>
              <w:rPr>
                <w:sz w:val="17"/>
              </w:rPr>
              <w:t>Ledger</w:t>
            </w:r>
          </w:p>
        </w:tc>
      </w:tr>
    </w:tbl>
    <w:p/>
    <w:p>
      <w:pPr>
        <w:pStyle w:val="Heading1"/>
      </w:pPr>
      <w:r>
        <w:t>5. Integración con Wazuh</w:t>
      </w:r>
    </w:p>
    <w:p>
      <w:r>
        <w:t>Wazuh mantiene su configuración de reglas oficiales y añade artefactos personalizados de Kriptome. El repositorio v1.2.0 organiza esos archivos en `REGLAS_TUNEADAS/wazuh/`. Las reglas activas incluyen roll-up de fuerza bruta SSH, fuerza bruta Windows por cuenta, login exitoso posterior y whitelist FIM. La regla CISA KEV se mantiene en `experimental/`, fuera del rule_dir productivo.</w:t>
      </w:r>
    </w:p>
    <w:p>
      <w:r>
        <w:t>La arquitectura no debe asumir que toda correlación ocurrirá en Wazuh. Las correlaciones por agente y secuencias simples pueden permanecer allí, pero ataques distribuidos entre varios activos y relaciones entre familias deben gestionarse en la aplicación, donde el alcance puede limitarse por tenant y persistirse en la base de datos.</w:t>
      </w:r>
    </w:p>
    <w:p>
      <w:r>
        <w:t>La ingesta inicial puede realizar polling del Indexer. Es una opción suficiente para el piloto si utiliza un cursor, almacena cada evento antes de procesarlo y puede reanudar después de una caída. No se necesita introducir una cola distribuida compleja antes de demostrar el flujo.</w:t>
      </w:r>
    </w:p>
    <w:p>
      <w:pPr>
        <w:pStyle w:val="Heading1"/>
      </w:pPr>
      <w:r>
        <w:t>6. Ingesta y almacenamiento</w:t>
      </w:r>
    </w:p>
    <w:p>
      <w:r>
        <w:t>El servicio de ingesta debe recuperar alertas en orden estable, idealmente utilizando timestamp y un identificador de desempate. Antes de normalizar, inserta el evento en una tabla con event_id único. Si el evento ya existe, el proceso reconoce el duplicado y evita repetir efectos. Si el worker falla después de almacenar pero antes de clasificar, el estado permite reanudar.</w:t>
      </w:r>
    </w:p>
    <w:p>
      <w:pPr>
        <w:spacing w:before="60" w:after="120"/>
        <w:ind w:left="340" w:right="340"/>
      </w:pPr>
      <w:r>
        <w:rPr>
          <w:rFonts w:ascii="Liberation Mono" w:hAnsi="Liberation Mono"/>
          <w:sz w:val="16"/>
        </w:rPr>
        <w:t>raw_events</w:t>
        <w:br/>
        <w:t>- id interno</w:t>
        <w:br/>
        <w:t>- wazuh_event_id UNIQUE</w:t>
        <w:br/>
        <w:t>- agent_id</w:t>
        <w:br/>
        <w:t>- received_at</w:t>
        <w:br/>
        <w:t>- event_timestamp</w:t>
        <w:br/>
        <w:t>- payload_original</w:t>
        <w:br/>
        <w:t>- processing_status</w:t>
        <w:br/>
        <w:t>- attempt_count</w:t>
        <w:br/>
        <w:t>- last_error</w:t>
      </w:r>
    </w:p>
    <w:p>
      <w:r>
        <w:t>La evidencia original no debe sobrescribirse. Las correcciones y enriquecimientos se almacenan en entidades separadas o como versiones. Esto permite explicar qué recibió el sistema y qué información agregó posteriormente.</w:t>
      </w:r>
    </w:p>
    <w:p>
      <w:pPr>
        <w:pStyle w:val="Heading1"/>
      </w:pPr>
      <w:r>
        <w:t>7. Resolución multi-tenant</w:t>
      </w:r>
    </w:p>
    <w:p>
      <w:r>
        <w:t>La configuración de agentes puede añadir labels como client_id y asset_id. Esos labels son útiles para transportar contexto, pero no constituyen por sí solos una frontera de seguridad. La aplicación mantiene una tabla confiable que relaciona agent_id, tenant_id y asset_id. Al recibir una alerta, resuelve el agente en esa tabla y compara el resultado con los labels.</w:t>
      </w:r>
    </w:p>
    <w:p>
      <w:pPr>
        <w:spacing w:before="60" w:after="120"/>
        <w:ind w:left="340" w:right="340"/>
      </w:pPr>
      <w:r>
        <w:rPr>
          <w:rFonts w:ascii="Liberation Mono" w:hAnsi="Liberation Mono"/>
          <w:sz w:val="16"/>
        </w:rPr>
        <w:t>agent_id | tenant_id | asset_id | status | valid_from | valid_to</w:t>
        <w:br/>
        <w:t>001      | CLI-001   | AST-004  | active | ...        | ...</w:t>
      </w:r>
    </w:p>
    <w:p>
      <w:r>
        <w:t>Si los valores coinciden, la alerta continúa. Si no coinciden, se coloca en cuarentena y se crea un evento operativo. El tenant no debe aceptarse desde una solicitud del frontend como autoridad. Toda consulta del backend debe aplicar un filtro obligatorio y las pruebas deben demostrar que una misma IP o fingerprint en dos clientes produce casos separados.</w:t>
      </w:r>
    </w:p>
    <w:p>
      <w:pPr>
        <w:pStyle w:val="Heading1"/>
      </w:pPr>
      <w:r>
        <w:t>8. Normalización</w:t>
      </w:r>
    </w:p>
    <w:p>
      <w:r>
        <w:t>Las fuentes de Wazuh utilizan nombres diferentes. SSH produce srcip y user; Windows utiliza estructuras win.eventdata; FIM utiliza syscheck; vulnerabilidades utilizan vulnerability. El normalizador traduce esos campos a un esquema estable. Los campos no disponibles permanecen nulos y se conserva una referencia al raw event.</w:t>
      </w:r>
    </w:p>
    <w:p>
      <w:pPr>
        <w:spacing w:before="60" w:after="120"/>
        <w:ind w:left="340" w:right="340"/>
      </w:pPr>
      <w:r>
        <w:rPr>
          <w:rFonts w:ascii="Liberation Mono" w:hAnsi="Liberation Mono"/>
          <w:sz w:val="16"/>
        </w:rPr>
        <w:t>{</w:t>
        <w:br/>
        <w:t xml:space="preserve">  "event_id": "evt-001",</w:t>
        <w:br/>
        <w:t xml:space="preserve">  "tenant_id": "CLI-001",</w:t>
        <w:br/>
        <w:t xml:space="preserve">  "asset_id": "AST-004",</w:t>
        <w:br/>
        <w:t xml:space="preserve">  "timestamp": "2026-07-22T01:40:00Z",</w:t>
        <w:br/>
        <w:t xml:space="preserve">  "source": "windows",</w:t>
        <w:br/>
        <w:t xml:space="preserve">  "case_type": "AUTH_BRUTEFORCE_SUCCESS",</w:t>
        <w:br/>
        <w:t xml:space="preserve">  "rule_id": 100013,</w:t>
        <w:br/>
        <w:t xml:space="preserve">  "rule_level": 12,</w:t>
        <w:br/>
        <w:t xml:space="preserve">  "rule_groups": ["kriptome_critical", "authentication"],</w:t>
        <w:br/>
        <w:t xml:space="preserve">  "source_ip": "198.51.100.23",</w:t>
        <w:br/>
        <w:t xml:space="preserve">  "target_user": "administrador",</w:t>
        <w:br/>
        <w:t xml:space="preserve">  "file_path": null,</w:t>
        <w:br/>
        <w:t xml:space="preserve">  "file_hash": null,</w:t>
        <w:br/>
        <w:t xml:space="preserve">  "cve": null,</w:t>
        <w:br/>
        <w:t xml:space="preserve">  "mitre_ids": ["T1110"],</w:t>
        <w:br/>
        <w:t xml:space="preserve">  "raw_event_reference": "raw-..."</w:t>
        <w:br/>
        <w:t>}</w:t>
      </w:r>
    </w:p>
    <w:p>
      <w:r>
        <w:t>El contrato `specifications/normalized_event.schema.json` sirve como base para la implementación. La validación del esquema debe ejecutarse antes del motor de casos. Un evento incompleto puede pasar a una cola de revisión o procesarse con una política que admita campos faltantes; nunca debe inventarse el valor.</w:t>
      </w:r>
    </w:p>
    <w:p>
      <w:pPr>
        <w:pStyle w:val="Heading1"/>
      </w:pPr>
      <w:r>
        <w:t>9. Motor de casos</w:t>
      </w:r>
    </w:p>
    <w:p>
      <w:r>
        <w:t>El motor de casos es el núcleo de Kriptome. Recibe un evento normalizado, identifica la política del case_type, calcula el fingerprint y busca un caso abierto dentro de la ventana. La creación o actualización debe ser atómica para evitar que dos workers creen casos iguales. El caso mantiene evidencias, primera y última detección, contador, prioridad, estado y comunicaciones.</w:t>
      </w:r>
    </w:p>
    <w:p>
      <w:r>
        <w:t>Las políticas actuales del repositorio cubren AUTH_BRUTEFORCE_SUCCESS, MALWARE_CONFIRMED, FIM_CRITICAL_PATH, AGENT_HEALTH y VULNERABILITY_KEV. Cada política debe definir fingerprint_fields, dedupe_window, auto_close_after, reopen_policy, material_changes, routing y human_review_required.</w:t>
      </w:r>
    </w:p>
    <w:tbl>
      <w:tblPr>
        <w:tblStyle w:val="TableGrid"/>
        <w:tblW w:type="auto" w:w="0"/>
        <w:jc w:val="center"/>
        <w:tblLook w:firstColumn="1" w:firstRow="1" w:lastColumn="0" w:lastRow="0" w:noHBand="0" w:noVBand="1" w:val="04A0"/>
      </w:tblPr>
      <w:tblGrid>
        <w:gridCol w:w="9915"/>
      </w:tblGrid>
      <w:tr>
        <w:tc>
          <w:tcPr>
            <w:tcW w:type="dxa" w:w="9915"/>
            <w:shd w:fill="EEF3F8"/>
          </w:tcPr>
          <w:p>
            <w:pPr>
              <w:jc w:val="left"/>
            </w:pPr>
            <w:r>
              <w:rPr>
                <w:b/>
                <w:color w:val="1F3854"/>
              </w:rPr>
              <w:t>Punto crítico</w:t>
              <w:br/>
            </w:r>
            <w:r>
              <w:t>El fingerprint reconoce una identidad lógica, pero la ventana determina cuánto tiempo se agrupan las señales. Ambos elementos deben definirse por case type; no existe una única fórmula válida para todos los casos.</w:t>
            </w:r>
          </w:p>
        </w:tc>
      </w:tr>
    </w:tbl>
    <w:p/>
    <w:p>
      <w:pPr>
        <w:pStyle w:val="Heading1"/>
      </w:pPr>
      <w:r>
        <w:t>10. Enriquecimiento</w:t>
      </w:r>
    </w:p>
    <w:p>
      <w:r>
        <w:t>El enriquecimiento ocurre después de localizar el caso, porque la consulta debe asociarse al tenant, activo y evidencia correctos. No todas las familias consultan las mismas fuentes. Un agente desconectado necesita criticidad y duración; una IP de SSH puede necesitar GeoIP y reputación; un archivo nuevo puede requerir reputación de hash; una vulnerabilidad requiere CVE, exposición y KEV.</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Fuente</w:t>
            </w:r>
          </w:p>
        </w:tc>
        <w:tc>
          <w:tcPr>
            <w:tcW w:type="dxa" w:w="2479"/>
            <w:shd w:fill="D9E2F3"/>
          </w:tcPr>
          <w:p>
            <w:r>
              <w:rPr>
                <w:b/>
                <w:sz w:val="17"/>
              </w:rPr>
              <w:t>Entrada</w:t>
            </w:r>
          </w:p>
        </w:tc>
        <w:tc>
          <w:tcPr>
            <w:tcW w:type="dxa" w:w="2479"/>
            <w:shd w:fill="D9E2F3"/>
          </w:tcPr>
          <w:p>
            <w:r>
              <w:rPr>
                <w:b/>
                <w:sz w:val="17"/>
              </w:rPr>
              <w:t>Salida</w:t>
            </w:r>
          </w:p>
        </w:tc>
        <w:tc>
          <w:tcPr>
            <w:tcW w:type="dxa" w:w="2479"/>
            <w:shd w:fill="D9E2F3"/>
          </w:tcPr>
          <w:p>
            <w:r>
              <w:rPr>
                <w:b/>
                <w:sz w:val="17"/>
              </w:rPr>
              <w:t>Controles</w:t>
            </w:r>
          </w:p>
        </w:tc>
      </w:tr>
      <w:tr>
        <w:tc>
          <w:tcPr>
            <w:tcW w:type="dxa" w:w="2479"/>
            <w:vAlign w:val="top"/>
          </w:tcPr>
          <w:p>
            <w:pPr>
              <w:jc w:val="left"/>
            </w:pPr>
            <w:r>
              <w:rPr>
                <w:sz w:val="17"/>
              </w:rPr>
              <w:t>CMDB</w:t>
            </w:r>
          </w:p>
        </w:tc>
        <w:tc>
          <w:tcPr>
            <w:tcW w:type="dxa" w:w="2479"/>
            <w:vAlign w:val="top"/>
          </w:tcPr>
          <w:p>
            <w:pPr>
              <w:jc w:val="left"/>
            </w:pPr>
            <w:r>
              <w:rPr>
                <w:sz w:val="17"/>
              </w:rPr>
              <w:t>asset_id</w:t>
            </w:r>
          </w:p>
        </w:tc>
        <w:tc>
          <w:tcPr>
            <w:tcW w:type="dxa" w:w="2479"/>
            <w:vAlign w:val="top"/>
          </w:tcPr>
          <w:p>
            <w:pPr>
              <w:jc w:val="left"/>
            </w:pPr>
            <w:r>
              <w:rPr>
                <w:sz w:val="17"/>
              </w:rPr>
              <w:t>criticidad, rol, exposición</w:t>
            </w:r>
          </w:p>
        </w:tc>
        <w:tc>
          <w:tcPr>
            <w:tcW w:type="dxa" w:w="2479"/>
            <w:vAlign w:val="top"/>
          </w:tcPr>
          <w:p>
            <w:pPr>
              <w:jc w:val="left"/>
            </w:pPr>
            <w:r>
              <w:rPr>
                <w:sz w:val="17"/>
              </w:rPr>
              <w:t>Datos mantenidos y versionados</w:t>
            </w:r>
          </w:p>
        </w:tc>
      </w:tr>
      <w:tr>
        <w:tc>
          <w:tcPr>
            <w:tcW w:type="dxa" w:w="2479"/>
            <w:vAlign w:val="top"/>
          </w:tcPr>
          <w:p>
            <w:pPr>
              <w:jc w:val="left"/>
            </w:pPr>
            <w:r>
              <w:rPr>
                <w:sz w:val="17"/>
              </w:rPr>
              <w:t>GeoIP</w:t>
            </w:r>
          </w:p>
        </w:tc>
        <w:tc>
          <w:tcPr>
            <w:tcW w:type="dxa" w:w="2479"/>
            <w:vAlign w:val="top"/>
          </w:tcPr>
          <w:p>
            <w:pPr>
              <w:jc w:val="left"/>
            </w:pPr>
            <w:r>
              <w:rPr>
                <w:sz w:val="17"/>
              </w:rPr>
              <w:t>IP pública</w:t>
            </w:r>
          </w:p>
        </w:tc>
        <w:tc>
          <w:tcPr>
            <w:tcW w:type="dxa" w:w="2479"/>
            <w:vAlign w:val="top"/>
          </w:tcPr>
          <w:p>
            <w:pPr>
              <w:jc w:val="left"/>
            </w:pPr>
            <w:r>
              <w:rPr>
                <w:sz w:val="17"/>
              </w:rPr>
              <w:t>país/región aproximada</w:t>
            </w:r>
          </w:p>
        </w:tc>
        <w:tc>
          <w:tcPr>
            <w:tcW w:type="dxa" w:w="2479"/>
            <w:vAlign w:val="top"/>
          </w:tcPr>
          <w:p>
            <w:pPr>
              <w:jc w:val="left"/>
            </w:pPr>
            <w:r>
              <w:rPr>
                <w:sz w:val="17"/>
              </w:rPr>
              <w:t>Cache y aclaración de precisión</w:t>
            </w:r>
          </w:p>
        </w:tc>
      </w:tr>
      <w:tr>
        <w:tc>
          <w:tcPr>
            <w:tcW w:type="dxa" w:w="2479"/>
            <w:vAlign w:val="top"/>
          </w:tcPr>
          <w:p>
            <w:pPr>
              <w:jc w:val="left"/>
            </w:pPr>
            <w:r>
              <w:rPr>
                <w:sz w:val="17"/>
              </w:rPr>
              <w:t>Reputación IP/hash</w:t>
            </w:r>
          </w:p>
        </w:tc>
        <w:tc>
          <w:tcPr>
            <w:tcW w:type="dxa" w:w="2479"/>
            <w:vAlign w:val="top"/>
          </w:tcPr>
          <w:p>
            <w:pPr>
              <w:jc w:val="left"/>
            </w:pPr>
            <w:r>
              <w:rPr>
                <w:sz w:val="17"/>
              </w:rPr>
              <w:t>Indicador</w:t>
            </w:r>
          </w:p>
        </w:tc>
        <w:tc>
          <w:tcPr>
            <w:tcW w:type="dxa" w:w="2479"/>
            <w:vAlign w:val="top"/>
          </w:tcPr>
          <w:p>
            <w:pPr>
              <w:jc w:val="left"/>
            </w:pPr>
            <w:r>
              <w:rPr>
                <w:sz w:val="17"/>
              </w:rPr>
              <w:t>score, categorías, fuente</w:t>
            </w:r>
          </w:p>
        </w:tc>
        <w:tc>
          <w:tcPr>
            <w:tcW w:type="dxa" w:w="2479"/>
            <w:vAlign w:val="top"/>
          </w:tcPr>
          <w:p>
            <w:pPr>
              <w:jc w:val="left"/>
            </w:pPr>
            <w:r>
              <w:rPr>
                <w:sz w:val="17"/>
              </w:rPr>
              <w:t>Timeout, costo, fecha</w:t>
            </w:r>
          </w:p>
        </w:tc>
      </w:tr>
      <w:tr>
        <w:tc>
          <w:tcPr>
            <w:tcW w:type="dxa" w:w="2479"/>
            <w:vAlign w:val="top"/>
          </w:tcPr>
          <w:p>
            <w:pPr>
              <w:jc w:val="left"/>
            </w:pPr>
            <w:r>
              <w:rPr>
                <w:sz w:val="17"/>
              </w:rPr>
              <w:t>CVE</w:t>
            </w:r>
          </w:p>
        </w:tc>
        <w:tc>
          <w:tcPr>
            <w:tcW w:type="dxa" w:w="2479"/>
            <w:vAlign w:val="top"/>
          </w:tcPr>
          <w:p>
            <w:pPr>
              <w:jc w:val="left"/>
            </w:pPr>
            <w:r>
              <w:rPr>
                <w:sz w:val="17"/>
              </w:rPr>
              <w:t>CVE</w:t>
            </w:r>
          </w:p>
        </w:tc>
        <w:tc>
          <w:tcPr>
            <w:tcW w:type="dxa" w:w="2479"/>
            <w:vAlign w:val="top"/>
          </w:tcPr>
          <w:p>
            <w:pPr>
              <w:jc w:val="left"/>
            </w:pPr>
            <w:r>
              <w:rPr>
                <w:sz w:val="17"/>
              </w:rPr>
              <w:t>descripción, parche, CVSS</w:t>
            </w:r>
          </w:p>
        </w:tc>
        <w:tc>
          <w:tcPr>
            <w:tcW w:type="dxa" w:w="2479"/>
            <w:vAlign w:val="top"/>
          </w:tcPr>
          <w:p>
            <w:pPr>
              <w:jc w:val="left"/>
            </w:pPr>
            <w:r>
              <w:rPr>
                <w:sz w:val="17"/>
              </w:rPr>
              <w:t>Procedencia y actualización</w:t>
            </w:r>
          </w:p>
        </w:tc>
      </w:tr>
      <w:tr>
        <w:tc>
          <w:tcPr>
            <w:tcW w:type="dxa" w:w="2479"/>
            <w:vAlign w:val="top"/>
          </w:tcPr>
          <w:p>
            <w:pPr>
              <w:jc w:val="left"/>
            </w:pPr>
            <w:r>
              <w:rPr>
                <w:sz w:val="17"/>
              </w:rPr>
              <w:t>CISA KEV</w:t>
            </w:r>
          </w:p>
        </w:tc>
        <w:tc>
          <w:tcPr>
            <w:tcW w:type="dxa" w:w="2479"/>
            <w:vAlign w:val="top"/>
          </w:tcPr>
          <w:p>
            <w:pPr>
              <w:jc w:val="left"/>
            </w:pPr>
            <w:r>
              <w:rPr>
                <w:sz w:val="17"/>
              </w:rPr>
              <w:t>CVE</w:t>
            </w:r>
          </w:p>
        </w:tc>
        <w:tc>
          <w:tcPr>
            <w:tcW w:type="dxa" w:w="2479"/>
            <w:vAlign w:val="top"/>
          </w:tcPr>
          <w:p>
            <w:pPr>
              <w:jc w:val="left"/>
            </w:pPr>
            <w:r>
              <w:rPr>
                <w:sz w:val="17"/>
              </w:rPr>
              <w:t>explotación conocida y acción</w:t>
            </w:r>
          </w:p>
        </w:tc>
        <w:tc>
          <w:tcPr>
            <w:tcW w:type="dxa" w:w="2479"/>
            <w:vAlign w:val="top"/>
          </w:tcPr>
          <w:p>
            <w:pPr>
              <w:jc w:val="left"/>
            </w:pPr>
            <w:r>
              <w:rPr>
                <w:sz w:val="17"/>
              </w:rPr>
              <w:t>Copia local versionada</w:t>
            </w:r>
          </w:p>
        </w:tc>
      </w:tr>
      <w:tr>
        <w:tc>
          <w:tcPr>
            <w:tcW w:type="dxa" w:w="2479"/>
            <w:vAlign w:val="top"/>
          </w:tcPr>
          <w:p>
            <w:pPr>
              <w:jc w:val="left"/>
            </w:pPr>
            <w:r>
              <w:rPr>
                <w:sz w:val="17"/>
              </w:rPr>
              <w:t>Historial</w:t>
            </w:r>
          </w:p>
        </w:tc>
        <w:tc>
          <w:tcPr>
            <w:tcW w:type="dxa" w:w="2479"/>
            <w:vAlign w:val="top"/>
          </w:tcPr>
          <w:p>
            <w:pPr>
              <w:jc w:val="left"/>
            </w:pPr>
            <w:r>
              <w:rPr>
                <w:sz w:val="17"/>
              </w:rPr>
              <w:t>tenant + indicador/activo</w:t>
            </w:r>
          </w:p>
        </w:tc>
        <w:tc>
          <w:tcPr>
            <w:tcW w:type="dxa" w:w="2479"/>
            <w:vAlign w:val="top"/>
          </w:tcPr>
          <w:p>
            <w:pPr>
              <w:jc w:val="left"/>
            </w:pPr>
            <w:r>
              <w:rPr>
                <w:sz w:val="17"/>
              </w:rPr>
              <w:t>casos anteriores</w:t>
            </w:r>
          </w:p>
        </w:tc>
        <w:tc>
          <w:tcPr>
            <w:tcW w:type="dxa" w:w="2479"/>
            <w:vAlign w:val="top"/>
          </w:tcPr>
          <w:p>
            <w:pPr>
              <w:jc w:val="left"/>
            </w:pPr>
            <w:r>
              <w:rPr>
                <w:sz w:val="17"/>
              </w:rPr>
              <w:t>Aislamiento por tenant</w:t>
            </w:r>
          </w:p>
        </w:tc>
      </w:tr>
    </w:tbl>
    <w:p/>
    <w:p>
      <w:pPr>
        <w:pStyle w:val="Heading1"/>
      </w:pPr>
      <w:r>
        <w:t>11. Motor de riesgo y procedimientos</w:t>
      </w:r>
    </w:p>
    <w:p>
      <w:r>
        <w:t>La prioridad final no es una copia de rule.level. El motor combina nivel técnico, confianza, criticidad, exposición, evidencia de éxito, threat intelligence, alcance y recurrencia. La política utilizada debe tener versión, de modo que la auditoría pueda reconstruir por qué un caso fue clasificado como crítico.</w:t>
      </w:r>
    </w:p>
    <w:p>
      <w:r>
        <w:t>Después de calcular la prioridad, el case_type selecciona un procedimiento aprobado. El procedimiento contiene pasos, condiciones y responsables. La IA no crea libremente el procedimiento. Cuando se modifica, se incrementa su versión y los casos conservan la referencia utilizada.</w:t>
      </w:r>
    </w:p>
    <w:p>
      <w:pPr>
        <w:pStyle w:val="Heading1"/>
      </w:pPr>
      <w:r>
        <w:t>12. IA y validación</w:t>
      </w:r>
    </w:p>
    <w:p>
      <w:r>
        <w:t>La IA recibe un objeto reducido con la evidencia necesaria, el resultado del riesgo, el procedimiento y el perfil de comunicación. Los logs se tratan como datos no confiables, no como instrucciones. Deben eliminarse secretos, tokens y contenido sensible. La salida debe ajustarse a un esquema y pasar por validaciones de campos, longitud y acciones permitidas.</w:t>
      </w:r>
    </w:p>
    <w:p>
      <w:r>
        <w:t>Si la IA falla, se agota el tiempo o produce una salida inválida, se utiliza una plantilla determinística. Un caso crítico nunca debe quedar sin comunicación por depender de un proveedor externo. Las ejecuciones deben registrar modelo, versión del prompt, hash de entrada, tokens, costo y estado de validación.</w:t>
      </w:r>
    </w:p>
    <w:p>
      <w:pPr>
        <w:pStyle w:val="Heading1"/>
      </w:pPr>
      <w:r>
        <w:t>13. Comunicación y auditoría</w:t>
      </w:r>
    </w:p>
    <w:p>
      <w:r>
        <w:t>La comunicación se trata como una transacción idempotente. Antes de enviar, se registra un message_id y una idempotency key. Un reintento por error de red reutiliza la misma clave y no genera un segundo mensaje. El ledger registra destinatarios, plantilla, versión, resultado y respuesta del proveedor.</w:t>
      </w:r>
    </w:p>
    <w:p>
      <w:r>
        <w:t>La auditoría debe cubrir tanto acciones humanas como automáticas. Cada registro identifica actor, tenant, recurso, acción, valor anterior, valor nuevo, motivo, fecha y correlation_id. El objetivo no es solo cumplir controles, sino poder explicar una decisión ante el cliente.</w:t>
      </w:r>
    </w:p>
    <w:p>
      <w:pPr>
        <w:pStyle w:val="Heading1"/>
      </w:pPr>
      <w:r>
        <w:t>14. Disponibilidad, escalabilidad y evolución</w:t>
      </w:r>
    </w:p>
    <w:p>
      <w:r>
        <w:t>El piloto puede ejecutarse con un stack Wazuh, PostgreSQL, una aplicación y uno o dos workers. Los backups diarios, el monitoreo del cursor y la restauración son más importantes que introducir alta disponibilidad prematuramente. La capacidad debe medirse por eventos por segundo, alertas diarias, tamaño promedio, retención, casos y picos.</w:t>
      </w:r>
    </w:p>
    <w:p>
      <w:r>
        <w:t>La evolución puede separar componentes cuando exista evidencia de necesidad. Por ejemplo, el servicio de enriquecimiento o comunicación puede convertirse en un servicio independiente si la carga lo requiere. La arquitectura lógica propuesta permite esa evolución sin obligarla en el MVP.</w:t>
      </w:r>
    </w:p>
    <w:p>
      <w:pPr>
        <w:pStyle w:val="Heading1"/>
      </w:pPr>
      <w:r>
        <w:t>15. Estado actual</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Componente</w:t>
            </w:r>
          </w:p>
        </w:tc>
        <w:tc>
          <w:tcPr>
            <w:tcW w:type="dxa" w:w="3305"/>
            <w:shd w:fill="D9E2F3"/>
          </w:tcPr>
          <w:p>
            <w:r>
              <w:rPr>
                <w:b/>
                <w:sz w:val="17"/>
              </w:rPr>
              <w:t>Artefacto actual</w:t>
            </w:r>
          </w:p>
        </w:tc>
        <w:tc>
          <w:tcPr>
            <w:tcW w:type="dxa" w:w="3305"/>
            <w:shd w:fill="D9E2F3"/>
          </w:tcPr>
          <w:p>
            <w:r>
              <w:rPr>
                <w:b/>
                <w:sz w:val="17"/>
              </w:rPr>
              <w:t>Estado</w:t>
            </w:r>
          </w:p>
        </w:tc>
      </w:tr>
      <w:tr>
        <w:tc>
          <w:tcPr>
            <w:tcW w:type="dxa" w:w="3305"/>
            <w:vAlign w:val="top"/>
          </w:tcPr>
          <w:p>
            <w:pPr>
              <w:jc w:val="left"/>
            </w:pPr>
            <w:r>
              <w:rPr>
                <w:sz w:val="17"/>
              </w:rPr>
              <w:t>Ruleset</w:t>
            </w:r>
          </w:p>
        </w:tc>
        <w:tc>
          <w:tcPr>
            <w:tcW w:type="dxa" w:w="3305"/>
            <w:vAlign w:val="top"/>
          </w:tcPr>
          <w:p>
            <w:pPr>
              <w:jc w:val="left"/>
            </w:pPr>
            <w:r>
              <w:rPr>
                <w:sz w:val="17"/>
              </w:rPr>
              <w:t>REGLAS_TUNEADAS/wazuh/rules</w:t>
            </w:r>
          </w:p>
        </w:tc>
        <w:tc>
          <w:tcPr>
            <w:tcW w:type="dxa" w:w="3305"/>
            <w:vAlign w:val="top"/>
          </w:tcPr>
          <w:p>
            <w:pPr>
              <w:jc w:val="left"/>
            </w:pPr>
            <w:r>
              <w:rPr>
                <w:sz w:val="17"/>
              </w:rPr>
              <w:t>CONFIGURADO / VALIDADO-XML parcial</w:t>
            </w:r>
          </w:p>
        </w:tc>
      </w:tr>
      <w:tr>
        <w:tc>
          <w:tcPr>
            <w:tcW w:type="dxa" w:w="3305"/>
            <w:vAlign w:val="top"/>
          </w:tcPr>
          <w:p>
            <w:pPr>
              <w:jc w:val="left"/>
            </w:pPr>
            <w:r>
              <w:rPr>
                <w:sz w:val="17"/>
              </w:rPr>
              <w:t>Contratos</w:t>
            </w:r>
          </w:p>
        </w:tc>
        <w:tc>
          <w:tcPr>
            <w:tcW w:type="dxa" w:w="3305"/>
            <w:vAlign w:val="top"/>
          </w:tcPr>
          <w:p>
            <w:pPr>
              <w:jc w:val="left"/>
            </w:pPr>
            <w:r>
              <w:rPr>
                <w:sz w:val="17"/>
              </w:rPr>
              <w:t>specifications/*.json</w:t>
            </w:r>
          </w:p>
        </w:tc>
        <w:tc>
          <w:tcPr>
            <w:tcW w:type="dxa" w:w="3305"/>
            <w:vAlign w:val="top"/>
          </w:tcPr>
          <w:p>
            <w:pPr>
              <w:jc w:val="left"/>
            </w:pPr>
            <w:r>
              <w:rPr>
                <w:sz w:val="17"/>
              </w:rPr>
              <w:t>DISEÑADO</w:t>
            </w:r>
          </w:p>
        </w:tc>
      </w:tr>
      <w:tr>
        <w:tc>
          <w:tcPr>
            <w:tcW w:type="dxa" w:w="3305"/>
            <w:vAlign w:val="top"/>
          </w:tcPr>
          <w:p>
            <w:pPr>
              <w:jc w:val="left"/>
            </w:pPr>
            <w:r>
              <w:rPr>
                <w:sz w:val="17"/>
              </w:rPr>
              <w:t>Políticas</w:t>
            </w:r>
          </w:p>
        </w:tc>
        <w:tc>
          <w:tcPr>
            <w:tcW w:type="dxa" w:w="3305"/>
            <w:vAlign w:val="top"/>
          </w:tcPr>
          <w:p>
            <w:pPr>
              <w:jc w:val="left"/>
            </w:pPr>
            <w:r>
              <w:rPr>
                <w:sz w:val="17"/>
              </w:rPr>
              <w:t>policies/case_types/*.yaml</w:t>
            </w:r>
          </w:p>
        </w:tc>
        <w:tc>
          <w:tcPr>
            <w:tcW w:type="dxa" w:w="3305"/>
            <w:vAlign w:val="top"/>
          </w:tcPr>
          <w:p>
            <w:pPr>
              <w:jc w:val="left"/>
            </w:pPr>
            <w:r>
              <w:rPr>
                <w:sz w:val="17"/>
              </w:rPr>
              <w:t>DISEÑADO</w:t>
            </w:r>
          </w:p>
        </w:tc>
      </w:tr>
      <w:tr>
        <w:tc>
          <w:tcPr>
            <w:tcW w:type="dxa" w:w="3305"/>
            <w:vAlign w:val="top"/>
          </w:tcPr>
          <w:p>
            <w:pPr>
              <w:jc w:val="left"/>
            </w:pPr>
            <w:r>
              <w:rPr>
                <w:sz w:val="17"/>
              </w:rPr>
              <w:t>Fixtures</w:t>
            </w:r>
          </w:p>
        </w:tc>
        <w:tc>
          <w:tcPr>
            <w:tcW w:type="dxa" w:w="3305"/>
            <w:vAlign w:val="top"/>
          </w:tcPr>
          <w:p>
            <w:pPr>
              <w:jc w:val="left"/>
            </w:pPr>
            <w:r>
              <w:rPr>
                <w:sz w:val="17"/>
              </w:rPr>
              <w:t>test_data y expected_results</w:t>
            </w:r>
          </w:p>
        </w:tc>
        <w:tc>
          <w:tcPr>
            <w:tcW w:type="dxa" w:w="3305"/>
            <w:vAlign w:val="top"/>
          </w:tcPr>
          <w:p>
            <w:pPr>
              <w:jc w:val="left"/>
            </w:pPr>
            <w:r>
              <w:rPr>
                <w:sz w:val="17"/>
              </w:rPr>
              <w:t>CONFIGURADO, no ejecutado en todos los casos</w:t>
            </w:r>
          </w:p>
        </w:tc>
      </w:tr>
      <w:tr>
        <w:tc>
          <w:tcPr>
            <w:tcW w:type="dxa" w:w="3305"/>
            <w:vAlign w:val="top"/>
          </w:tcPr>
          <w:p>
            <w:pPr>
              <w:jc w:val="left"/>
            </w:pPr>
            <w:r>
              <w:rPr>
                <w:sz w:val="17"/>
              </w:rPr>
              <w:t>Backend</w:t>
            </w:r>
          </w:p>
        </w:tc>
        <w:tc>
          <w:tcPr>
            <w:tcW w:type="dxa" w:w="3305"/>
            <w:vAlign w:val="top"/>
          </w:tcPr>
          <w:p>
            <w:pPr>
              <w:jc w:val="left"/>
            </w:pPr>
            <w:r>
              <w:rPr>
                <w:sz w:val="17"/>
              </w:rPr>
              <w:t>No existe</w:t>
            </w:r>
          </w:p>
        </w:tc>
        <w:tc>
          <w:tcPr>
            <w:tcW w:type="dxa" w:w="3305"/>
            <w:vAlign w:val="top"/>
          </w:tcPr>
          <w:p>
            <w:pPr>
              <w:jc w:val="left"/>
            </w:pPr>
            <w:r>
              <w:rPr>
                <w:sz w:val="17"/>
              </w:rPr>
              <w:t>PENDIENTE</w:t>
            </w:r>
          </w:p>
        </w:tc>
      </w:tr>
      <w:tr>
        <w:tc>
          <w:tcPr>
            <w:tcW w:type="dxa" w:w="3305"/>
            <w:vAlign w:val="top"/>
          </w:tcPr>
          <w:p>
            <w:pPr>
              <w:jc w:val="left"/>
            </w:pPr>
            <w:r>
              <w:rPr>
                <w:sz w:val="17"/>
              </w:rPr>
              <w:t>Base de datos</w:t>
            </w:r>
          </w:p>
        </w:tc>
        <w:tc>
          <w:tcPr>
            <w:tcW w:type="dxa" w:w="3305"/>
            <w:vAlign w:val="top"/>
          </w:tcPr>
          <w:p>
            <w:pPr>
              <w:jc w:val="left"/>
            </w:pPr>
            <w:r>
              <w:rPr>
                <w:sz w:val="17"/>
              </w:rPr>
              <w:t>Contrato conceptual</w:t>
            </w:r>
          </w:p>
        </w:tc>
        <w:tc>
          <w:tcPr>
            <w:tcW w:type="dxa" w:w="3305"/>
            <w:vAlign w:val="top"/>
          </w:tcPr>
          <w:p>
            <w:pPr>
              <w:jc w:val="left"/>
            </w:pPr>
            <w:r>
              <w:rPr>
                <w:sz w:val="17"/>
              </w:rPr>
              <w:t>PENDIENTE</w:t>
            </w:r>
          </w:p>
        </w:tc>
      </w:tr>
      <w:tr>
        <w:tc>
          <w:tcPr>
            <w:tcW w:type="dxa" w:w="3305"/>
            <w:vAlign w:val="top"/>
          </w:tcPr>
          <w:p>
            <w:pPr>
              <w:jc w:val="left"/>
            </w:pPr>
            <w:r>
              <w:rPr>
                <w:sz w:val="17"/>
              </w:rPr>
              <w:t>IA/correo</w:t>
            </w:r>
          </w:p>
        </w:tc>
        <w:tc>
          <w:tcPr>
            <w:tcW w:type="dxa" w:w="3305"/>
            <w:vAlign w:val="top"/>
          </w:tcPr>
          <w:p>
            <w:pPr>
              <w:jc w:val="left"/>
            </w:pPr>
            <w:r>
              <w:rPr>
                <w:sz w:val="17"/>
              </w:rPr>
              <w:t>Plantillas y diseño</w:t>
            </w:r>
          </w:p>
        </w:tc>
        <w:tc>
          <w:tcPr>
            <w:tcW w:type="dxa" w:w="3305"/>
            <w:vAlign w:val="top"/>
          </w:tcPr>
          <w:p>
            <w:pPr>
              <w:jc w:val="left"/>
            </w:pPr>
            <w:r>
              <w:rPr>
                <w:sz w:val="17"/>
              </w:rPr>
              <w:t>PENDIENTE</w:t>
            </w:r>
          </w:p>
        </w:tc>
      </w:tr>
    </w:tbl>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REPO_ALIGNMENT_REPORT.md</w:t>
      </w:r>
    </w:p>
    <w:p>
      <w:pPr>
        <w:pStyle w:val="ListBullet"/>
        <w:jc w:val="left"/>
      </w:pPr>
      <w:r>
        <w:rPr>
          <w:rFonts w:ascii="Liberation Mono" w:hAnsi="Liberation Mono"/>
          <w:sz w:val="17"/>
        </w:rPr>
        <w:t>REGLAS_TUNEADAS/wazuh/rules/kriptome_local_rules.xml</w:t>
      </w:r>
    </w:p>
    <w:p>
      <w:pPr>
        <w:pStyle w:val="ListBullet"/>
        <w:jc w:val="left"/>
      </w:pPr>
      <w:r>
        <w:rPr>
          <w:rFonts w:ascii="Liberation Mono" w:hAnsi="Liberation Mono"/>
          <w:sz w:val="17"/>
        </w:rPr>
        <w:t>REGLAS_TUNEADAS/wazuh/config/ossec.conf.ruleset.snippet.xml</w:t>
      </w:r>
    </w:p>
    <w:p>
      <w:pPr>
        <w:pStyle w:val="ListBullet"/>
        <w:jc w:val="left"/>
      </w:pPr>
      <w:r>
        <w:rPr>
          <w:rFonts w:ascii="Liberation Mono" w:hAnsi="Liberation Mono"/>
          <w:sz w:val="17"/>
        </w:rPr>
        <w:t>specifications/normalized_event.schema.json</w:t>
      </w:r>
    </w:p>
    <w:p>
      <w:pPr>
        <w:pStyle w:val="ListBullet"/>
        <w:jc w:val="left"/>
      </w:pPr>
      <w:r>
        <w:rPr>
          <w:rFonts w:ascii="Liberation Mono" w:hAnsi="Liberation Mono"/>
          <w:sz w:val="17"/>
        </w:rPr>
        <w:t>specifications/case.schema.json</w:t>
      </w:r>
    </w:p>
    <w:p>
      <w:pPr>
        <w:pStyle w:val="ListBullet"/>
        <w:jc w:val="left"/>
      </w:pPr>
      <w:r>
        <w:rPr>
          <w:rFonts w:ascii="Liberation Mono" w:hAnsi="Liberation Mono"/>
          <w:sz w:val="17"/>
        </w:rPr>
        <w:t>specifications/enrichment_result.schema.json</w:t>
      </w:r>
    </w:p>
    <w:p>
      <w:pPr>
        <w:pStyle w:val="ListBullet"/>
        <w:jc w:val="left"/>
      </w:pPr>
      <w:r>
        <w:rPr>
          <w:rFonts w:ascii="Liberation Mono" w:hAnsi="Liberation Mono"/>
          <w:sz w:val="17"/>
        </w:rPr>
        <w:t>specifications/client_notification.schema.json</w:t>
      </w:r>
    </w:p>
    <w:p>
      <w:pPr>
        <w:pStyle w:val="ListBullet"/>
        <w:jc w:val="left"/>
      </w:pPr>
      <w:r>
        <w:rPr>
          <w:rFonts w:ascii="Liberation Mono" w:hAnsi="Liberation Mono"/>
          <w:sz w:val="17"/>
        </w:rPr>
        <w:t>specifications/tenant_resolution.md</w:t>
      </w:r>
    </w:p>
    <w:p>
      <w:pPr>
        <w:pStyle w:val="ListBullet"/>
        <w:jc w:val="left"/>
      </w:pPr>
      <w:r>
        <w:rPr>
          <w:rFonts w:ascii="Liberation Mono" w:hAnsi="Liberation Mono"/>
          <w:sz w:val="17"/>
        </w:rPr>
        <w:t>policies/case_types/*.yaml</w:t>
      </w:r>
    </w:p>
    <w:p>
      <w:pPr>
        <w:pStyle w:val="Heading1"/>
      </w:pPr>
      <w:r>
        <w:t>16. Modelo de datos conceptual</w:t>
      </w:r>
    </w:p>
    <w:p>
      <w:pPr>
        <w:jc w:val="both"/>
      </w:pPr>
      <w:r>
        <w:t>La arquitectura necesita un modelo de datos que represente la separación entre evidencia y gestión. Tenant es la entidad raíz. Un tenant tiene activos y usuarios; cada activo puede relacionarse con un agente Wazuh. RawEvent conserva la alerta original. NormalizedEvent contiene el contrato común. Case agrupa evidencias y mantiene estados. EnrichmentResult, ProcedureExecution, AIExecution, Notification y AuditEvent se relacionan con el caso.</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Entidad</w:t>
            </w:r>
          </w:p>
        </w:tc>
        <w:tc>
          <w:tcPr>
            <w:tcW w:type="dxa" w:w="2479"/>
            <w:shd w:fill="D9E2F3"/>
          </w:tcPr>
          <w:p>
            <w:r>
              <w:rPr>
                <w:b/>
                <w:sz w:val="17"/>
              </w:rPr>
              <w:t>Clave principal</w:t>
            </w:r>
          </w:p>
        </w:tc>
        <w:tc>
          <w:tcPr>
            <w:tcW w:type="dxa" w:w="2479"/>
            <w:shd w:fill="D9E2F3"/>
          </w:tcPr>
          <w:p>
            <w:r>
              <w:rPr>
                <w:b/>
                <w:sz w:val="17"/>
              </w:rPr>
              <w:t>Relaciones</w:t>
            </w:r>
          </w:p>
        </w:tc>
        <w:tc>
          <w:tcPr>
            <w:tcW w:type="dxa" w:w="2479"/>
            <w:shd w:fill="D9E2F3"/>
          </w:tcPr>
          <w:p>
            <w:r>
              <w:rPr>
                <w:b/>
                <w:sz w:val="17"/>
              </w:rPr>
              <w:t>Responsabilidad</w:t>
            </w:r>
          </w:p>
        </w:tc>
      </w:tr>
      <w:tr>
        <w:tc>
          <w:tcPr>
            <w:tcW w:type="dxa" w:w="2479"/>
          </w:tcPr>
          <w:p>
            <w:pPr>
              <w:jc w:val="left"/>
            </w:pPr>
            <w:r>
              <w:rPr>
                <w:sz w:val="17"/>
              </w:rPr>
              <w:t>Tenant</w:t>
            </w:r>
          </w:p>
        </w:tc>
        <w:tc>
          <w:tcPr>
            <w:tcW w:type="dxa" w:w="2479"/>
          </w:tcPr>
          <w:p>
            <w:pPr>
              <w:jc w:val="left"/>
            </w:pPr>
            <w:r>
              <w:rPr>
                <w:sz w:val="17"/>
              </w:rPr>
              <w:t>tenant_id</w:t>
            </w:r>
          </w:p>
        </w:tc>
        <w:tc>
          <w:tcPr>
            <w:tcW w:type="dxa" w:w="2479"/>
          </w:tcPr>
          <w:p>
            <w:pPr>
              <w:jc w:val="left"/>
            </w:pPr>
            <w:r>
              <w:rPr>
                <w:sz w:val="17"/>
              </w:rPr>
              <w:t>Activos, usuarios, casos</w:t>
            </w:r>
          </w:p>
        </w:tc>
        <w:tc>
          <w:tcPr>
            <w:tcW w:type="dxa" w:w="2479"/>
          </w:tcPr>
          <w:p>
            <w:pPr>
              <w:jc w:val="left"/>
            </w:pPr>
            <w:r>
              <w:rPr>
                <w:sz w:val="17"/>
              </w:rPr>
              <w:t>Frontera de cliente</w:t>
            </w:r>
          </w:p>
        </w:tc>
      </w:tr>
      <w:tr>
        <w:tc>
          <w:tcPr>
            <w:tcW w:type="dxa" w:w="2479"/>
          </w:tcPr>
          <w:p>
            <w:pPr>
              <w:jc w:val="left"/>
            </w:pPr>
            <w:r>
              <w:rPr>
                <w:sz w:val="17"/>
              </w:rPr>
              <w:t>Asset</w:t>
            </w:r>
          </w:p>
        </w:tc>
        <w:tc>
          <w:tcPr>
            <w:tcW w:type="dxa" w:w="2479"/>
          </w:tcPr>
          <w:p>
            <w:pPr>
              <w:jc w:val="left"/>
            </w:pPr>
            <w:r>
              <w:rPr>
                <w:sz w:val="17"/>
              </w:rPr>
              <w:t>asset_id</w:t>
            </w:r>
          </w:p>
        </w:tc>
        <w:tc>
          <w:tcPr>
            <w:tcW w:type="dxa" w:w="2479"/>
          </w:tcPr>
          <w:p>
            <w:pPr>
              <w:jc w:val="left"/>
            </w:pPr>
            <w:r>
              <w:rPr>
                <w:sz w:val="17"/>
              </w:rPr>
              <w:t>Tenant y agent mapping</w:t>
            </w:r>
          </w:p>
        </w:tc>
        <w:tc>
          <w:tcPr>
            <w:tcW w:type="dxa" w:w="2479"/>
          </w:tcPr>
          <w:p>
            <w:pPr>
              <w:jc w:val="left"/>
            </w:pPr>
            <w:r>
              <w:rPr>
                <w:sz w:val="17"/>
              </w:rPr>
              <w:t>Contexto y criticidad</w:t>
            </w:r>
          </w:p>
        </w:tc>
      </w:tr>
      <w:tr>
        <w:tc>
          <w:tcPr>
            <w:tcW w:type="dxa" w:w="2479"/>
          </w:tcPr>
          <w:p>
            <w:pPr>
              <w:jc w:val="left"/>
            </w:pPr>
            <w:r>
              <w:rPr>
                <w:sz w:val="17"/>
              </w:rPr>
              <w:t>RawEvent</w:t>
            </w:r>
          </w:p>
        </w:tc>
        <w:tc>
          <w:tcPr>
            <w:tcW w:type="dxa" w:w="2479"/>
          </w:tcPr>
          <w:p>
            <w:pPr>
              <w:jc w:val="left"/>
            </w:pPr>
            <w:r>
              <w:rPr>
                <w:sz w:val="17"/>
              </w:rPr>
              <w:t>raw_event_id/event_id</w:t>
            </w:r>
          </w:p>
        </w:tc>
        <w:tc>
          <w:tcPr>
            <w:tcW w:type="dxa" w:w="2479"/>
          </w:tcPr>
          <w:p>
            <w:pPr>
              <w:jc w:val="left"/>
            </w:pPr>
            <w:r>
              <w:rPr>
                <w:sz w:val="17"/>
              </w:rPr>
              <w:t>Agente y caso</w:t>
            </w:r>
          </w:p>
        </w:tc>
        <w:tc>
          <w:tcPr>
            <w:tcW w:type="dxa" w:w="2479"/>
          </w:tcPr>
          <w:p>
            <w:pPr>
              <w:jc w:val="left"/>
            </w:pPr>
            <w:r>
              <w:rPr>
                <w:sz w:val="17"/>
              </w:rPr>
              <w:t>Evidencia inmutable</w:t>
            </w:r>
          </w:p>
        </w:tc>
      </w:tr>
      <w:tr>
        <w:tc>
          <w:tcPr>
            <w:tcW w:type="dxa" w:w="2479"/>
          </w:tcPr>
          <w:p>
            <w:pPr>
              <w:jc w:val="left"/>
            </w:pPr>
            <w:r>
              <w:rPr>
                <w:sz w:val="17"/>
              </w:rPr>
              <w:t>NormalizedEvent</w:t>
            </w:r>
          </w:p>
        </w:tc>
        <w:tc>
          <w:tcPr>
            <w:tcW w:type="dxa" w:w="2479"/>
          </w:tcPr>
          <w:p>
            <w:pPr>
              <w:jc w:val="left"/>
            </w:pPr>
            <w:r>
              <w:rPr>
                <w:sz w:val="17"/>
              </w:rPr>
              <w:t>normalized_event_id</w:t>
            </w:r>
          </w:p>
        </w:tc>
        <w:tc>
          <w:tcPr>
            <w:tcW w:type="dxa" w:w="2479"/>
          </w:tcPr>
          <w:p>
            <w:pPr>
              <w:jc w:val="left"/>
            </w:pPr>
            <w:r>
              <w:rPr>
                <w:sz w:val="17"/>
              </w:rPr>
              <w:t>RawEvent</w:t>
            </w:r>
          </w:p>
        </w:tc>
        <w:tc>
          <w:tcPr>
            <w:tcW w:type="dxa" w:w="2479"/>
          </w:tcPr>
          <w:p>
            <w:pPr>
              <w:jc w:val="left"/>
            </w:pPr>
            <w:r>
              <w:rPr>
                <w:sz w:val="17"/>
              </w:rPr>
              <w:t>Contrato común</w:t>
            </w:r>
          </w:p>
        </w:tc>
      </w:tr>
      <w:tr>
        <w:tc>
          <w:tcPr>
            <w:tcW w:type="dxa" w:w="2479"/>
          </w:tcPr>
          <w:p>
            <w:pPr>
              <w:jc w:val="left"/>
            </w:pPr>
            <w:r>
              <w:rPr>
                <w:sz w:val="17"/>
              </w:rPr>
              <w:t>Case</w:t>
            </w:r>
          </w:p>
        </w:tc>
        <w:tc>
          <w:tcPr>
            <w:tcW w:type="dxa" w:w="2479"/>
          </w:tcPr>
          <w:p>
            <w:pPr>
              <w:jc w:val="left"/>
            </w:pPr>
            <w:r>
              <w:rPr>
                <w:sz w:val="17"/>
              </w:rPr>
              <w:t>case_id</w:t>
            </w:r>
          </w:p>
        </w:tc>
        <w:tc>
          <w:tcPr>
            <w:tcW w:type="dxa" w:w="2479"/>
          </w:tcPr>
          <w:p>
            <w:pPr>
              <w:jc w:val="left"/>
            </w:pPr>
            <w:r>
              <w:rPr>
                <w:sz w:val="17"/>
              </w:rPr>
              <w:t>Tenant, activo y evidencias</w:t>
            </w:r>
          </w:p>
        </w:tc>
        <w:tc>
          <w:tcPr>
            <w:tcW w:type="dxa" w:w="2479"/>
          </w:tcPr>
          <w:p>
            <w:pPr>
              <w:jc w:val="left"/>
            </w:pPr>
            <w:r>
              <w:rPr>
                <w:sz w:val="17"/>
              </w:rPr>
              <w:t>Ciclo de vida</w:t>
            </w:r>
          </w:p>
        </w:tc>
      </w:tr>
      <w:tr>
        <w:tc>
          <w:tcPr>
            <w:tcW w:type="dxa" w:w="2479"/>
          </w:tcPr>
          <w:p>
            <w:pPr>
              <w:jc w:val="left"/>
            </w:pPr>
            <w:r>
              <w:rPr>
                <w:sz w:val="17"/>
              </w:rPr>
              <w:t>EnrichmentResult</w:t>
            </w:r>
          </w:p>
        </w:tc>
        <w:tc>
          <w:tcPr>
            <w:tcW w:type="dxa" w:w="2479"/>
          </w:tcPr>
          <w:p>
            <w:pPr>
              <w:jc w:val="left"/>
            </w:pPr>
            <w:r>
              <w:rPr>
                <w:sz w:val="17"/>
              </w:rPr>
              <w:t>enrichment_id</w:t>
            </w:r>
          </w:p>
        </w:tc>
        <w:tc>
          <w:tcPr>
            <w:tcW w:type="dxa" w:w="2479"/>
          </w:tcPr>
          <w:p>
            <w:pPr>
              <w:jc w:val="left"/>
            </w:pPr>
            <w:r>
              <w:rPr>
                <w:sz w:val="17"/>
              </w:rPr>
              <w:t>Caso e indicador</w:t>
            </w:r>
          </w:p>
        </w:tc>
        <w:tc>
          <w:tcPr>
            <w:tcW w:type="dxa" w:w="2479"/>
          </w:tcPr>
          <w:p>
            <w:pPr>
              <w:jc w:val="left"/>
            </w:pPr>
            <w:r>
              <w:rPr>
                <w:sz w:val="17"/>
              </w:rPr>
              <w:t>Contexto externo</w:t>
            </w:r>
          </w:p>
        </w:tc>
      </w:tr>
      <w:tr>
        <w:tc>
          <w:tcPr>
            <w:tcW w:type="dxa" w:w="2479"/>
          </w:tcPr>
          <w:p>
            <w:pPr>
              <w:jc w:val="left"/>
            </w:pPr>
            <w:r>
              <w:rPr>
                <w:sz w:val="17"/>
              </w:rPr>
              <w:t>Notification</w:t>
            </w:r>
          </w:p>
        </w:tc>
        <w:tc>
          <w:tcPr>
            <w:tcW w:type="dxa" w:w="2479"/>
          </w:tcPr>
          <w:p>
            <w:pPr>
              <w:jc w:val="left"/>
            </w:pPr>
            <w:r>
              <w:rPr>
                <w:sz w:val="17"/>
              </w:rPr>
              <w:t>message_id</w:t>
            </w:r>
          </w:p>
        </w:tc>
        <w:tc>
          <w:tcPr>
            <w:tcW w:type="dxa" w:w="2479"/>
          </w:tcPr>
          <w:p>
            <w:pPr>
              <w:jc w:val="left"/>
            </w:pPr>
            <w:r>
              <w:rPr>
                <w:sz w:val="17"/>
              </w:rPr>
              <w:t>Caso y destinatarios</w:t>
            </w:r>
          </w:p>
        </w:tc>
        <w:tc>
          <w:tcPr>
            <w:tcW w:type="dxa" w:w="2479"/>
          </w:tcPr>
          <w:p>
            <w:pPr>
              <w:jc w:val="left"/>
            </w:pPr>
            <w:r>
              <w:rPr>
                <w:sz w:val="17"/>
              </w:rPr>
              <w:t>Comunicación idempotente</w:t>
            </w:r>
          </w:p>
        </w:tc>
      </w:tr>
      <w:tr>
        <w:tc>
          <w:tcPr>
            <w:tcW w:type="dxa" w:w="2479"/>
          </w:tcPr>
          <w:p>
            <w:pPr>
              <w:jc w:val="left"/>
            </w:pPr>
            <w:r>
              <w:rPr>
                <w:sz w:val="17"/>
              </w:rPr>
              <w:t>AuditEvent</w:t>
            </w:r>
          </w:p>
        </w:tc>
        <w:tc>
          <w:tcPr>
            <w:tcW w:type="dxa" w:w="2479"/>
          </w:tcPr>
          <w:p>
            <w:pPr>
              <w:jc w:val="left"/>
            </w:pPr>
            <w:r>
              <w:rPr>
                <w:sz w:val="17"/>
              </w:rPr>
              <w:t>audit_id</w:t>
            </w:r>
          </w:p>
        </w:tc>
        <w:tc>
          <w:tcPr>
            <w:tcW w:type="dxa" w:w="2479"/>
          </w:tcPr>
          <w:p>
            <w:pPr>
              <w:jc w:val="left"/>
            </w:pPr>
            <w:r>
              <w:rPr>
                <w:sz w:val="17"/>
              </w:rPr>
              <w:t>Todos los recursos</w:t>
            </w:r>
          </w:p>
        </w:tc>
        <w:tc>
          <w:tcPr>
            <w:tcW w:type="dxa" w:w="2479"/>
          </w:tcPr>
          <w:p>
            <w:pPr>
              <w:jc w:val="left"/>
            </w:pPr>
            <w:r>
              <w:rPr>
                <w:sz w:val="17"/>
              </w:rPr>
              <w:t>Trazabilidad</w:t>
            </w:r>
          </w:p>
        </w:tc>
      </w:tr>
    </w:tbl>
    <w:p/>
    <w:p>
      <w:pPr>
        <w:jc w:val="both"/>
      </w:pPr>
      <w:r>
        <w:t>Las claves y restricciones deben incluir tenant_id incluso cuando el identificador parezca global. Los índices principales se diseñan para event_id, tenant_id + fingerprint + estado, case_id + tenant_id y mensajes pendientes. Esta estructura permite que la aplicación aplique filtros y que las pruebas detecten accesos cruzados.</w:t>
      </w:r>
    </w:p>
    <w:p>
      <w:pPr>
        <w:pStyle w:val="Heading1"/>
      </w:pPr>
      <w:r>
        <w:t>17. Interfaces entre componentes</w:t>
      </w:r>
    </w:p>
    <w:p>
      <w:pPr>
        <w:jc w:val="both"/>
      </w:pPr>
      <w:r>
        <w:t>Cada módulo debe exponer un contrato explícito. La ingesta entrega raw events; el normalizador recibe un raw event y produce un normalized event o un error. El motor de casos recibe un normalized event y retorna case_id, action y material_change. El enriquecimiento recibe un indicador y devuelve un EnrichmentResult. El motor de riesgo recibe el caso enriquecido y produce una evaluación versionada.</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Interfaz</w:t>
            </w:r>
          </w:p>
        </w:tc>
        <w:tc>
          <w:tcPr>
            <w:tcW w:type="dxa" w:w="2479"/>
            <w:shd w:fill="D9E2F3"/>
          </w:tcPr>
          <w:p>
            <w:r>
              <w:rPr>
                <w:b/>
                <w:sz w:val="17"/>
              </w:rPr>
              <w:t>Entrada</w:t>
            </w:r>
          </w:p>
        </w:tc>
        <w:tc>
          <w:tcPr>
            <w:tcW w:type="dxa" w:w="2479"/>
            <w:shd w:fill="D9E2F3"/>
          </w:tcPr>
          <w:p>
            <w:r>
              <w:rPr>
                <w:b/>
                <w:sz w:val="17"/>
              </w:rPr>
              <w:t>Salida</w:t>
            </w:r>
          </w:p>
        </w:tc>
        <w:tc>
          <w:tcPr>
            <w:tcW w:type="dxa" w:w="2479"/>
            <w:shd w:fill="D9E2F3"/>
          </w:tcPr>
          <w:p>
            <w:r>
              <w:rPr>
                <w:b/>
                <w:sz w:val="17"/>
              </w:rPr>
              <w:t>Comportamiento ante error</w:t>
            </w:r>
          </w:p>
        </w:tc>
      </w:tr>
      <w:tr>
        <w:tc>
          <w:tcPr>
            <w:tcW w:type="dxa" w:w="2479"/>
          </w:tcPr>
          <w:p>
            <w:pPr>
              <w:jc w:val="left"/>
            </w:pPr>
            <w:r>
              <w:rPr>
                <w:sz w:val="17"/>
              </w:rPr>
              <w:t>Ingesta → Normalización</w:t>
            </w:r>
          </w:p>
        </w:tc>
        <w:tc>
          <w:tcPr>
            <w:tcW w:type="dxa" w:w="2479"/>
          </w:tcPr>
          <w:p>
            <w:pPr>
              <w:jc w:val="left"/>
            </w:pPr>
            <w:r>
              <w:rPr>
                <w:sz w:val="17"/>
              </w:rPr>
              <w:t>raw_event_id</w:t>
            </w:r>
          </w:p>
        </w:tc>
        <w:tc>
          <w:tcPr>
            <w:tcW w:type="dxa" w:w="2479"/>
          </w:tcPr>
          <w:p>
            <w:pPr>
              <w:jc w:val="left"/>
            </w:pPr>
            <w:r>
              <w:rPr>
                <w:sz w:val="17"/>
              </w:rPr>
              <w:t>normalized_event</w:t>
            </w:r>
          </w:p>
        </w:tc>
        <w:tc>
          <w:tcPr>
            <w:tcW w:type="dxa" w:w="2479"/>
          </w:tcPr>
          <w:p>
            <w:pPr>
              <w:jc w:val="left"/>
            </w:pPr>
            <w:r>
              <w:rPr>
                <w:sz w:val="17"/>
              </w:rPr>
              <w:t>Marca normalization_failed</w:t>
            </w:r>
          </w:p>
        </w:tc>
      </w:tr>
      <w:tr>
        <w:tc>
          <w:tcPr>
            <w:tcW w:type="dxa" w:w="2479"/>
          </w:tcPr>
          <w:p>
            <w:pPr>
              <w:jc w:val="left"/>
            </w:pPr>
            <w:r>
              <w:rPr>
                <w:sz w:val="17"/>
              </w:rPr>
              <w:t>Normalización → Casos</w:t>
            </w:r>
          </w:p>
        </w:tc>
        <w:tc>
          <w:tcPr>
            <w:tcW w:type="dxa" w:w="2479"/>
          </w:tcPr>
          <w:p>
            <w:pPr>
              <w:jc w:val="left"/>
            </w:pPr>
            <w:r>
              <w:rPr>
                <w:sz w:val="17"/>
              </w:rPr>
              <w:t>normalized_event</w:t>
            </w:r>
          </w:p>
        </w:tc>
        <w:tc>
          <w:tcPr>
            <w:tcW w:type="dxa" w:w="2479"/>
          </w:tcPr>
          <w:p>
            <w:pPr>
              <w:jc w:val="left"/>
            </w:pPr>
            <w:r>
              <w:rPr>
                <w:sz w:val="17"/>
              </w:rPr>
              <w:t>case action</w:t>
            </w:r>
          </w:p>
        </w:tc>
        <w:tc>
          <w:tcPr>
            <w:tcW w:type="dxa" w:w="2479"/>
          </w:tcPr>
          <w:p>
            <w:pPr>
              <w:jc w:val="left"/>
            </w:pPr>
            <w:r>
              <w:rPr>
                <w:sz w:val="17"/>
              </w:rPr>
              <w:t>No crea caso inválido</w:t>
            </w:r>
          </w:p>
        </w:tc>
      </w:tr>
      <w:tr>
        <w:tc>
          <w:tcPr>
            <w:tcW w:type="dxa" w:w="2479"/>
          </w:tcPr>
          <w:p>
            <w:pPr>
              <w:jc w:val="left"/>
            </w:pPr>
            <w:r>
              <w:rPr>
                <w:sz w:val="17"/>
              </w:rPr>
              <w:t>Casos → Enriquecimiento</w:t>
            </w:r>
          </w:p>
        </w:tc>
        <w:tc>
          <w:tcPr>
            <w:tcW w:type="dxa" w:w="2479"/>
          </w:tcPr>
          <w:p>
            <w:pPr>
              <w:jc w:val="left"/>
            </w:pPr>
            <w:r>
              <w:rPr>
                <w:sz w:val="17"/>
              </w:rPr>
              <w:t>case + indicators</w:t>
            </w:r>
          </w:p>
        </w:tc>
        <w:tc>
          <w:tcPr>
            <w:tcW w:type="dxa" w:w="2479"/>
          </w:tcPr>
          <w:p>
            <w:pPr>
              <w:jc w:val="left"/>
            </w:pPr>
            <w:r>
              <w:rPr>
                <w:sz w:val="17"/>
              </w:rPr>
              <w:t>enrichment results</w:t>
            </w:r>
          </w:p>
        </w:tc>
        <w:tc>
          <w:tcPr>
            <w:tcW w:type="dxa" w:w="2479"/>
          </w:tcPr>
          <w:p>
            <w:pPr>
              <w:jc w:val="left"/>
            </w:pPr>
            <w:r>
              <w:rPr>
                <w:sz w:val="17"/>
              </w:rPr>
              <w:t>Fallback/estado degraded</w:t>
            </w:r>
          </w:p>
        </w:tc>
      </w:tr>
      <w:tr>
        <w:tc>
          <w:tcPr>
            <w:tcW w:type="dxa" w:w="2479"/>
          </w:tcPr>
          <w:p>
            <w:pPr>
              <w:jc w:val="left"/>
            </w:pPr>
            <w:r>
              <w:rPr>
                <w:sz w:val="17"/>
              </w:rPr>
              <w:t>Riesgo → Procedimientos</w:t>
            </w:r>
          </w:p>
        </w:tc>
        <w:tc>
          <w:tcPr>
            <w:tcW w:type="dxa" w:w="2479"/>
          </w:tcPr>
          <w:p>
            <w:pPr>
              <w:jc w:val="left"/>
            </w:pPr>
            <w:r>
              <w:rPr>
                <w:sz w:val="17"/>
              </w:rPr>
              <w:t>case context</w:t>
            </w:r>
          </w:p>
        </w:tc>
        <w:tc>
          <w:tcPr>
            <w:tcW w:type="dxa" w:w="2479"/>
          </w:tcPr>
          <w:p>
            <w:pPr>
              <w:jc w:val="left"/>
            </w:pPr>
            <w:r>
              <w:rPr>
                <w:sz w:val="17"/>
              </w:rPr>
              <w:t>priority + procedure</w:t>
            </w:r>
          </w:p>
        </w:tc>
        <w:tc>
          <w:tcPr>
            <w:tcW w:type="dxa" w:w="2479"/>
          </w:tcPr>
          <w:p>
            <w:pPr>
              <w:jc w:val="left"/>
            </w:pPr>
            <w:r>
              <w:rPr>
                <w:sz w:val="17"/>
              </w:rPr>
              <w:t>Política determinística</w:t>
            </w:r>
          </w:p>
        </w:tc>
      </w:tr>
      <w:tr>
        <w:tc>
          <w:tcPr>
            <w:tcW w:type="dxa" w:w="2479"/>
          </w:tcPr>
          <w:p>
            <w:pPr>
              <w:jc w:val="left"/>
            </w:pPr>
            <w:r>
              <w:rPr>
                <w:sz w:val="17"/>
              </w:rPr>
              <w:t>Procedimiento → IA</w:t>
            </w:r>
          </w:p>
        </w:tc>
        <w:tc>
          <w:tcPr>
            <w:tcW w:type="dxa" w:w="2479"/>
          </w:tcPr>
          <w:p>
            <w:pPr>
              <w:jc w:val="left"/>
            </w:pPr>
            <w:r>
              <w:rPr>
                <w:sz w:val="17"/>
              </w:rPr>
              <w:t>payload reducido</w:t>
            </w:r>
          </w:p>
        </w:tc>
        <w:tc>
          <w:tcPr>
            <w:tcW w:type="dxa" w:w="2479"/>
          </w:tcPr>
          <w:p>
            <w:pPr>
              <w:jc w:val="left"/>
            </w:pPr>
            <w:r>
              <w:rPr>
                <w:sz w:val="17"/>
              </w:rPr>
              <w:t>draft</w:t>
            </w:r>
          </w:p>
        </w:tc>
        <w:tc>
          <w:tcPr>
            <w:tcW w:type="dxa" w:w="2479"/>
          </w:tcPr>
          <w:p>
            <w:pPr>
              <w:jc w:val="left"/>
            </w:pPr>
            <w:r>
              <w:rPr>
                <w:sz w:val="17"/>
              </w:rPr>
              <w:t>Plantilla si falla</w:t>
            </w:r>
          </w:p>
        </w:tc>
      </w:tr>
      <w:tr>
        <w:tc>
          <w:tcPr>
            <w:tcW w:type="dxa" w:w="2479"/>
          </w:tcPr>
          <w:p>
            <w:pPr>
              <w:jc w:val="left"/>
            </w:pPr>
            <w:r>
              <w:rPr>
                <w:sz w:val="17"/>
              </w:rPr>
              <w:t>Comunicación → Cliente</w:t>
            </w:r>
          </w:p>
        </w:tc>
        <w:tc>
          <w:tcPr>
            <w:tcW w:type="dxa" w:w="2479"/>
          </w:tcPr>
          <w:p>
            <w:pPr>
              <w:jc w:val="left"/>
            </w:pPr>
            <w:r>
              <w:rPr>
                <w:sz w:val="17"/>
              </w:rPr>
              <w:t>approved notification</w:t>
            </w:r>
          </w:p>
        </w:tc>
        <w:tc>
          <w:tcPr>
            <w:tcW w:type="dxa" w:w="2479"/>
          </w:tcPr>
          <w:p>
            <w:pPr>
              <w:jc w:val="left"/>
            </w:pPr>
            <w:r>
              <w:rPr>
                <w:sz w:val="17"/>
              </w:rPr>
              <w:t>delivery status</w:t>
            </w:r>
          </w:p>
        </w:tc>
        <w:tc>
          <w:tcPr>
            <w:tcW w:type="dxa" w:w="2479"/>
          </w:tcPr>
          <w:p>
            <w:pPr>
              <w:jc w:val="left"/>
            </w:pPr>
            <w:r>
              <w:rPr>
                <w:sz w:val="17"/>
              </w:rPr>
              <w:t>Retry idempotente</w:t>
            </w:r>
          </w:p>
        </w:tc>
      </w:tr>
    </w:tbl>
    <w:p/>
    <w:p>
      <w:pPr>
        <w:pStyle w:val="Heading1"/>
      </w:pPr>
      <w:r>
        <w:t>18. Decisiones arquitectónicas pendientes</w:t>
      </w:r>
    </w:p>
    <w:p>
      <w:pPr>
        <w:jc w:val="both"/>
      </w:pPr>
      <w:r>
        <w:t>Aunque la arquitectura lógica está definida, varias decisiones deben cerrarse antes de implementar. La primera es la forma exacta de leer el Indexer y conservar el cursor. La segunda es el modelo de separación física: un stack compartido puede ser suficiente para el piloto, mientras que clientes regulados pueden requerir índices o stacks dedicados. La tercera es el proveedor de IA y las condiciones de privacidad.</w:t>
      </w:r>
    </w:p>
    <w:p>
      <w:pPr>
        <w:pStyle w:val="ListBullet"/>
        <w:jc w:val="left"/>
      </w:pPr>
      <w:r>
        <w:t>Motor de tareas: proceso propio, Dramatiq, Celery o alternativa simple.</w:t>
      </w:r>
    </w:p>
    <w:p>
      <w:pPr>
        <w:pStyle w:val="ListBullet"/>
        <w:jc w:val="left"/>
      </w:pPr>
      <w:r>
        <w:t>Cache: PostgreSQL inicialmente o Redis si la carga lo justifica.</w:t>
      </w:r>
    </w:p>
    <w:p>
      <w:pPr>
        <w:pStyle w:val="ListBullet"/>
        <w:jc w:val="left"/>
      </w:pPr>
      <w:r>
        <w:t>Proveedor de correo y mecanismo de idempotencia.</w:t>
      </w:r>
    </w:p>
    <w:p>
      <w:pPr>
        <w:pStyle w:val="ListBullet"/>
        <w:jc w:val="left"/>
      </w:pPr>
      <w:r>
        <w:t>Política de retención de raw events y auditoría.</w:t>
      </w:r>
    </w:p>
    <w:p>
      <w:pPr>
        <w:pStyle w:val="ListBullet"/>
        <w:jc w:val="left"/>
      </w:pPr>
      <w:r>
        <w:t>Frecuencia y fuente de actualización de CISA KEV.</w:t>
      </w:r>
    </w:p>
    <w:p>
      <w:pPr>
        <w:pStyle w:val="ListBullet"/>
        <w:jc w:val="left"/>
      </w:pPr>
      <w:r>
        <w:t>Modelo de autenticación para clientes y analistas.</w:t>
      </w:r>
    </w:p>
    <w:p>
      <w:pPr>
        <w:jc w:val="both"/>
      </w:pPr>
      <w:r>
        <w:t>Estas decisiones deben registrarse como ADR —Architecture Decision Records— con contexto, alternativas, decisión y consecuencias. El objetivo es que el diseño no dependa de conocimiento informal de una persona.</w:t>
      </w:r>
    </w:p>
    <w:p>
      <w:pPr>
        <w:pStyle w:val="Heading1"/>
      </w:pPr>
      <w:r>
        <w:t>19. Vista de despliegue para el piloto</w:t>
      </w:r>
    </w:p>
    <w:p>
      <w:pPr>
        <w:jc w:val="both"/>
      </w:pPr>
      <w:r>
        <w:t>En la vista de despliegue, el Manager e Indexer de Wazuh pueden permanecer en la infraestructura actual. La aplicación Kriptome se ejecuta en un host o contenedor separado con acceso controlado al Indexer y PostgreSQL. Los workers comparten código y base de datos, pero tienen funciones distintas: ingesta, procesamiento y comunicación. Esta separación permite pausar las notificaciones sin detener la recepción de evidencia.</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6"/>
              </w:rPr>
              <w:t>Nodo/servicio</w:t>
            </w:r>
          </w:p>
        </w:tc>
        <w:tc>
          <w:tcPr>
            <w:tcW w:type="dxa" w:w="2479"/>
            <w:shd w:fill="D9E2F3"/>
          </w:tcPr>
          <w:p>
            <w:r>
              <w:rPr>
                <w:b/>
                <w:sz w:val="16"/>
              </w:rPr>
              <w:t>Función</w:t>
            </w:r>
          </w:p>
        </w:tc>
        <w:tc>
          <w:tcPr>
            <w:tcW w:type="dxa" w:w="2479"/>
            <w:shd w:fill="D9E2F3"/>
          </w:tcPr>
          <w:p>
            <w:r>
              <w:rPr>
                <w:b/>
                <w:sz w:val="16"/>
              </w:rPr>
              <w:t>Dependencias</w:t>
            </w:r>
          </w:p>
        </w:tc>
        <w:tc>
          <w:tcPr>
            <w:tcW w:type="dxa" w:w="2479"/>
            <w:shd w:fill="D9E2F3"/>
          </w:tcPr>
          <w:p>
            <w:r>
              <w:rPr>
                <w:b/>
                <w:sz w:val="16"/>
              </w:rPr>
              <w:t>Monitoreo</w:t>
            </w:r>
          </w:p>
        </w:tc>
      </w:tr>
      <w:tr>
        <w:tc>
          <w:tcPr>
            <w:tcW w:type="dxa" w:w="2479"/>
          </w:tcPr>
          <w:p>
            <w:pPr>
              <w:jc w:val="left"/>
            </w:pPr>
            <w:r>
              <w:rPr>
                <w:sz w:val="16"/>
              </w:rPr>
              <w:t>Wazuh Manager</w:t>
            </w:r>
          </w:p>
        </w:tc>
        <w:tc>
          <w:tcPr>
            <w:tcW w:type="dxa" w:w="2479"/>
          </w:tcPr>
          <w:p>
            <w:pPr>
              <w:jc w:val="left"/>
            </w:pPr>
            <w:r>
              <w:rPr>
                <w:sz w:val="16"/>
              </w:rPr>
              <w:t>Reglas y recepción</w:t>
            </w:r>
          </w:p>
        </w:tc>
        <w:tc>
          <w:tcPr>
            <w:tcW w:type="dxa" w:w="2479"/>
          </w:tcPr>
          <w:p>
            <w:pPr>
              <w:jc w:val="left"/>
            </w:pPr>
            <w:r>
              <w:rPr>
                <w:sz w:val="16"/>
              </w:rPr>
              <w:t>Agents</w:t>
            </w:r>
          </w:p>
        </w:tc>
        <w:tc>
          <w:tcPr>
            <w:tcW w:type="dxa" w:w="2479"/>
          </w:tcPr>
          <w:p>
            <w:pPr>
              <w:jc w:val="left"/>
            </w:pPr>
            <w:r>
              <w:rPr>
                <w:sz w:val="16"/>
              </w:rPr>
              <w:t>Estado y colas</w:t>
            </w:r>
          </w:p>
        </w:tc>
      </w:tr>
      <w:tr>
        <w:tc>
          <w:tcPr>
            <w:tcW w:type="dxa" w:w="2479"/>
          </w:tcPr>
          <w:p>
            <w:pPr>
              <w:jc w:val="left"/>
            </w:pPr>
            <w:r>
              <w:rPr>
                <w:sz w:val="16"/>
              </w:rPr>
              <w:t>Wazuh Indexer</w:t>
            </w:r>
          </w:p>
        </w:tc>
        <w:tc>
          <w:tcPr>
            <w:tcW w:type="dxa" w:w="2479"/>
          </w:tcPr>
          <w:p>
            <w:pPr>
              <w:jc w:val="left"/>
            </w:pPr>
            <w:r>
              <w:rPr>
                <w:sz w:val="16"/>
              </w:rPr>
              <w:t>Alertas y búsquedas</w:t>
            </w:r>
          </w:p>
        </w:tc>
        <w:tc>
          <w:tcPr>
            <w:tcW w:type="dxa" w:w="2479"/>
          </w:tcPr>
          <w:p>
            <w:pPr>
              <w:jc w:val="left"/>
            </w:pPr>
            <w:r>
              <w:rPr>
                <w:sz w:val="16"/>
              </w:rPr>
              <w:t>Manager</w:t>
            </w:r>
          </w:p>
        </w:tc>
        <w:tc>
          <w:tcPr>
            <w:tcW w:type="dxa" w:w="2479"/>
          </w:tcPr>
          <w:p>
            <w:pPr>
              <w:jc w:val="left"/>
            </w:pPr>
            <w:r>
              <w:rPr>
                <w:sz w:val="16"/>
              </w:rPr>
              <w:t>Disco, latencia</w:t>
            </w:r>
          </w:p>
        </w:tc>
      </w:tr>
      <w:tr>
        <w:tc>
          <w:tcPr>
            <w:tcW w:type="dxa" w:w="2479"/>
          </w:tcPr>
          <w:p>
            <w:pPr>
              <w:jc w:val="left"/>
            </w:pPr>
            <w:r>
              <w:rPr>
                <w:sz w:val="16"/>
              </w:rPr>
              <w:t>Kriptome App</w:t>
            </w:r>
          </w:p>
        </w:tc>
        <w:tc>
          <w:tcPr>
            <w:tcW w:type="dxa" w:w="2479"/>
          </w:tcPr>
          <w:p>
            <w:pPr>
              <w:jc w:val="left"/>
            </w:pPr>
            <w:r>
              <w:rPr>
                <w:sz w:val="16"/>
              </w:rPr>
              <w:t>API y lógica</w:t>
            </w:r>
          </w:p>
        </w:tc>
        <w:tc>
          <w:tcPr>
            <w:tcW w:type="dxa" w:w="2479"/>
          </w:tcPr>
          <w:p>
            <w:pPr>
              <w:jc w:val="left"/>
            </w:pPr>
            <w:r>
              <w:rPr>
                <w:sz w:val="16"/>
              </w:rPr>
              <w:t>PostgreSQL</w:t>
            </w:r>
          </w:p>
        </w:tc>
        <w:tc>
          <w:tcPr>
            <w:tcW w:type="dxa" w:w="2479"/>
          </w:tcPr>
          <w:p>
            <w:pPr>
              <w:jc w:val="left"/>
            </w:pPr>
            <w:r>
              <w:rPr>
                <w:sz w:val="16"/>
              </w:rPr>
              <w:t>Errores y latencia</w:t>
            </w:r>
          </w:p>
        </w:tc>
      </w:tr>
      <w:tr>
        <w:tc>
          <w:tcPr>
            <w:tcW w:type="dxa" w:w="2479"/>
          </w:tcPr>
          <w:p>
            <w:pPr>
              <w:jc w:val="left"/>
            </w:pPr>
            <w:r>
              <w:rPr>
                <w:sz w:val="16"/>
              </w:rPr>
              <w:t>Worker ingesta</w:t>
            </w:r>
          </w:p>
        </w:tc>
        <w:tc>
          <w:tcPr>
            <w:tcW w:type="dxa" w:w="2479"/>
          </w:tcPr>
          <w:p>
            <w:pPr>
              <w:jc w:val="left"/>
            </w:pPr>
            <w:r>
              <w:rPr>
                <w:sz w:val="16"/>
              </w:rPr>
              <w:t>Cursor y raw events</w:t>
            </w:r>
          </w:p>
        </w:tc>
        <w:tc>
          <w:tcPr>
            <w:tcW w:type="dxa" w:w="2479"/>
          </w:tcPr>
          <w:p>
            <w:pPr>
              <w:jc w:val="left"/>
            </w:pPr>
            <w:r>
              <w:rPr>
                <w:sz w:val="16"/>
              </w:rPr>
              <w:t>Indexer/DB</w:t>
            </w:r>
          </w:p>
        </w:tc>
        <w:tc>
          <w:tcPr>
            <w:tcW w:type="dxa" w:w="2479"/>
          </w:tcPr>
          <w:p>
            <w:pPr>
              <w:jc w:val="left"/>
            </w:pPr>
            <w:r>
              <w:rPr>
                <w:sz w:val="16"/>
              </w:rPr>
              <w:t>Lag y throughput</w:t>
            </w:r>
          </w:p>
        </w:tc>
      </w:tr>
      <w:tr>
        <w:tc>
          <w:tcPr>
            <w:tcW w:type="dxa" w:w="2479"/>
          </w:tcPr>
          <w:p>
            <w:pPr>
              <w:jc w:val="left"/>
            </w:pPr>
            <w:r>
              <w:rPr>
                <w:sz w:val="16"/>
              </w:rPr>
              <w:t>Worker casos</w:t>
            </w:r>
          </w:p>
        </w:tc>
        <w:tc>
          <w:tcPr>
            <w:tcW w:type="dxa" w:w="2479"/>
          </w:tcPr>
          <w:p>
            <w:pPr>
              <w:jc w:val="left"/>
            </w:pPr>
            <w:r>
              <w:rPr>
                <w:sz w:val="16"/>
              </w:rPr>
              <w:t>Políticas y enriquecimiento</w:t>
            </w:r>
          </w:p>
        </w:tc>
        <w:tc>
          <w:tcPr>
            <w:tcW w:type="dxa" w:w="2479"/>
          </w:tcPr>
          <w:p>
            <w:pPr>
              <w:jc w:val="left"/>
            </w:pPr>
            <w:r>
              <w:rPr>
                <w:sz w:val="16"/>
              </w:rPr>
              <w:t>DB/proveedores</w:t>
            </w:r>
          </w:p>
        </w:tc>
        <w:tc>
          <w:tcPr>
            <w:tcW w:type="dxa" w:w="2479"/>
          </w:tcPr>
          <w:p>
            <w:pPr>
              <w:jc w:val="left"/>
            </w:pPr>
            <w:r>
              <w:rPr>
                <w:sz w:val="16"/>
              </w:rPr>
              <w:t>Pendientes y retry</w:t>
            </w:r>
          </w:p>
        </w:tc>
      </w:tr>
      <w:tr>
        <w:tc>
          <w:tcPr>
            <w:tcW w:type="dxa" w:w="2479"/>
          </w:tcPr>
          <w:p>
            <w:pPr>
              <w:jc w:val="left"/>
            </w:pPr>
            <w:r>
              <w:rPr>
                <w:sz w:val="16"/>
              </w:rPr>
              <w:t>Worker comunicación</w:t>
            </w:r>
          </w:p>
        </w:tc>
        <w:tc>
          <w:tcPr>
            <w:tcW w:type="dxa" w:w="2479"/>
          </w:tcPr>
          <w:p>
            <w:pPr>
              <w:jc w:val="left"/>
            </w:pPr>
            <w:r>
              <w:rPr>
                <w:sz w:val="16"/>
              </w:rPr>
              <w:t>Correo y ledger</w:t>
            </w:r>
          </w:p>
        </w:tc>
        <w:tc>
          <w:tcPr>
            <w:tcW w:type="dxa" w:w="2479"/>
          </w:tcPr>
          <w:p>
            <w:pPr>
              <w:jc w:val="left"/>
            </w:pPr>
            <w:r>
              <w:rPr>
                <w:sz w:val="16"/>
              </w:rPr>
              <w:t>DB/proveedor</w:t>
            </w:r>
          </w:p>
        </w:tc>
        <w:tc>
          <w:tcPr>
            <w:tcW w:type="dxa" w:w="2479"/>
          </w:tcPr>
          <w:p>
            <w:pPr>
              <w:jc w:val="left"/>
            </w:pPr>
            <w:r>
              <w:rPr>
                <w:sz w:val="16"/>
              </w:rPr>
              <w:t>Entrega y fallos</w:t>
            </w:r>
          </w:p>
        </w:tc>
      </w:tr>
      <w:tr>
        <w:tc>
          <w:tcPr>
            <w:tcW w:type="dxa" w:w="2479"/>
          </w:tcPr>
          <w:p>
            <w:pPr>
              <w:jc w:val="left"/>
            </w:pPr>
            <w:r>
              <w:rPr>
                <w:sz w:val="16"/>
              </w:rPr>
              <w:t>PostgreSQL</w:t>
            </w:r>
          </w:p>
        </w:tc>
        <w:tc>
          <w:tcPr>
            <w:tcW w:type="dxa" w:w="2479"/>
          </w:tcPr>
          <w:p>
            <w:pPr>
              <w:jc w:val="left"/>
            </w:pPr>
            <w:r>
              <w:rPr>
                <w:sz w:val="16"/>
              </w:rPr>
              <w:t>Casos y auditoría</w:t>
            </w:r>
          </w:p>
        </w:tc>
        <w:tc>
          <w:tcPr>
            <w:tcW w:type="dxa" w:w="2479"/>
          </w:tcPr>
          <w:p>
            <w:pPr>
              <w:jc w:val="left"/>
            </w:pPr>
            <w:r>
              <w:rPr>
                <w:sz w:val="16"/>
              </w:rPr>
              <w:t>Backups</w:t>
            </w:r>
          </w:p>
        </w:tc>
        <w:tc>
          <w:tcPr>
            <w:tcW w:type="dxa" w:w="2479"/>
          </w:tcPr>
          <w:p>
            <w:pPr>
              <w:jc w:val="left"/>
            </w:pPr>
            <w:r>
              <w:rPr>
                <w:sz w:val="16"/>
              </w:rPr>
              <w:t>Conexiones y tamaño</w:t>
            </w:r>
          </w:p>
        </w:tc>
      </w:tr>
    </w:tbl>
    <w:p/>
    <w:p>
      <w:pPr>
        <w:pStyle w:val="Heading1"/>
      </w:pPr>
      <w:r>
        <w:t>20. Secuencia de fallo controlado</w:t>
      </w:r>
    </w:p>
    <w:p>
      <w:pPr>
        <w:jc w:val="both"/>
      </w:pPr>
      <w:r>
        <w:t>Si el proveedor de reputación no responde, el worker registra ENRICHMENT_UNAVAILABLE, utiliza cache si existe y continúa con una prioridad calculada sin ese factor. Si la política exige el dato, el caso queda pendiente de enriquecimiento y genera una alerta operativa. El error no elimina la evidencia.</w:t>
      </w:r>
    </w:p>
    <w:p>
      <w:pPr>
        <w:jc w:val="both"/>
      </w:pPr>
      <w:r>
        <w:t>Si PostgreSQL no está disponible, la aplicación no debe continuar con envíos parciales. La ingesta se detiene antes de avanzar el cursor. Cuando la base vuelve, el sistema reanuda. Si el correo falla después de aceptar el mensaje, el ledger y la idempotency key permiten consultar o reintentar sin duplicar.</w:t>
      </w:r>
    </w:p>
    <w:p>
      <w:pPr>
        <w:pStyle w:val="Heading1"/>
      </w:pPr>
      <w:r>
        <w:t>21. Deuda técnica aceptable y no aceptable</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6"/>
              </w:rPr>
              <w:t>Aceptable en piloto</w:t>
            </w:r>
          </w:p>
        </w:tc>
        <w:tc>
          <w:tcPr>
            <w:tcW w:type="dxa" w:w="4957"/>
            <w:shd w:fill="D9E2F3"/>
          </w:tcPr>
          <w:p>
            <w:r>
              <w:rPr>
                <w:b/>
                <w:sz w:val="16"/>
              </w:rPr>
              <w:t>No aceptable</w:t>
            </w:r>
          </w:p>
        </w:tc>
      </w:tr>
      <w:tr>
        <w:tc>
          <w:tcPr>
            <w:tcW w:type="dxa" w:w="4957"/>
          </w:tcPr>
          <w:p>
            <w:pPr>
              <w:jc w:val="left"/>
            </w:pPr>
            <w:r>
              <w:rPr>
                <w:sz w:val="16"/>
              </w:rPr>
              <w:t>Un solo nodo sin HA</w:t>
            </w:r>
          </w:p>
        </w:tc>
        <w:tc>
          <w:tcPr>
            <w:tcW w:type="dxa" w:w="4957"/>
          </w:tcPr>
          <w:p>
            <w:pPr>
              <w:jc w:val="left"/>
            </w:pPr>
            <w:r>
              <w:rPr>
                <w:sz w:val="16"/>
              </w:rPr>
              <w:t>Fuga entre tenants</w:t>
            </w:r>
          </w:p>
        </w:tc>
      </w:tr>
      <w:tr>
        <w:tc>
          <w:tcPr>
            <w:tcW w:type="dxa" w:w="4957"/>
          </w:tcPr>
          <w:p>
            <w:pPr>
              <w:jc w:val="left"/>
            </w:pPr>
            <w:r>
              <w:rPr>
                <w:sz w:val="16"/>
              </w:rPr>
              <w:t>Polling del Indexer</w:t>
            </w:r>
          </w:p>
        </w:tc>
        <w:tc>
          <w:tcPr>
            <w:tcW w:type="dxa" w:w="4957"/>
          </w:tcPr>
          <w:p>
            <w:pPr>
              <w:jc w:val="left"/>
            </w:pPr>
            <w:r>
              <w:rPr>
                <w:sz w:val="16"/>
              </w:rPr>
              <w:t>Pérdida silenciosa de eventos</w:t>
            </w:r>
          </w:p>
        </w:tc>
      </w:tr>
      <w:tr>
        <w:tc>
          <w:tcPr>
            <w:tcW w:type="dxa" w:w="4957"/>
          </w:tcPr>
          <w:p>
            <w:pPr>
              <w:jc w:val="left"/>
            </w:pPr>
            <w:r>
              <w:rPr>
                <w:sz w:val="16"/>
              </w:rPr>
              <w:t>Plantillas simples</w:t>
            </w:r>
          </w:p>
        </w:tc>
        <w:tc>
          <w:tcPr>
            <w:tcW w:type="dxa" w:w="4957"/>
          </w:tcPr>
          <w:p>
            <w:pPr>
              <w:jc w:val="left"/>
            </w:pPr>
            <w:r>
              <w:rPr>
                <w:sz w:val="16"/>
              </w:rPr>
              <w:t>Dependencia obligatoria de IA</w:t>
            </w:r>
          </w:p>
        </w:tc>
      </w:tr>
      <w:tr>
        <w:tc>
          <w:tcPr>
            <w:tcW w:type="dxa" w:w="4957"/>
          </w:tcPr>
          <w:p>
            <w:pPr>
              <w:jc w:val="left"/>
            </w:pPr>
            <w:r>
              <w:rPr>
                <w:sz w:val="16"/>
              </w:rPr>
              <w:t>Portal mínimo o inexistente</w:t>
            </w:r>
          </w:p>
        </w:tc>
        <w:tc>
          <w:tcPr>
            <w:tcW w:type="dxa" w:w="4957"/>
          </w:tcPr>
          <w:p>
            <w:pPr>
              <w:jc w:val="left"/>
            </w:pPr>
            <w:r>
              <w:rPr>
                <w:sz w:val="16"/>
              </w:rPr>
              <w:t>Correos duplicados</w:t>
            </w:r>
          </w:p>
        </w:tc>
      </w:tr>
      <w:tr>
        <w:tc>
          <w:tcPr>
            <w:tcW w:type="dxa" w:w="4957"/>
          </w:tcPr>
          <w:p>
            <w:pPr>
              <w:jc w:val="left"/>
            </w:pPr>
            <w:r>
              <w:rPr>
                <w:sz w:val="16"/>
              </w:rPr>
              <w:t>Cache sencilla</w:t>
            </w:r>
          </w:p>
        </w:tc>
        <w:tc>
          <w:tcPr>
            <w:tcW w:type="dxa" w:w="4957"/>
          </w:tcPr>
          <w:p>
            <w:pPr>
              <w:jc w:val="left"/>
            </w:pPr>
            <w:r>
              <w:rPr>
                <w:sz w:val="16"/>
              </w:rPr>
              <w:t>Severidad no explicable</w:t>
            </w:r>
          </w:p>
        </w:tc>
      </w:tr>
      <w:tr>
        <w:tc>
          <w:tcPr>
            <w:tcW w:type="dxa" w:w="4957"/>
          </w:tcPr>
          <w:p>
            <w:pPr>
              <w:jc w:val="left"/>
            </w:pPr>
            <w:r>
              <w:rPr>
                <w:sz w:val="16"/>
              </w:rPr>
              <w:t>Operación manual medida</w:t>
            </w:r>
          </w:p>
        </w:tc>
        <w:tc>
          <w:tcPr>
            <w:tcW w:type="dxa" w:w="4957"/>
          </w:tcPr>
          <w:p>
            <w:pPr>
              <w:jc w:val="left"/>
            </w:pPr>
            <w:r>
              <w:rPr>
                <w:sz w:val="16"/>
              </w:rPr>
              <w:t>Acciones destructivas sin aprobación</w:t>
            </w:r>
          </w:p>
        </w:tc>
      </w:tr>
    </w:tbl>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