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Workflow de Alertas y Diseño del Motor de Casos</w:t>
      </w:r>
    </w:p>
    <w:p>
      <w:pPr>
        <w:jc w:val="center"/>
      </w:pPr>
      <w:r>
        <w:rPr>
          <w:i/>
          <w:sz w:val="24"/>
        </w:rPr>
        <w:t>Descripción detallada de cómo una alerta se convierte en un caso</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Desarrollo, SOC, arquitectura, QA y responsables operativos</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Objetivo y conceptos</w:t>
      </w:r>
    </w:p>
    <w:p>
      <w:pPr>
        <w:spacing w:after="40"/>
      </w:pPr>
      <w:r>
        <w:rPr>
          <w:b/>
        </w:rPr>
        <w:t>2. Workflow completo</w:t>
      </w:r>
    </w:p>
    <w:p>
      <w:pPr>
        <w:spacing w:after="40"/>
      </w:pPr>
      <w:r>
        <w:rPr>
          <w:b/>
        </w:rPr>
        <w:t>3. Ingesta y control de duplicados</w:t>
      </w:r>
    </w:p>
    <w:p>
      <w:pPr>
        <w:spacing w:after="40"/>
      </w:pPr>
      <w:r>
        <w:rPr>
          <w:b/>
        </w:rPr>
        <w:t>4. Resolución del tenant</w:t>
      </w:r>
    </w:p>
    <w:p>
      <w:pPr>
        <w:spacing w:after="40"/>
      </w:pPr>
      <w:r>
        <w:rPr>
          <w:b/>
        </w:rPr>
        <w:t>5. Clasificación de routing</w:t>
      </w:r>
    </w:p>
    <w:p>
      <w:pPr>
        <w:spacing w:after="40"/>
      </w:pPr>
      <w:r>
        <w:rPr>
          <w:b/>
        </w:rPr>
        <w:t>6. Fingerprint y ventanas</w:t>
      </w:r>
    </w:p>
    <w:p>
      <w:pPr>
        <w:spacing w:after="40"/>
      </w:pPr>
      <w:r>
        <w:rPr>
          <w:b/>
        </w:rPr>
        <w:t>7. Creación y actualización de casos</w:t>
      </w:r>
    </w:p>
    <w:p>
      <w:pPr>
        <w:spacing w:after="40"/>
      </w:pPr>
      <w:r>
        <w:rPr>
          <w:b/>
        </w:rPr>
        <w:t>8. Cambios materiales</w:t>
      </w:r>
    </w:p>
    <w:p>
      <w:pPr>
        <w:spacing w:after="40"/>
      </w:pPr>
      <w:r>
        <w:rPr>
          <w:b/>
        </w:rPr>
        <w:t>9. Estados y transiciones</w:t>
      </w:r>
    </w:p>
    <w:p>
      <w:pPr>
        <w:spacing w:after="40"/>
      </w:pPr>
      <w:r>
        <w:rPr>
          <w:b/>
        </w:rPr>
        <w:t>10. Correlación cross-host</w:t>
      </w:r>
    </w:p>
    <w:p>
      <w:pPr>
        <w:spacing w:after="40"/>
      </w:pPr>
      <w:r>
        <w:rPr>
          <w:b/>
        </w:rPr>
        <w:t>11. Reintentos y concurrencia</w:t>
      </w:r>
    </w:p>
    <w:p>
      <w:pPr>
        <w:spacing w:after="40"/>
      </w:pPr>
      <w:r>
        <w:rPr>
          <w:b/>
        </w:rPr>
        <w:t>12. Ejemplos completos</w:t>
      </w:r>
    </w:p>
    <w:p>
      <w:pPr>
        <w:spacing w:after="40"/>
      </w:pPr>
      <w:r>
        <w:rPr>
          <w:b/>
        </w:rPr>
        <w:t>13. Errores y observabilidad</w:t>
      </w:r>
    </w:p>
    <w:p>
      <w:pPr>
        <w:spacing w:after="40"/>
      </w:pPr>
      <w:r>
        <w:rPr>
          <w:b/>
        </w:rPr>
        <w:t>14. Criterios de implementación</w:t>
      </w:r>
    </w:p>
    <w:p>
      <w:r>
        <w:br w:type="page"/>
      </w:r>
    </w:p>
    <w:p>
      <w:pPr>
        <w:pStyle w:val="Heading1"/>
      </w:pPr>
      <w:r>
        <w:t>1. Objetivo y conceptos</w:t>
      </w:r>
    </w:p>
    <w:p>
      <w:r>
        <w:t>Este documento describe el comportamiento central de Kriptome. Su finalidad es evitar interpretaciones ambiguas como 'llega una alerta y se manda a la IA'. El flujo real contiene verificaciones, almacenamiento, deduplicación, contexto, decisiones y seguimiento. Cada etapa produce un resultado controlado.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Concepto</w:t>
            </w:r>
          </w:p>
        </w:tc>
        <w:tc>
          <w:tcPr>
            <w:tcW w:type="dxa" w:w="3305"/>
            <w:shd w:fill="D9E2F3"/>
          </w:tcPr>
          <w:p>
            <w:r>
              <w:rPr>
                <w:b/>
                <w:sz w:val="17"/>
              </w:rPr>
              <w:t>Significado</w:t>
            </w:r>
          </w:p>
        </w:tc>
        <w:tc>
          <w:tcPr>
            <w:tcW w:type="dxa" w:w="3305"/>
            <w:shd w:fill="D9E2F3"/>
          </w:tcPr>
          <w:p>
            <w:r>
              <w:rPr>
                <w:b/>
                <w:sz w:val="17"/>
              </w:rPr>
              <w:t>Ejemplo</w:t>
            </w:r>
          </w:p>
        </w:tc>
      </w:tr>
      <w:tr>
        <w:tc>
          <w:tcPr>
            <w:tcW w:type="dxa" w:w="3305"/>
            <w:vAlign w:val="top"/>
          </w:tcPr>
          <w:p>
            <w:pPr>
              <w:jc w:val="left"/>
            </w:pPr>
            <w:r>
              <w:rPr>
                <w:sz w:val="17"/>
              </w:rPr>
              <w:t>Evento</w:t>
            </w:r>
          </w:p>
        </w:tc>
        <w:tc>
          <w:tcPr>
            <w:tcW w:type="dxa" w:w="3305"/>
            <w:vAlign w:val="top"/>
          </w:tcPr>
          <w:p>
            <w:pPr>
              <w:jc w:val="left"/>
            </w:pPr>
            <w:r>
              <w:rPr>
                <w:sz w:val="17"/>
              </w:rPr>
              <w:t>Actividad original del sistema</w:t>
            </w:r>
          </w:p>
        </w:tc>
        <w:tc>
          <w:tcPr>
            <w:tcW w:type="dxa" w:w="3305"/>
            <w:vAlign w:val="top"/>
          </w:tcPr>
          <w:p>
            <w:pPr>
              <w:jc w:val="left"/>
            </w:pPr>
            <w:r>
              <w:rPr>
                <w:sz w:val="17"/>
              </w:rPr>
              <w:t>Un 4625 de Windows</w:t>
            </w:r>
          </w:p>
        </w:tc>
      </w:tr>
      <w:tr>
        <w:tc>
          <w:tcPr>
            <w:tcW w:type="dxa" w:w="3305"/>
            <w:vAlign w:val="top"/>
          </w:tcPr>
          <w:p>
            <w:pPr>
              <w:jc w:val="left"/>
            </w:pPr>
            <w:r>
              <w:rPr>
                <w:sz w:val="17"/>
              </w:rPr>
              <w:t>Alerta</w:t>
            </w:r>
          </w:p>
        </w:tc>
        <w:tc>
          <w:tcPr>
            <w:tcW w:type="dxa" w:w="3305"/>
            <w:vAlign w:val="top"/>
          </w:tcPr>
          <w:p>
            <w:pPr>
              <w:jc w:val="left"/>
            </w:pPr>
            <w:r>
              <w:rPr>
                <w:sz w:val="17"/>
              </w:rPr>
              <w:t>Interpretación técnica de Wazuh</w:t>
            </w:r>
          </w:p>
        </w:tc>
        <w:tc>
          <w:tcPr>
            <w:tcW w:type="dxa" w:w="3305"/>
            <w:vAlign w:val="top"/>
          </w:tcPr>
          <w:p>
            <w:pPr>
              <w:jc w:val="left"/>
            </w:pPr>
            <w:r>
              <w:rPr>
                <w:sz w:val="17"/>
              </w:rPr>
              <w:t>Fuerza bruta por cuenta</w:t>
            </w:r>
          </w:p>
        </w:tc>
      </w:tr>
      <w:tr>
        <w:tc>
          <w:tcPr>
            <w:tcW w:type="dxa" w:w="3305"/>
            <w:vAlign w:val="top"/>
          </w:tcPr>
          <w:p>
            <w:pPr>
              <w:jc w:val="left"/>
            </w:pPr>
            <w:r>
              <w:rPr>
                <w:sz w:val="17"/>
              </w:rPr>
              <w:t>Caso</w:t>
            </w:r>
          </w:p>
        </w:tc>
        <w:tc>
          <w:tcPr>
            <w:tcW w:type="dxa" w:w="3305"/>
            <w:vAlign w:val="top"/>
          </w:tcPr>
          <w:p>
            <w:pPr>
              <w:jc w:val="left"/>
            </w:pPr>
            <w:r>
              <w:rPr>
                <w:sz w:val="17"/>
              </w:rPr>
              <w:t>Unidad de investigación Kriptome</w:t>
            </w:r>
          </w:p>
        </w:tc>
        <w:tc>
          <w:tcPr>
            <w:tcW w:type="dxa" w:w="3305"/>
            <w:vAlign w:val="top"/>
          </w:tcPr>
          <w:p>
            <w:pPr>
              <w:jc w:val="left"/>
            </w:pPr>
            <w:r>
              <w:rPr>
                <w:sz w:val="17"/>
              </w:rPr>
              <w:t>Posible compromiso de administrador</w:t>
            </w:r>
          </w:p>
        </w:tc>
      </w:tr>
      <w:tr>
        <w:tc>
          <w:tcPr>
            <w:tcW w:type="dxa" w:w="3305"/>
            <w:vAlign w:val="top"/>
          </w:tcPr>
          <w:p>
            <w:pPr>
              <w:jc w:val="left"/>
            </w:pPr>
            <w:r>
              <w:rPr>
                <w:sz w:val="17"/>
              </w:rPr>
              <w:t>Evidencia</w:t>
            </w:r>
          </w:p>
        </w:tc>
        <w:tc>
          <w:tcPr>
            <w:tcW w:type="dxa" w:w="3305"/>
            <w:vAlign w:val="top"/>
          </w:tcPr>
          <w:p>
            <w:pPr>
              <w:jc w:val="left"/>
            </w:pPr>
            <w:r>
              <w:rPr>
                <w:sz w:val="17"/>
              </w:rPr>
              <w:t>Evento asociado al caso</w:t>
            </w:r>
          </w:p>
        </w:tc>
        <w:tc>
          <w:tcPr>
            <w:tcW w:type="dxa" w:w="3305"/>
            <w:vAlign w:val="top"/>
          </w:tcPr>
          <w:p>
            <w:pPr>
              <w:jc w:val="left"/>
            </w:pPr>
            <w:r>
              <w:rPr>
                <w:sz w:val="17"/>
              </w:rPr>
              <w:t>34 fallos y un éxito</w:t>
            </w:r>
          </w:p>
        </w:tc>
      </w:tr>
      <w:tr>
        <w:tc>
          <w:tcPr>
            <w:tcW w:type="dxa" w:w="3305"/>
            <w:vAlign w:val="top"/>
          </w:tcPr>
          <w:p>
            <w:pPr>
              <w:jc w:val="left"/>
            </w:pPr>
            <w:r>
              <w:rPr>
                <w:sz w:val="17"/>
              </w:rPr>
              <w:t>Cambio material</w:t>
            </w:r>
          </w:p>
        </w:tc>
        <w:tc>
          <w:tcPr>
            <w:tcW w:type="dxa" w:w="3305"/>
            <w:vAlign w:val="top"/>
          </w:tcPr>
          <w:p>
            <w:pPr>
              <w:jc w:val="left"/>
            </w:pPr>
            <w:r>
              <w:rPr>
                <w:sz w:val="17"/>
              </w:rPr>
              <w:t>Dato que cambia la acción</w:t>
            </w:r>
          </w:p>
        </w:tc>
        <w:tc>
          <w:tcPr>
            <w:tcW w:type="dxa" w:w="3305"/>
            <w:vAlign w:val="top"/>
          </w:tcPr>
          <w:p>
            <w:pPr>
              <w:jc w:val="left"/>
            </w:pPr>
            <w:r>
              <w:rPr>
                <w:sz w:val="17"/>
              </w:rPr>
              <w:t>Login exitoso posterior</w:t>
            </w:r>
          </w:p>
        </w:tc>
      </w:tr>
      <w:tr>
        <w:tc>
          <w:tcPr>
            <w:tcW w:type="dxa" w:w="3305"/>
            <w:vAlign w:val="top"/>
          </w:tcPr>
          <w:p>
            <w:pPr>
              <w:jc w:val="left"/>
            </w:pPr>
            <w:r>
              <w:rPr>
                <w:sz w:val="17"/>
              </w:rPr>
              <w:t>Fingerprint</w:t>
            </w:r>
          </w:p>
        </w:tc>
        <w:tc>
          <w:tcPr>
            <w:tcW w:type="dxa" w:w="3305"/>
            <w:vAlign w:val="top"/>
          </w:tcPr>
          <w:p>
            <w:pPr>
              <w:jc w:val="left"/>
            </w:pPr>
            <w:r>
              <w:rPr>
                <w:sz w:val="17"/>
              </w:rPr>
              <w:t>Identidad lógica del caso</w:t>
            </w:r>
          </w:p>
        </w:tc>
        <w:tc>
          <w:tcPr>
            <w:tcW w:type="dxa" w:w="3305"/>
            <w:vAlign w:val="top"/>
          </w:tcPr>
          <w:p>
            <w:pPr>
              <w:jc w:val="left"/>
            </w:pPr>
            <w:r>
              <w:rPr>
                <w:sz w:val="17"/>
              </w:rPr>
              <w:t>tenant|asset|case_type|srcip</w:t>
            </w:r>
          </w:p>
        </w:tc>
      </w:tr>
    </w:tbl>
    <w:p/>
    <w:p>
      <w:pPr>
        <w:pStyle w:val="Heading1"/>
      </w:pPr>
      <w:r>
        <w:t>2. Workflow completo</w:t>
      </w:r>
    </w:p>
    <w:p>
      <w:pPr>
        <w:jc w:val="center"/>
      </w:pPr>
      <w:r>
        <w:drawing>
          <wp:inline xmlns:a="http://schemas.openxmlformats.org/drawingml/2006/main" xmlns:pic="http://schemas.openxmlformats.org/drawingml/2006/picture">
            <wp:extent cx="5852160" cy="7866407"/>
            <wp:docPr id="1" name="Picture 1"/>
            <wp:cNvGraphicFramePr>
              <a:graphicFrameLocks noChangeAspect="1"/>
            </wp:cNvGraphicFramePr>
            <a:graphic>
              <a:graphicData uri="http://schemas.openxmlformats.org/drawingml/2006/picture">
                <pic:pic>
                  <pic:nvPicPr>
                    <pic:cNvPr id="0" name="workflow_detallado.png"/>
                    <pic:cNvPicPr/>
                  </pic:nvPicPr>
                  <pic:blipFill>
                    <a:blip r:embed="rId11"/>
                    <a:stretch>
                      <a:fillRect/>
                    </a:stretch>
                  </pic:blipFill>
                  <pic:spPr>
                    <a:xfrm>
                      <a:off x="0" y="0"/>
                      <a:ext cx="5852160" cy="7866407"/>
                    </a:xfrm>
                    <a:prstGeom prst="rect"/>
                  </pic:spPr>
                </pic:pic>
              </a:graphicData>
            </a:graphic>
          </wp:inline>
        </w:drawing>
      </w:r>
    </w:p>
    <w:p>
      <w:pPr>
        <w:jc w:val="center"/>
      </w:pPr>
      <w:r>
        <w:rPr>
          <w:i/>
          <w:sz w:val="17"/>
        </w:rPr>
        <w:t>Figura 1. Flujo completo desde el evento hasta el cierre.</w:t>
      </w:r>
    </w:p>
    <w:p>
      <w:r>
        <w:t>El flujo comienza antes de Kriptome. El endpoint genera un evento y Wazuh lo interpreta. Kriptome recibe la alerta estructurada, la guarda y valida. Solo después de esas etapas puede decidir si la señal pertenece a un caso. Esta secuencia evita que una alerta mal asignada, duplicada o incompleta produzca un correo.</w:t>
      </w:r>
    </w:p>
    <w:p>
      <w:pPr>
        <w:pStyle w:val="Heading2"/>
      </w:pPr>
      <w:r>
        <w:t>2.1 El endpoint genera actividad</w:t>
      </w:r>
    </w:p>
    <w:p>
      <w:r>
        <w:t>Puede ser un fallo de autenticación, cambio FIM, detección de malware, vulnerabilidad o pérdida de conexión del agente.</w:t>
      </w:r>
    </w:p>
    <w:p>
      <w:pPr>
        <w:pStyle w:val="Heading2"/>
      </w:pPr>
      <w:r>
        <w:t>2.2 Wazuh produce una alerta</w:t>
      </w:r>
    </w:p>
    <w:p>
      <w:r>
        <w:t>El Manager utiliza decoders y reglas. La alerta incluye agente, regla, timestamp, grupos y campos nativos.</w:t>
      </w:r>
    </w:p>
    <w:p>
      <w:pPr>
        <w:pStyle w:val="Heading2"/>
      </w:pPr>
      <w:r>
        <w:t>2.3 Kriptome guarda la evidencia</w:t>
      </w:r>
    </w:p>
    <w:p>
      <w:r>
        <w:t>La inserción del raw event ocurre antes de cualquier llamada externa.</w:t>
      </w:r>
    </w:p>
    <w:p>
      <w:pPr>
        <w:pStyle w:val="Heading2"/>
      </w:pPr>
      <w:r>
        <w:t>2.4 Se verifica la identidad</w:t>
      </w:r>
    </w:p>
    <w:p>
      <w:r>
        <w:t>El event_id evita procesamiento repetido y agent_id permite resolver tenant y activo.</w:t>
      </w:r>
    </w:p>
    <w:p>
      <w:pPr>
        <w:pStyle w:val="Heading2"/>
      </w:pPr>
      <w:r>
        <w:t>2.5 Se normaliza</w:t>
      </w:r>
    </w:p>
    <w:p>
      <w:r>
        <w:t>Los campos se transforman a un contrato común que el motor puede consumir.</w:t>
      </w:r>
    </w:p>
    <w:p>
      <w:pPr>
        <w:pStyle w:val="Heading2"/>
      </w:pPr>
      <w:r>
        <w:t>2.6 Se enruta</w:t>
      </w:r>
    </w:p>
    <w:p>
      <w:r>
        <w:t>Context, candidate, critical o digest determinan el siguiente tratamiento.</w:t>
      </w:r>
    </w:p>
    <w:p>
      <w:pPr>
        <w:pStyle w:val="Heading2"/>
      </w:pPr>
      <w:r>
        <w:t>2.7 Se identifica el caso</w:t>
      </w:r>
    </w:p>
    <w:p>
      <w:r>
        <w:t>La política del case_type define fingerprint, ventana y cambios materiales.</w:t>
      </w:r>
    </w:p>
    <w:p>
      <w:pPr>
        <w:pStyle w:val="Heading2"/>
      </w:pPr>
      <w:r>
        <w:t>2.8 Se enriquece y prioriza</w:t>
      </w:r>
    </w:p>
    <w:p>
      <w:r>
        <w:t>Solo se consultan fuentes necesarias y se calcula un riesgo explicable.</w:t>
      </w:r>
    </w:p>
    <w:p>
      <w:pPr>
        <w:pStyle w:val="Heading2"/>
      </w:pPr>
      <w:r>
        <w:t>2.9 Se selecciona el procedimiento</w:t>
      </w:r>
    </w:p>
    <w:p>
      <w:r>
        <w:t>Las acciones provienen de un catálogo versionado.</w:t>
      </w:r>
    </w:p>
    <w:p>
      <w:pPr>
        <w:pStyle w:val="Heading2"/>
      </w:pPr>
      <w:r>
        <w:t>2.10 Se comunica y sigue</w:t>
      </w:r>
    </w:p>
    <w:p>
      <w:r>
        <w:t>IA opcional, validación, revisión, envío, respuesta y cierre.</w:t>
      </w:r>
    </w:p>
    <w:p>
      <w:pPr>
        <w:pStyle w:val="Heading1"/>
      </w:pPr>
      <w:r>
        <w:t>3. Ingesta y control de duplicados</w:t>
      </w:r>
    </w:p>
    <w:p>
      <w:r>
        <w:t>La ingesta debe tolerar que el Indexer devuelva el mismo documento más de una vez. El servicio calcula o recibe un identificador estable y realiza una inserción con restricción única. Un conflicto no es una excepción crítica; es la señal de que el evento ya fue visto. El proceso registra el duplicado y termina sin volver a crear evidencia, enriquecimientos o comunicaciones.</w:t>
      </w:r>
    </w:p>
    <w:p>
      <w:r>
        <w:t>La posición de lectura se guarda como cursor o checkpoint. El cursor solo avanza de forma segura cuando el evento está almacenado. Si el worker cae después de insertar, al reiniciar encuentra el event_id y continúa sin efectos duplicados. Esta estrategia ofrece procesamiento al menos una vez con efectos finales exactamente una vez.</w:t>
      </w:r>
    </w:p>
    <w:p>
      <w:pPr>
        <w:pStyle w:val="Heading1"/>
      </w:pPr>
      <w:r>
        <w:t>4. Resolución del tenant</w:t>
      </w:r>
    </w:p>
    <w:p>
      <w:r>
        <w:t>La alerta trae agent.id y puede traer labels. Kriptome consulta su tabla interna. La resolución retorna tenant_id, asset_id, estado del agente y metadatos del activo. Después compara los labels. La coincidencia refuerza la integridad; la discrepancia produce cuarentena.</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Situación</w:t>
            </w:r>
          </w:p>
        </w:tc>
        <w:tc>
          <w:tcPr>
            <w:tcW w:type="dxa" w:w="3305"/>
            <w:shd w:fill="D9E2F3"/>
          </w:tcPr>
          <w:p>
            <w:r>
              <w:rPr>
                <w:b/>
                <w:sz w:val="17"/>
              </w:rPr>
              <w:t>Acción</w:t>
            </w:r>
          </w:p>
        </w:tc>
        <w:tc>
          <w:tcPr>
            <w:tcW w:type="dxa" w:w="3305"/>
            <w:shd w:fill="D9E2F3"/>
          </w:tcPr>
          <w:p>
            <w:r>
              <w:rPr>
                <w:b/>
                <w:sz w:val="17"/>
              </w:rPr>
              <w:t>Output</w:t>
            </w:r>
          </w:p>
        </w:tc>
      </w:tr>
      <w:tr>
        <w:tc>
          <w:tcPr>
            <w:tcW w:type="dxa" w:w="3305"/>
            <w:vAlign w:val="top"/>
          </w:tcPr>
          <w:p>
            <w:pPr>
              <w:jc w:val="left"/>
            </w:pPr>
            <w:r>
              <w:rPr>
                <w:sz w:val="17"/>
              </w:rPr>
              <w:t>Agent activo y labels coinciden</w:t>
            </w:r>
          </w:p>
        </w:tc>
        <w:tc>
          <w:tcPr>
            <w:tcW w:type="dxa" w:w="3305"/>
            <w:vAlign w:val="top"/>
          </w:tcPr>
          <w:p>
            <w:pPr>
              <w:jc w:val="left"/>
            </w:pPr>
            <w:r>
              <w:rPr>
                <w:sz w:val="17"/>
              </w:rPr>
              <w:t>Continuar</w:t>
            </w:r>
          </w:p>
        </w:tc>
        <w:tc>
          <w:tcPr>
            <w:tcW w:type="dxa" w:w="3305"/>
            <w:vAlign w:val="top"/>
          </w:tcPr>
          <w:p>
            <w:pPr>
              <w:jc w:val="left"/>
            </w:pPr>
            <w:r>
              <w:rPr>
                <w:sz w:val="17"/>
              </w:rPr>
              <w:t>tenant_resolution=VALID</w:t>
            </w:r>
          </w:p>
        </w:tc>
      </w:tr>
      <w:tr>
        <w:tc>
          <w:tcPr>
            <w:tcW w:type="dxa" w:w="3305"/>
            <w:vAlign w:val="top"/>
          </w:tcPr>
          <w:p>
            <w:pPr>
              <w:jc w:val="left"/>
            </w:pPr>
            <w:r>
              <w:rPr>
                <w:sz w:val="17"/>
              </w:rPr>
              <w:t>Agent conocido, label distinto</w:t>
            </w:r>
          </w:p>
        </w:tc>
        <w:tc>
          <w:tcPr>
            <w:tcW w:type="dxa" w:w="3305"/>
            <w:vAlign w:val="top"/>
          </w:tcPr>
          <w:p>
            <w:pPr>
              <w:jc w:val="left"/>
            </w:pPr>
            <w:r>
              <w:rPr>
                <w:sz w:val="17"/>
              </w:rPr>
              <w:t>Cuarentena</w:t>
            </w:r>
          </w:p>
        </w:tc>
        <w:tc>
          <w:tcPr>
            <w:tcW w:type="dxa" w:w="3305"/>
            <w:vAlign w:val="top"/>
          </w:tcPr>
          <w:p>
            <w:pPr>
              <w:jc w:val="left"/>
            </w:pPr>
            <w:r>
              <w:rPr>
                <w:sz w:val="17"/>
              </w:rPr>
              <w:t>TENANT_LABEL_MISMATCH</w:t>
            </w:r>
          </w:p>
        </w:tc>
      </w:tr>
      <w:tr>
        <w:tc>
          <w:tcPr>
            <w:tcW w:type="dxa" w:w="3305"/>
            <w:vAlign w:val="top"/>
          </w:tcPr>
          <w:p>
            <w:pPr>
              <w:jc w:val="left"/>
            </w:pPr>
            <w:r>
              <w:rPr>
                <w:sz w:val="17"/>
              </w:rPr>
              <w:t>Agent desconocido</w:t>
            </w:r>
          </w:p>
        </w:tc>
        <w:tc>
          <w:tcPr>
            <w:tcW w:type="dxa" w:w="3305"/>
            <w:vAlign w:val="top"/>
          </w:tcPr>
          <w:p>
            <w:pPr>
              <w:jc w:val="left"/>
            </w:pPr>
            <w:r>
              <w:rPr>
                <w:sz w:val="17"/>
              </w:rPr>
              <w:t>No abrir caso de cliente</w:t>
            </w:r>
          </w:p>
        </w:tc>
        <w:tc>
          <w:tcPr>
            <w:tcW w:type="dxa" w:w="3305"/>
            <w:vAlign w:val="top"/>
          </w:tcPr>
          <w:p>
            <w:pPr>
              <w:jc w:val="left"/>
            </w:pPr>
            <w:r>
              <w:rPr>
                <w:sz w:val="17"/>
              </w:rPr>
              <w:t>UNKNOWN_AGENT</w:t>
            </w:r>
          </w:p>
        </w:tc>
      </w:tr>
      <w:tr>
        <w:tc>
          <w:tcPr>
            <w:tcW w:type="dxa" w:w="3305"/>
            <w:vAlign w:val="top"/>
          </w:tcPr>
          <w:p>
            <w:pPr>
              <w:jc w:val="left"/>
            </w:pPr>
            <w:r>
              <w:rPr>
                <w:sz w:val="17"/>
              </w:rPr>
              <w:t>Agent deshabilitado</w:t>
            </w:r>
          </w:p>
        </w:tc>
        <w:tc>
          <w:tcPr>
            <w:tcW w:type="dxa" w:w="3305"/>
            <w:vAlign w:val="top"/>
          </w:tcPr>
          <w:p>
            <w:pPr>
              <w:jc w:val="left"/>
            </w:pPr>
            <w:r>
              <w:rPr>
                <w:sz w:val="17"/>
              </w:rPr>
              <w:t>Cuarentena y alerta operativa</w:t>
            </w:r>
          </w:p>
        </w:tc>
        <w:tc>
          <w:tcPr>
            <w:tcW w:type="dxa" w:w="3305"/>
            <w:vAlign w:val="top"/>
          </w:tcPr>
          <w:p>
            <w:pPr>
              <w:jc w:val="left"/>
            </w:pPr>
            <w:r>
              <w:rPr>
                <w:sz w:val="17"/>
              </w:rPr>
              <w:t>INACTIVE_AGENT</w:t>
            </w:r>
          </w:p>
        </w:tc>
      </w:tr>
    </w:tbl>
    <w:p/>
    <w:p>
      <w:r>
        <w:t>La resolución debe ejecutarse antes de consultar historial o crear fingerprint. De otro modo, un indicador común como una IP podría relacionar datos de clientes diferentes.</w:t>
      </w:r>
    </w:p>
    <w:p>
      <w:pPr>
        <w:pStyle w:val="Heading1"/>
      </w:pPr>
      <w:r>
        <w:t>5. Clasificación de routing</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Routing</w:t>
            </w:r>
          </w:p>
        </w:tc>
        <w:tc>
          <w:tcPr>
            <w:tcW w:type="dxa" w:w="2479"/>
            <w:shd w:fill="D9E2F3"/>
          </w:tcPr>
          <w:p>
            <w:r>
              <w:rPr>
                <w:b/>
                <w:sz w:val="17"/>
              </w:rPr>
              <w:t>Uso</w:t>
            </w:r>
          </w:p>
        </w:tc>
        <w:tc>
          <w:tcPr>
            <w:tcW w:type="dxa" w:w="2479"/>
            <w:shd w:fill="D9E2F3"/>
          </w:tcPr>
          <w:p>
            <w:r>
              <w:rPr>
                <w:b/>
                <w:sz w:val="17"/>
              </w:rPr>
              <w:t>IA</w:t>
            </w:r>
          </w:p>
        </w:tc>
        <w:tc>
          <w:tcPr>
            <w:tcW w:type="dxa" w:w="2479"/>
            <w:shd w:fill="D9E2F3"/>
          </w:tcPr>
          <w:p>
            <w:r>
              <w:rPr>
                <w:b/>
                <w:sz w:val="17"/>
              </w:rPr>
              <w:t>Comunicación</w:t>
            </w:r>
          </w:p>
        </w:tc>
      </w:tr>
      <w:tr>
        <w:tc>
          <w:tcPr>
            <w:tcW w:type="dxa" w:w="2479"/>
            <w:vAlign w:val="top"/>
          </w:tcPr>
          <w:p>
            <w:pPr>
              <w:jc w:val="left"/>
            </w:pPr>
            <w:r>
              <w:rPr>
                <w:sz w:val="17"/>
              </w:rPr>
              <w:t>context</w:t>
            </w:r>
          </w:p>
        </w:tc>
        <w:tc>
          <w:tcPr>
            <w:tcW w:type="dxa" w:w="2479"/>
            <w:vAlign w:val="top"/>
          </w:tcPr>
          <w:p>
            <w:pPr>
              <w:jc w:val="left"/>
            </w:pPr>
            <w:r>
              <w:rPr>
                <w:sz w:val="17"/>
              </w:rPr>
              <w:t>Evidencia que por sí sola no abre caso</w:t>
            </w:r>
          </w:p>
        </w:tc>
        <w:tc>
          <w:tcPr>
            <w:tcW w:type="dxa" w:w="2479"/>
            <w:vAlign w:val="top"/>
          </w:tcPr>
          <w:p>
            <w:pPr>
              <w:jc w:val="left"/>
            </w:pPr>
            <w:r>
              <w:rPr>
                <w:sz w:val="17"/>
              </w:rPr>
              <w:t>No</w:t>
            </w:r>
          </w:p>
        </w:tc>
        <w:tc>
          <w:tcPr>
            <w:tcW w:type="dxa" w:w="2479"/>
            <w:vAlign w:val="top"/>
          </w:tcPr>
          <w:p>
            <w:pPr>
              <w:jc w:val="left"/>
            </w:pPr>
            <w:r>
              <w:rPr>
                <w:sz w:val="17"/>
              </w:rPr>
              <w:t>No</w:t>
            </w:r>
          </w:p>
        </w:tc>
      </w:tr>
      <w:tr>
        <w:tc>
          <w:tcPr>
            <w:tcW w:type="dxa" w:w="2479"/>
            <w:vAlign w:val="top"/>
          </w:tcPr>
          <w:p>
            <w:pPr>
              <w:jc w:val="left"/>
            </w:pPr>
            <w:r>
              <w:rPr>
                <w:sz w:val="17"/>
              </w:rPr>
              <w:t>candidate</w:t>
            </w:r>
          </w:p>
        </w:tc>
        <w:tc>
          <w:tcPr>
            <w:tcW w:type="dxa" w:w="2479"/>
            <w:vAlign w:val="top"/>
          </w:tcPr>
          <w:p>
            <w:pPr>
              <w:jc w:val="left"/>
            </w:pPr>
            <w:r>
              <w:rPr>
                <w:sz w:val="17"/>
              </w:rPr>
              <w:t>Señal que requiere filtros y deduplicación</w:t>
            </w:r>
          </w:p>
        </w:tc>
        <w:tc>
          <w:tcPr>
            <w:tcW w:type="dxa" w:w="2479"/>
            <w:vAlign w:val="top"/>
          </w:tcPr>
          <w:p>
            <w:pPr>
              <w:jc w:val="left"/>
            </w:pPr>
            <w:r>
              <w:rPr>
                <w:sz w:val="17"/>
              </w:rPr>
              <w:t>Solo si abre caso</w:t>
            </w:r>
          </w:p>
        </w:tc>
        <w:tc>
          <w:tcPr>
            <w:tcW w:type="dxa" w:w="2479"/>
            <w:vAlign w:val="top"/>
          </w:tcPr>
          <w:p>
            <w:pPr>
              <w:jc w:val="left"/>
            </w:pPr>
            <w:r>
              <w:rPr>
                <w:sz w:val="17"/>
              </w:rPr>
              <w:t>Según prioridad</w:t>
            </w:r>
          </w:p>
        </w:tc>
      </w:tr>
      <w:tr>
        <w:tc>
          <w:tcPr>
            <w:tcW w:type="dxa" w:w="2479"/>
            <w:vAlign w:val="top"/>
          </w:tcPr>
          <w:p>
            <w:pPr>
              <w:jc w:val="left"/>
            </w:pPr>
            <w:r>
              <w:rPr>
                <w:sz w:val="17"/>
              </w:rPr>
              <w:t>critical</w:t>
            </w:r>
          </w:p>
        </w:tc>
        <w:tc>
          <w:tcPr>
            <w:tcW w:type="dxa" w:w="2479"/>
            <w:vAlign w:val="top"/>
          </w:tcPr>
          <w:p>
            <w:pPr>
              <w:jc w:val="left"/>
            </w:pPr>
            <w:r>
              <w:rPr>
                <w:sz w:val="17"/>
              </w:rPr>
              <w:t>Evidencia fuerte o consecuencia importante</w:t>
            </w:r>
          </w:p>
        </w:tc>
        <w:tc>
          <w:tcPr>
            <w:tcW w:type="dxa" w:w="2479"/>
            <w:vAlign w:val="top"/>
          </w:tcPr>
          <w:p>
            <w:pPr>
              <w:jc w:val="left"/>
            </w:pPr>
            <w:r>
              <w:rPr>
                <w:sz w:val="17"/>
              </w:rPr>
              <w:t>Redacción opcional</w:t>
            </w:r>
          </w:p>
        </w:tc>
        <w:tc>
          <w:tcPr>
            <w:tcW w:type="dxa" w:w="2479"/>
            <w:vAlign w:val="top"/>
          </w:tcPr>
          <w:p>
            <w:pPr>
              <w:jc w:val="left"/>
            </w:pPr>
            <w:r>
              <w:rPr>
                <w:sz w:val="17"/>
              </w:rPr>
              <w:t>Inmediata con fallback</w:t>
            </w:r>
          </w:p>
        </w:tc>
      </w:tr>
      <w:tr>
        <w:tc>
          <w:tcPr>
            <w:tcW w:type="dxa" w:w="2479"/>
            <w:vAlign w:val="top"/>
          </w:tcPr>
          <w:p>
            <w:pPr>
              <w:jc w:val="left"/>
            </w:pPr>
            <w:r>
              <w:rPr>
                <w:sz w:val="17"/>
              </w:rPr>
              <w:t>digest</w:t>
            </w:r>
          </w:p>
        </w:tc>
        <w:tc>
          <w:tcPr>
            <w:tcW w:type="dxa" w:w="2479"/>
            <w:vAlign w:val="top"/>
          </w:tcPr>
          <w:p>
            <w:pPr>
              <w:jc w:val="left"/>
            </w:pPr>
            <w:r>
              <w:rPr>
                <w:sz w:val="17"/>
              </w:rPr>
              <w:t>Información no urgente</w:t>
            </w:r>
          </w:p>
        </w:tc>
        <w:tc>
          <w:tcPr>
            <w:tcW w:type="dxa" w:w="2479"/>
            <w:vAlign w:val="top"/>
          </w:tcPr>
          <w:p>
            <w:pPr>
              <w:jc w:val="left"/>
            </w:pPr>
            <w:r>
              <w:rPr>
                <w:sz w:val="17"/>
              </w:rPr>
              <w:t>Opcional para resumen</w:t>
            </w:r>
          </w:p>
        </w:tc>
        <w:tc>
          <w:tcPr>
            <w:tcW w:type="dxa" w:w="2479"/>
            <w:vAlign w:val="top"/>
          </w:tcPr>
          <w:p>
            <w:pPr>
              <w:jc w:val="left"/>
            </w:pPr>
            <w:r>
              <w:rPr>
                <w:sz w:val="17"/>
              </w:rPr>
              <w:t>Periódica</w:t>
            </w:r>
          </w:p>
        </w:tc>
      </w:tr>
    </w:tbl>
    <w:p/>
    <w:p>
      <w:r>
        <w:t>La clasificación no reemplaza el motor de riesgo. Un evento candidate puede terminar en un caso crítico después del enriquecimiento, y un evento de nivel alto puede quedar en digest si el contexto demuestra baja exposición. El routing controla el flujo inicial; la prioridad final controla la respuesta.</w:t>
      </w:r>
    </w:p>
    <w:p>
      <w:pPr>
        <w:pStyle w:val="Heading1"/>
      </w:pPr>
      <w:r>
        <w:t>6. Fingerprint y ventanas</w:t>
      </w:r>
    </w:p>
    <w:p>
      <w:r>
        <w:t>El fingerprint se construye a partir de campos estables que representan la identidad del problema. No debe incluir campos que cambian en cada alerta, como el timestamp. Tampoco debe ser tan general que agrupe incidentes distintos. La política del case_type define sus campos.</w:t>
      </w:r>
    </w:p>
    <w:p>
      <w:pPr>
        <w:spacing w:before="60" w:after="120"/>
        <w:ind w:left="340" w:right="340"/>
      </w:pPr>
      <w:r>
        <w:rPr>
          <w:rFonts w:ascii="Liberation Mono" w:hAnsi="Liberation Mono"/>
          <w:sz w:val="16"/>
        </w:rPr>
        <w:t>case_type: AUTH_BRUTEFORCE_SUCCESS</w:t>
        <w:br/>
        <w:t>fingerprint_fields:</w:t>
        <w:br/>
        <w:t xml:space="preserve">  - tenant_id</w:t>
        <w:br/>
        <w:t xml:space="preserve">  - asset_id</w:t>
        <w:br/>
        <w:t xml:space="preserve">  - case_type</w:t>
        <w:br/>
        <w:t xml:space="preserve">  - source_ip</w:t>
        <w:br/>
        <w:t>dedupe_window: 30m</w:t>
        <w:br/>
        <w:t>auto_close_after: 24h</w:t>
        <w:br/>
        <w:t>reopen_policy: reopen</w:t>
      </w:r>
    </w:p>
    <w:p>
      <w:r>
        <w:t>La ventana responde cuánto tiempo una alerta se agrega al mismo caso. Una ventana de treinta minutos puede ser adecuada para autenticación; una vulnerabilidad puede permanecer abierta hasta su remediación. Por eso las políticas son específicas.</w:t>
      </w:r>
    </w:p>
    <w:p>
      <w:pPr>
        <w:pStyle w:val="Heading1"/>
      </w:pPr>
      <w:r>
        <w:t>7. Creación y actualización de casos</w:t>
      </w:r>
    </w:p>
    <w:p>
      <w:r>
        <w:t>Si no existe un caso compatible, el motor crea uno en estado NEW, asocia la primera evidencia y guarda el fingerprint. Si existe, añade la evidencia, incrementa contadores y actualiza last_seen. Esta operación debe realizarse en una transacción. Una restricción única basada en tenant, fingerprint y bucket de estado evita que dos workers creen dos casos.</w:t>
      </w:r>
    </w:p>
    <w:p>
      <w:r>
        <w:t>Después de actualizar, el motor evalúa si la nueva evidencia es material. Si no lo es, no se ejecuta nuevamente la IA ni se envía otro correo. Se pueden actualizar métricas y cronología sin generar ruido.</w:t>
      </w:r>
    </w:p>
    <w:p>
      <w:pPr>
        <w:pStyle w:val="Heading1"/>
      </w:pPr>
      <w:r>
        <w:t>8. Cambios materiales</w:t>
      </w:r>
    </w:p>
    <w:p>
      <w:r>
        <w:t>Un cambio material es una condición definida por política que altera el riesgo o las acciones. Esta definición permite controlar el reanálisis. No depende de la intuición de la IA. El motor compara el estado anterior con la nueva evidencia y registra qué regla material se cumplió.</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Case type</w:t>
            </w:r>
          </w:p>
        </w:tc>
        <w:tc>
          <w:tcPr>
            <w:tcW w:type="dxa" w:w="3305"/>
            <w:shd w:fill="D9E2F3"/>
          </w:tcPr>
          <w:p>
            <w:r>
              <w:rPr>
                <w:b/>
                <w:sz w:val="17"/>
              </w:rPr>
              <w:t>Cambio material</w:t>
            </w:r>
          </w:p>
        </w:tc>
        <w:tc>
          <w:tcPr>
            <w:tcW w:type="dxa" w:w="3305"/>
            <w:shd w:fill="D9E2F3"/>
          </w:tcPr>
          <w:p>
            <w:r>
              <w:rPr>
                <w:b/>
                <w:sz w:val="17"/>
              </w:rPr>
              <w:t>Consecuencia</w:t>
            </w:r>
          </w:p>
        </w:tc>
      </w:tr>
      <w:tr>
        <w:tc>
          <w:tcPr>
            <w:tcW w:type="dxa" w:w="3305"/>
            <w:vAlign w:val="top"/>
          </w:tcPr>
          <w:p>
            <w:pPr>
              <w:jc w:val="left"/>
            </w:pPr>
            <w:r>
              <w:rPr>
                <w:sz w:val="17"/>
              </w:rPr>
              <w:t>AUTH_BRUTEFORCE_SUCCESS</w:t>
            </w:r>
          </w:p>
        </w:tc>
        <w:tc>
          <w:tcPr>
            <w:tcW w:type="dxa" w:w="3305"/>
            <w:vAlign w:val="top"/>
          </w:tcPr>
          <w:p>
            <w:pPr>
              <w:jc w:val="left"/>
            </w:pPr>
            <w:r>
              <w:rPr>
                <w:sz w:val="17"/>
              </w:rPr>
              <w:t>Aparece login exitoso</w:t>
            </w:r>
          </w:p>
        </w:tc>
        <w:tc>
          <w:tcPr>
            <w:tcW w:type="dxa" w:w="3305"/>
            <w:vAlign w:val="top"/>
          </w:tcPr>
          <w:p>
            <w:pPr>
              <w:jc w:val="left"/>
            </w:pPr>
            <w:r>
              <w:rPr>
                <w:sz w:val="17"/>
              </w:rPr>
              <w:t>Escalar a crítico y revisión</w:t>
            </w:r>
          </w:p>
        </w:tc>
      </w:tr>
      <w:tr>
        <w:tc>
          <w:tcPr>
            <w:tcW w:type="dxa" w:w="3305"/>
            <w:vAlign w:val="top"/>
          </w:tcPr>
          <w:p>
            <w:pPr>
              <w:jc w:val="left"/>
            </w:pPr>
            <w:r>
              <w:rPr>
                <w:sz w:val="17"/>
              </w:rPr>
              <w:t>AUTH_BRUTEFORCE_SUCCESS</w:t>
            </w:r>
          </w:p>
        </w:tc>
        <w:tc>
          <w:tcPr>
            <w:tcW w:type="dxa" w:w="3305"/>
            <w:vAlign w:val="top"/>
          </w:tcPr>
          <w:p>
            <w:pPr>
              <w:jc w:val="left"/>
            </w:pPr>
            <w:r>
              <w:rPr>
                <w:sz w:val="17"/>
              </w:rPr>
              <w:t>Nuevo usuario privilegiado</w:t>
            </w:r>
          </w:p>
        </w:tc>
        <w:tc>
          <w:tcPr>
            <w:tcW w:type="dxa" w:w="3305"/>
            <w:vAlign w:val="top"/>
          </w:tcPr>
          <w:p>
            <w:pPr>
              <w:jc w:val="left"/>
            </w:pPr>
            <w:r>
              <w:rPr>
                <w:sz w:val="17"/>
              </w:rPr>
              <w:t>Actualizar alcance</w:t>
            </w:r>
          </w:p>
        </w:tc>
      </w:tr>
      <w:tr>
        <w:tc>
          <w:tcPr>
            <w:tcW w:type="dxa" w:w="3305"/>
            <w:vAlign w:val="top"/>
          </w:tcPr>
          <w:p>
            <w:pPr>
              <w:jc w:val="left"/>
            </w:pPr>
            <w:r>
              <w:rPr>
                <w:sz w:val="17"/>
              </w:rPr>
              <w:t>VULNERABILITY_KEV</w:t>
            </w:r>
          </w:p>
        </w:tc>
        <w:tc>
          <w:tcPr>
            <w:tcW w:type="dxa" w:w="3305"/>
            <w:vAlign w:val="top"/>
          </w:tcPr>
          <w:p>
            <w:pPr>
              <w:jc w:val="left"/>
            </w:pPr>
            <w:r>
              <w:rPr>
                <w:sz w:val="17"/>
              </w:rPr>
              <w:t>CVE entra en KEV</w:t>
            </w:r>
          </w:p>
        </w:tc>
        <w:tc>
          <w:tcPr>
            <w:tcW w:type="dxa" w:w="3305"/>
            <w:vAlign w:val="top"/>
          </w:tcPr>
          <w:p>
            <w:pPr>
              <w:jc w:val="left"/>
            </w:pPr>
            <w:r>
              <w:rPr>
                <w:sz w:val="17"/>
              </w:rPr>
              <w:t>Recalcular y notificar</w:t>
            </w:r>
          </w:p>
        </w:tc>
      </w:tr>
      <w:tr>
        <w:tc>
          <w:tcPr>
            <w:tcW w:type="dxa" w:w="3305"/>
            <w:vAlign w:val="top"/>
          </w:tcPr>
          <w:p>
            <w:pPr>
              <w:jc w:val="left"/>
            </w:pPr>
            <w:r>
              <w:rPr>
                <w:sz w:val="17"/>
              </w:rPr>
              <w:t>MALWARE_CONFIRMED</w:t>
            </w:r>
          </w:p>
        </w:tc>
        <w:tc>
          <w:tcPr>
            <w:tcW w:type="dxa" w:w="3305"/>
            <w:vAlign w:val="top"/>
          </w:tcPr>
          <w:p>
            <w:pPr>
              <w:jc w:val="left"/>
            </w:pPr>
            <w:r>
              <w:rPr>
                <w:sz w:val="17"/>
              </w:rPr>
              <w:t>Archivo se ejecuta</w:t>
            </w:r>
          </w:p>
        </w:tc>
        <w:tc>
          <w:tcPr>
            <w:tcW w:type="dxa" w:w="3305"/>
            <w:vAlign w:val="top"/>
          </w:tcPr>
          <w:p>
            <w:pPr>
              <w:jc w:val="left"/>
            </w:pPr>
            <w:r>
              <w:rPr>
                <w:sz w:val="17"/>
              </w:rPr>
              <w:t>Escalar contención</w:t>
            </w:r>
          </w:p>
        </w:tc>
      </w:tr>
      <w:tr>
        <w:tc>
          <w:tcPr>
            <w:tcW w:type="dxa" w:w="3305"/>
            <w:vAlign w:val="top"/>
          </w:tcPr>
          <w:p>
            <w:pPr>
              <w:jc w:val="left"/>
            </w:pPr>
            <w:r>
              <w:rPr>
                <w:sz w:val="17"/>
              </w:rPr>
              <w:t>AGENT_HEALTH</w:t>
            </w:r>
          </w:p>
        </w:tc>
        <w:tc>
          <w:tcPr>
            <w:tcW w:type="dxa" w:w="3305"/>
            <w:vAlign w:val="top"/>
          </w:tcPr>
          <w:p>
            <w:pPr>
              <w:jc w:val="left"/>
            </w:pPr>
            <w:r>
              <w:rPr>
                <w:sz w:val="17"/>
              </w:rPr>
              <w:t>Varios agentes críticos caen</w:t>
            </w:r>
          </w:p>
        </w:tc>
        <w:tc>
          <w:tcPr>
            <w:tcW w:type="dxa" w:w="3305"/>
            <w:vAlign w:val="top"/>
          </w:tcPr>
          <w:p>
            <w:pPr>
              <w:jc w:val="left"/>
            </w:pPr>
            <w:r>
              <w:rPr>
                <w:sz w:val="17"/>
              </w:rPr>
              <w:t>Posible incidente de plataforma</w:t>
            </w:r>
          </w:p>
        </w:tc>
      </w:tr>
      <w:tr>
        <w:tc>
          <w:tcPr>
            <w:tcW w:type="dxa" w:w="3305"/>
            <w:vAlign w:val="top"/>
          </w:tcPr>
          <w:p>
            <w:pPr>
              <w:jc w:val="left"/>
            </w:pPr>
            <w:r>
              <w:rPr>
                <w:sz w:val="17"/>
              </w:rPr>
              <w:t>FIM_CRITICAL_PATH</w:t>
            </w:r>
          </w:p>
        </w:tc>
        <w:tc>
          <w:tcPr>
            <w:tcW w:type="dxa" w:w="3305"/>
            <w:vAlign w:val="top"/>
          </w:tcPr>
          <w:p>
            <w:pPr>
              <w:jc w:val="left"/>
            </w:pPr>
            <w:r>
              <w:rPr>
                <w:sz w:val="17"/>
              </w:rPr>
              <w:t>Cambio no autorizado o hash malicioso</w:t>
            </w:r>
          </w:p>
        </w:tc>
        <w:tc>
          <w:tcPr>
            <w:tcW w:type="dxa" w:w="3305"/>
            <w:vAlign w:val="top"/>
          </w:tcPr>
          <w:p>
            <w:pPr>
              <w:jc w:val="left"/>
            </w:pPr>
            <w:r>
              <w:rPr>
                <w:sz w:val="17"/>
              </w:rPr>
              <w:t>Revisión inmediata</w:t>
            </w:r>
          </w:p>
        </w:tc>
      </w:tr>
    </w:tbl>
    <w:p/>
    <w:tbl>
      <w:tblPr>
        <w:tblStyle w:val="TableGrid"/>
        <w:tblW w:type="auto" w:w="0"/>
        <w:jc w:val="center"/>
        <w:tblLook w:firstColumn="1" w:firstRow="1" w:lastColumn="0" w:lastRow="0" w:noHBand="0" w:noVBand="1" w:val="04A0"/>
      </w:tblPr>
      <w:tblGrid>
        <w:gridCol w:w="9915"/>
      </w:tblGrid>
      <w:tr>
        <w:tc>
          <w:tcPr>
            <w:tcW w:type="dxa" w:w="9915"/>
            <w:shd w:fill="EEF3F8"/>
          </w:tcPr>
          <w:p>
            <w:pPr>
              <w:jc w:val="left"/>
            </w:pPr>
            <w:r>
              <w:rPr>
                <w:b/>
                <w:color w:val="1F3854"/>
              </w:rPr>
              <w:t>Control de tokens y correos</w:t>
              <w:br/>
            </w:r>
            <w:r>
              <w:t>El incremento del contador de 100 a 101 no es un cambio material. Se actualiza el caso, pero no se vuelve a llamar a la IA ni se genera una comunicación nueva.</w:t>
            </w:r>
          </w:p>
        </w:tc>
      </w:tr>
    </w:tbl>
    <w:p/>
    <w:p>
      <w:pPr>
        <w:pStyle w:val="Heading1"/>
      </w:pPr>
      <w:r>
        <w:t>9. Estados y transiciones</w:t>
      </w:r>
    </w:p>
    <w:p>
      <w:r>
        <w:t>El caso utiliza una máquina de estados para impedir saltos ambiguos. NEW representa creación; TRIAGED indica que la clasificación inicial terminó; PENDING_REVIEW espera al analista; NOTIFIED confirma comunicación; ACKNOWLEDGED registra respuesta; RESOLVED indica que la acción fue ejecutada; CLOSED finaliza el seguimiento.</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Estado origen</w:t>
            </w:r>
          </w:p>
        </w:tc>
        <w:tc>
          <w:tcPr>
            <w:tcW w:type="dxa" w:w="3305"/>
            <w:shd w:fill="D9E2F3"/>
          </w:tcPr>
          <w:p>
            <w:r>
              <w:rPr>
                <w:b/>
                <w:sz w:val="17"/>
              </w:rPr>
              <w:t>Estado destino</w:t>
            </w:r>
          </w:p>
        </w:tc>
        <w:tc>
          <w:tcPr>
            <w:tcW w:type="dxa" w:w="3305"/>
            <w:shd w:fill="D9E2F3"/>
          </w:tcPr>
          <w:p>
            <w:r>
              <w:rPr>
                <w:b/>
                <w:sz w:val="17"/>
              </w:rPr>
              <w:t>Actor/condición</w:t>
            </w:r>
          </w:p>
        </w:tc>
      </w:tr>
      <w:tr>
        <w:tc>
          <w:tcPr>
            <w:tcW w:type="dxa" w:w="3305"/>
            <w:vAlign w:val="top"/>
          </w:tcPr>
          <w:p>
            <w:pPr>
              <w:jc w:val="left"/>
            </w:pPr>
            <w:r>
              <w:rPr>
                <w:sz w:val="17"/>
              </w:rPr>
              <w:t>NEW</w:t>
            </w:r>
          </w:p>
        </w:tc>
        <w:tc>
          <w:tcPr>
            <w:tcW w:type="dxa" w:w="3305"/>
            <w:vAlign w:val="top"/>
          </w:tcPr>
          <w:p>
            <w:pPr>
              <w:jc w:val="left"/>
            </w:pPr>
            <w:r>
              <w:rPr>
                <w:sz w:val="17"/>
              </w:rPr>
              <w:t>TRIAGED</w:t>
            </w:r>
          </w:p>
        </w:tc>
        <w:tc>
          <w:tcPr>
            <w:tcW w:type="dxa" w:w="3305"/>
            <w:vAlign w:val="top"/>
          </w:tcPr>
          <w:p>
            <w:pPr>
              <w:jc w:val="left"/>
            </w:pPr>
            <w:r>
              <w:rPr>
                <w:sz w:val="17"/>
              </w:rPr>
              <w:t>Motor completa contexto mínimo</w:t>
            </w:r>
          </w:p>
        </w:tc>
      </w:tr>
      <w:tr>
        <w:tc>
          <w:tcPr>
            <w:tcW w:type="dxa" w:w="3305"/>
            <w:vAlign w:val="top"/>
          </w:tcPr>
          <w:p>
            <w:pPr>
              <w:jc w:val="left"/>
            </w:pPr>
            <w:r>
              <w:rPr>
                <w:sz w:val="17"/>
              </w:rPr>
              <w:t>TRIAGED</w:t>
            </w:r>
          </w:p>
        </w:tc>
        <w:tc>
          <w:tcPr>
            <w:tcW w:type="dxa" w:w="3305"/>
            <w:vAlign w:val="top"/>
          </w:tcPr>
          <w:p>
            <w:pPr>
              <w:jc w:val="left"/>
            </w:pPr>
            <w:r>
              <w:rPr>
                <w:sz w:val="17"/>
              </w:rPr>
              <w:t>PENDING_REVIEW</w:t>
            </w:r>
          </w:p>
        </w:tc>
        <w:tc>
          <w:tcPr>
            <w:tcW w:type="dxa" w:w="3305"/>
            <w:vAlign w:val="top"/>
          </w:tcPr>
          <w:p>
            <w:pPr>
              <w:jc w:val="left"/>
            </w:pPr>
            <w:r>
              <w:rPr>
                <w:sz w:val="17"/>
              </w:rPr>
              <w:t>Política exige humano</w:t>
            </w:r>
          </w:p>
        </w:tc>
      </w:tr>
      <w:tr>
        <w:tc>
          <w:tcPr>
            <w:tcW w:type="dxa" w:w="3305"/>
            <w:vAlign w:val="top"/>
          </w:tcPr>
          <w:p>
            <w:pPr>
              <w:jc w:val="left"/>
            </w:pPr>
            <w:r>
              <w:rPr>
                <w:sz w:val="17"/>
              </w:rPr>
              <w:t>TRIAGED</w:t>
            </w:r>
          </w:p>
        </w:tc>
        <w:tc>
          <w:tcPr>
            <w:tcW w:type="dxa" w:w="3305"/>
            <w:vAlign w:val="top"/>
          </w:tcPr>
          <w:p>
            <w:pPr>
              <w:jc w:val="left"/>
            </w:pPr>
            <w:r>
              <w:rPr>
                <w:sz w:val="17"/>
              </w:rPr>
              <w:t>NOTIFIED</w:t>
            </w:r>
          </w:p>
        </w:tc>
        <w:tc>
          <w:tcPr>
            <w:tcW w:type="dxa" w:w="3305"/>
            <w:vAlign w:val="top"/>
          </w:tcPr>
          <w:p>
            <w:pPr>
              <w:jc w:val="left"/>
            </w:pPr>
            <w:r>
              <w:rPr>
                <w:sz w:val="17"/>
              </w:rPr>
              <w:t>Comunicación automática permitida</w:t>
            </w:r>
          </w:p>
        </w:tc>
      </w:tr>
      <w:tr>
        <w:tc>
          <w:tcPr>
            <w:tcW w:type="dxa" w:w="3305"/>
            <w:vAlign w:val="top"/>
          </w:tcPr>
          <w:p>
            <w:pPr>
              <w:jc w:val="left"/>
            </w:pPr>
            <w:r>
              <w:rPr>
                <w:sz w:val="17"/>
              </w:rPr>
              <w:t>PENDING_REVIEW</w:t>
            </w:r>
          </w:p>
        </w:tc>
        <w:tc>
          <w:tcPr>
            <w:tcW w:type="dxa" w:w="3305"/>
            <w:vAlign w:val="top"/>
          </w:tcPr>
          <w:p>
            <w:pPr>
              <w:jc w:val="left"/>
            </w:pPr>
            <w:r>
              <w:rPr>
                <w:sz w:val="17"/>
              </w:rPr>
              <w:t>NOTIFIED</w:t>
            </w:r>
          </w:p>
        </w:tc>
        <w:tc>
          <w:tcPr>
            <w:tcW w:type="dxa" w:w="3305"/>
            <w:vAlign w:val="top"/>
          </w:tcPr>
          <w:p>
            <w:pPr>
              <w:jc w:val="left"/>
            </w:pPr>
            <w:r>
              <w:rPr>
                <w:sz w:val="17"/>
              </w:rPr>
              <w:t>Analista aprueba</w:t>
            </w:r>
          </w:p>
        </w:tc>
      </w:tr>
      <w:tr>
        <w:tc>
          <w:tcPr>
            <w:tcW w:type="dxa" w:w="3305"/>
            <w:vAlign w:val="top"/>
          </w:tcPr>
          <w:p>
            <w:pPr>
              <w:jc w:val="left"/>
            </w:pPr>
            <w:r>
              <w:rPr>
                <w:sz w:val="17"/>
              </w:rPr>
              <w:t>NOTIFIED</w:t>
            </w:r>
          </w:p>
        </w:tc>
        <w:tc>
          <w:tcPr>
            <w:tcW w:type="dxa" w:w="3305"/>
            <w:vAlign w:val="top"/>
          </w:tcPr>
          <w:p>
            <w:pPr>
              <w:jc w:val="left"/>
            </w:pPr>
            <w:r>
              <w:rPr>
                <w:sz w:val="17"/>
              </w:rPr>
              <w:t>ACKNOWLEDGED</w:t>
            </w:r>
          </w:p>
        </w:tc>
        <w:tc>
          <w:tcPr>
            <w:tcW w:type="dxa" w:w="3305"/>
            <w:vAlign w:val="top"/>
          </w:tcPr>
          <w:p>
            <w:pPr>
              <w:jc w:val="left"/>
            </w:pPr>
            <w:r>
              <w:rPr>
                <w:sz w:val="17"/>
              </w:rPr>
              <w:t>Cliente reconoce</w:t>
            </w:r>
          </w:p>
        </w:tc>
      </w:tr>
      <w:tr>
        <w:tc>
          <w:tcPr>
            <w:tcW w:type="dxa" w:w="3305"/>
            <w:vAlign w:val="top"/>
          </w:tcPr>
          <w:p>
            <w:pPr>
              <w:jc w:val="left"/>
            </w:pPr>
            <w:r>
              <w:rPr>
                <w:sz w:val="17"/>
              </w:rPr>
              <w:t>ACKNOWLEDGED</w:t>
            </w:r>
          </w:p>
        </w:tc>
        <w:tc>
          <w:tcPr>
            <w:tcW w:type="dxa" w:w="3305"/>
            <w:vAlign w:val="top"/>
          </w:tcPr>
          <w:p>
            <w:pPr>
              <w:jc w:val="left"/>
            </w:pPr>
            <w:r>
              <w:rPr>
                <w:sz w:val="17"/>
              </w:rPr>
              <w:t>RESOLVED</w:t>
            </w:r>
          </w:p>
        </w:tc>
        <w:tc>
          <w:tcPr>
            <w:tcW w:type="dxa" w:w="3305"/>
            <w:vAlign w:val="top"/>
          </w:tcPr>
          <w:p>
            <w:pPr>
              <w:jc w:val="left"/>
            </w:pPr>
            <w:r>
              <w:rPr>
                <w:sz w:val="17"/>
              </w:rPr>
              <w:t>Acción confirmada</w:t>
            </w:r>
          </w:p>
        </w:tc>
      </w:tr>
      <w:tr>
        <w:tc>
          <w:tcPr>
            <w:tcW w:type="dxa" w:w="3305"/>
            <w:vAlign w:val="top"/>
          </w:tcPr>
          <w:p>
            <w:pPr>
              <w:jc w:val="left"/>
            </w:pPr>
            <w:r>
              <w:rPr>
                <w:sz w:val="17"/>
              </w:rPr>
              <w:t>RESOLVED</w:t>
            </w:r>
          </w:p>
        </w:tc>
        <w:tc>
          <w:tcPr>
            <w:tcW w:type="dxa" w:w="3305"/>
            <w:vAlign w:val="top"/>
          </w:tcPr>
          <w:p>
            <w:pPr>
              <w:jc w:val="left"/>
            </w:pPr>
            <w:r>
              <w:rPr>
                <w:sz w:val="17"/>
              </w:rPr>
              <w:t>CLOSED</w:t>
            </w:r>
          </w:p>
        </w:tc>
        <w:tc>
          <w:tcPr>
            <w:tcW w:type="dxa" w:w="3305"/>
            <w:vAlign w:val="top"/>
          </w:tcPr>
          <w:p>
            <w:pPr>
              <w:jc w:val="left"/>
            </w:pPr>
            <w:r>
              <w:rPr>
                <w:sz w:val="17"/>
              </w:rPr>
              <w:t>Criterios de cierre</w:t>
            </w:r>
          </w:p>
        </w:tc>
      </w:tr>
      <w:tr>
        <w:tc>
          <w:tcPr>
            <w:tcW w:type="dxa" w:w="3305"/>
            <w:vAlign w:val="top"/>
          </w:tcPr>
          <w:p>
            <w:pPr>
              <w:jc w:val="left"/>
            </w:pPr>
            <w:r>
              <w:rPr>
                <w:sz w:val="17"/>
              </w:rPr>
              <w:t>CLOSED</w:t>
            </w:r>
          </w:p>
        </w:tc>
        <w:tc>
          <w:tcPr>
            <w:tcW w:type="dxa" w:w="3305"/>
            <w:vAlign w:val="top"/>
          </w:tcPr>
          <w:p>
            <w:pPr>
              <w:jc w:val="left"/>
            </w:pPr>
            <w:r>
              <w:rPr>
                <w:sz w:val="17"/>
              </w:rPr>
              <w:t>TRIAGED/NEW</w:t>
            </w:r>
          </w:p>
        </w:tc>
        <w:tc>
          <w:tcPr>
            <w:tcW w:type="dxa" w:w="3305"/>
            <w:vAlign w:val="top"/>
          </w:tcPr>
          <w:p>
            <w:pPr>
              <w:jc w:val="left"/>
            </w:pPr>
            <w:r>
              <w:rPr>
                <w:sz w:val="17"/>
              </w:rPr>
              <w:t>Reopen policy y nueva evidencia</w:t>
            </w:r>
          </w:p>
        </w:tc>
      </w:tr>
    </w:tbl>
    <w:p/>
    <w:p>
      <w:r>
        <w:t>FALSE_POSITIVE y SUPPRESSED son estados alternativos con motivo obligatorio. DUPLICATE se utiliza cuando se detecta una relación que no pudo resolverse antes. Ninguno debe borrar la evidencia.</w:t>
      </w:r>
    </w:p>
    <w:p>
      <w:pPr>
        <w:pStyle w:val="Heading1"/>
      </w:pPr>
      <w:r>
        <w:t>10. Correlación cross-host</w:t>
      </w:r>
    </w:p>
    <w:p>
      <w:r>
        <w:t>Las reglas Wazuh actuales pueden correlacionar eventos simples y por agente, pero un password spray distribuido puede afectar múltiples equipos. Kriptome debe consultar eventos normalizados del mismo tenant dentro de una ventana y agrupar por IP, usuario o patrón. Esto permite crear un caso de alcance de cliente sin mezclar tenants.</w:t>
      </w:r>
    </w:p>
    <w:p>
      <w:r>
        <w:t>La correlación cross-host también aplica a salud: cinco agentes críticos desconectados al mismo tiempo pueden indicar una falla de red o manipulación coordinada. La aplicación puede reconocer ese patrón porque mantiene estado persistente y contexto de los activos.</w:t>
      </w:r>
    </w:p>
    <w:p>
      <w:pPr>
        <w:pStyle w:val="Heading1"/>
      </w:pPr>
      <w:r>
        <w:t>11. Reintentos y concurrencia</w:t>
      </w:r>
    </w:p>
    <w:p>
      <w:r>
        <w:t>Cada integración externa debe distinguir errores temporales de permanentes. Los temporales se reintentan con backoff; los permanentes registran un estado de error. El correo utiliza una idempotency key. Los enriquecimientos pueden reutilizar cache. La IA registra un execution_id para no repetir la misma solicitud cuando una respuesta ya fue validada.</w:t>
      </w:r>
    </w:p>
    <w:p>
      <w:r>
        <w:t>La concurrencia se controla en la base de datos. No basta con preguntar '¿existe el caso?' y luego insertar, porque dos workers pueden obtener la misma respuesta. Se requiere una restricción única o bloqueo transaccional.</w:t>
      </w:r>
    </w:p>
    <w:p>
      <w:pPr>
        <w:pStyle w:val="Heading1"/>
      </w:pPr>
      <w:r>
        <w:t>12. Ejemplos completos</w:t>
      </w:r>
    </w:p>
    <w:p>
      <w:pPr>
        <w:pStyle w:val="Heading2"/>
      </w:pPr>
      <w:r>
        <w:t>12.1 Fuerza bruta seguida de éxito</w:t>
      </w:r>
    </w:p>
    <w:p>
      <w:r>
        <w:t>Wazuh produce alertas de fallos repetidos. Kriptome las agrega al caso usando tenant, activo, case_type e IP. El contador aumenta sin correo. Minutos después aparece una regla 100012 o 100013 de login exitoso posterior. La política reconoce el cambio material, recalcula la prioridad, selecciona el procedimiento de compromiso de credenciales y solicita revisión humana. El cliente recibe un único aviso que resume fallos y éxito.</w:t>
      </w:r>
    </w:p>
    <w:p>
      <w:pPr>
        <w:pStyle w:val="Heading2"/>
      </w:pPr>
      <w:r>
        <w:t>12.2 Vulnerabilidad KEV</w:t>
      </w:r>
    </w:p>
    <w:p>
      <w:r>
        <w:t>Wazuh reporta un CVE. Kriptome crea o actualiza un caso con fingerprint tenant|asset|CVE. El enriquecimiento consulta KEV. Si el CVE aparece como explotado activamente, se añade esa información al mismo caso. La prioridad aumenta según criticidad y exposición. No se crea un segundo caso proveniente de la regla 100040, porque esa regla está fuera del conjunto productivo.</w:t>
      </w:r>
    </w:p>
    <w:p>
      <w:pPr>
        <w:pStyle w:val="Heading2"/>
      </w:pPr>
      <w:r>
        <w:t>12.3 Agente desconectado</w:t>
      </w:r>
    </w:p>
    <w:p>
      <w:r>
        <w:t>Una desconexión breve puede quedar como context. Si supera la ventana definida, se abre un caso. Si el activo es crítico o varios agentes caen, el caso escala. No se consulta reputación IP; el enriquecimiento relevante es CMDB, horario esperado y alcance.</w:t>
      </w:r>
    </w:p>
    <w:p>
      <w:pPr>
        <w:pStyle w:val="Heading1"/>
      </w:pPr>
      <w:r>
        <w:t>13. Errores y observabilidad</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Error</w:t>
            </w:r>
          </w:p>
        </w:tc>
        <w:tc>
          <w:tcPr>
            <w:tcW w:type="dxa" w:w="3305"/>
            <w:shd w:fill="D9E2F3"/>
          </w:tcPr>
          <w:p>
            <w:r>
              <w:rPr>
                <w:b/>
                <w:sz w:val="17"/>
              </w:rPr>
              <w:t>Tratamiento</w:t>
            </w:r>
          </w:p>
        </w:tc>
        <w:tc>
          <w:tcPr>
            <w:tcW w:type="dxa" w:w="3305"/>
            <w:shd w:fill="D9E2F3"/>
          </w:tcPr>
          <w:p>
            <w:r>
              <w:rPr>
                <w:b/>
                <w:sz w:val="17"/>
              </w:rPr>
              <w:t>Métrica/alerta</w:t>
            </w:r>
          </w:p>
        </w:tc>
      </w:tr>
      <w:tr>
        <w:tc>
          <w:tcPr>
            <w:tcW w:type="dxa" w:w="3305"/>
            <w:vAlign w:val="top"/>
          </w:tcPr>
          <w:p>
            <w:pPr>
              <w:jc w:val="left"/>
            </w:pPr>
            <w:r>
              <w:rPr>
                <w:sz w:val="17"/>
              </w:rPr>
              <w:t>Evento inválido</w:t>
            </w:r>
          </w:p>
        </w:tc>
        <w:tc>
          <w:tcPr>
            <w:tcW w:type="dxa" w:w="3305"/>
            <w:vAlign w:val="top"/>
          </w:tcPr>
          <w:p>
            <w:pPr>
              <w:jc w:val="left"/>
            </w:pPr>
            <w:r>
              <w:rPr>
                <w:sz w:val="17"/>
              </w:rPr>
              <w:t>Estado normalization_failed</w:t>
            </w:r>
          </w:p>
        </w:tc>
        <w:tc>
          <w:tcPr>
            <w:tcW w:type="dxa" w:w="3305"/>
            <w:vAlign w:val="top"/>
          </w:tcPr>
          <w:p>
            <w:pPr>
              <w:jc w:val="left"/>
            </w:pPr>
            <w:r>
              <w:rPr>
                <w:sz w:val="17"/>
              </w:rPr>
              <w:t>Conteo por fuente</w:t>
            </w:r>
          </w:p>
        </w:tc>
      </w:tr>
      <w:tr>
        <w:tc>
          <w:tcPr>
            <w:tcW w:type="dxa" w:w="3305"/>
            <w:vAlign w:val="top"/>
          </w:tcPr>
          <w:p>
            <w:pPr>
              <w:jc w:val="left"/>
            </w:pPr>
            <w:r>
              <w:rPr>
                <w:sz w:val="17"/>
              </w:rPr>
              <w:t>Tenant inconsistente</w:t>
            </w:r>
          </w:p>
        </w:tc>
        <w:tc>
          <w:tcPr>
            <w:tcW w:type="dxa" w:w="3305"/>
            <w:vAlign w:val="top"/>
          </w:tcPr>
          <w:p>
            <w:pPr>
              <w:jc w:val="left"/>
            </w:pPr>
            <w:r>
              <w:rPr>
                <w:sz w:val="17"/>
              </w:rPr>
              <w:t>Cuarentena</w:t>
            </w:r>
          </w:p>
        </w:tc>
        <w:tc>
          <w:tcPr>
            <w:tcW w:type="dxa" w:w="3305"/>
            <w:vAlign w:val="top"/>
          </w:tcPr>
          <w:p>
            <w:pPr>
              <w:jc w:val="left"/>
            </w:pPr>
            <w:r>
              <w:rPr>
                <w:sz w:val="17"/>
              </w:rPr>
              <w:t>Alerta crítica interna</w:t>
            </w:r>
          </w:p>
        </w:tc>
      </w:tr>
      <w:tr>
        <w:tc>
          <w:tcPr>
            <w:tcW w:type="dxa" w:w="3305"/>
            <w:vAlign w:val="top"/>
          </w:tcPr>
          <w:p>
            <w:pPr>
              <w:jc w:val="left"/>
            </w:pPr>
            <w:r>
              <w:rPr>
                <w:sz w:val="17"/>
              </w:rPr>
              <w:t>Enriquecimiento caído</w:t>
            </w:r>
          </w:p>
        </w:tc>
        <w:tc>
          <w:tcPr>
            <w:tcW w:type="dxa" w:w="3305"/>
            <w:vAlign w:val="top"/>
          </w:tcPr>
          <w:p>
            <w:pPr>
              <w:jc w:val="left"/>
            </w:pPr>
            <w:r>
              <w:rPr>
                <w:sz w:val="17"/>
              </w:rPr>
              <w:t>Fallback y retry</w:t>
            </w:r>
          </w:p>
        </w:tc>
        <w:tc>
          <w:tcPr>
            <w:tcW w:type="dxa" w:w="3305"/>
            <w:vAlign w:val="top"/>
          </w:tcPr>
          <w:p>
            <w:pPr>
              <w:jc w:val="left"/>
            </w:pPr>
            <w:r>
              <w:rPr>
                <w:sz w:val="17"/>
              </w:rPr>
              <w:t>Disponibilidad del conector</w:t>
            </w:r>
          </w:p>
        </w:tc>
      </w:tr>
      <w:tr>
        <w:tc>
          <w:tcPr>
            <w:tcW w:type="dxa" w:w="3305"/>
            <w:vAlign w:val="top"/>
          </w:tcPr>
          <w:p>
            <w:pPr>
              <w:jc w:val="left"/>
            </w:pPr>
            <w:r>
              <w:rPr>
                <w:sz w:val="17"/>
              </w:rPr>
              <w:t>IA inválida</w:t>
            </w:r>
          </w:p>
        </w:tc>
        <w:tc>
          <w:tcPr>
            <w:tcW w:type="dxa" w:w="3305"/>
            <w:vAlign w:val="top"/>
          </w:tcPr>
          <w:p>
            <w:pPr>
              <w:jc w:val="left"/>
            </w:pPr>
            <w:r>
              <w:rPr>
                <w:sz w:val="17"/>
              </w:rPr>
              <w:t>Plantilla</w:t>
            </w:r>
          </w:p>
        </w:tc>
        <w:tc>
          <w:tcPr>
            <w:tcW w:type="dxa" w:w="3305"/>
            <w:vAlign w:val="top"/>
          </w:tcPr>
          <w:p>
            <w:pPr>
              <w:jc w:val="left"/>
            </w:pPr>
            <w:r>
              <w:rPr>
                <w:sz w:val="17"/>
              </w:rPr>
              <w:t>Tasa de validación</w:t>
            </w:r>
          </w:p>
        </w:tc>
      </w:tr>
      <w:tr>
        <w:tc>
          <w:tcPr>
            <w:tcW w:type="dxa" w:w="3305"/>
            <w:vAlign w:val="top"/>
          </w:tcPr>
          <w:p>
            <w:pPr>
              <w:jc w:val="left"/>
            </w:pPr>
            <w:r>
              <w:rPr>
                <w:sz w:val="17"/>
              </w:rPr>
              <w:t>Correo fallido</w:t>
            </w:r>
          </w:p>
        </w:tc>
        <w:tc>
          <w:tcPr>
            <w:tcW w:type="dxa" w:w="3305"/>
            <w:vAlign w:val="top"/>
          </w:tcPr>
          <w:p>
            <w:pPr>
              <w:jc w:val="left"/>
            </w:pPr>
            <w:r>
              <w:rPr>
                <w:sz w:val="17"/>
              </w:rPr>
              <w:t>Retry idempotente</w:t>
            </w:r>
          </w:p>
        </w:tc>
        <w:tc>
          <w:tcPr>
            <w:tcW w:type="dxa" w:w="3305"/>
            <w:vAlign w:val="top"/>
          </w:tcPr>
          <w:p>
            <w:pPr>
              <w:jc w:val="left"/>
            </w:pPr>
            <w:r>
              <w:rPr>
                <w:sz w:val="17"/>
              </w:rPr>
              <w:t>Mensajes pendientes</w:t>
            </w:r>
          </w:p>
        </w:tc>
      </w:tr>
      <w:tr>
        <w:tc>
          <w:tcPr>
            <w:tcW w:type="dxa" w:w="3305"/>
            <w:vAlign w:val="top"/>
          </w:tcPr>
          <w:p>
            <w:pPr>
              <w:jc w:val="left"/>
            </w:pPr>
            <w:r>
              <w:rPr>
                <w:sz w:val="17"/>
              </w:rPr>
              <w:t>Conflicto de caso</w:t>
            </w:r>
          </w:p>
        </w:tc>
        <w:tc>
          <w:tcPr>
            <w:tcW w:type="dxa" w:w="3305"/>
            <w:vAlign w:val="top"/>
          </w:tcPr>
          <w:p>
            <w:pPr>
              <w:jc w:val="left"/>
            </w:pPr>
            <w:r>
              <w:rPr>
                <w:sz w:val="17"/>
              </w:rPr>
              <w:t>Releer caso existente</w:t>
            </w:r>
          </w:p>
        </w:tc>
        <w:tc>
          <w:tcPr>
            <w:tcW w:type="dxa" w:w="3305"/>
            <w:vAlign w:val="top"/>
          </w:tcPr>
          <w:p>
            <w:pPr>
              <w:jc w:val="left"/>
            </w:pPr>
            <w:r>
              <w:rPr>
                <w:sz w:val="17"/>
              </w:rPr>
              <w:t>Conflictos resueltos</w:t>
            </w:r>
          </w:p>
        </w:tc>
      </w:tr>
    </w:tbl>
    <w:p/>
    <w:p>
      <w:r>
        <w:t>La observabilidad debe permitir responder cuántos eventos están pendientes, cuál es el cursor, qué workers fallan, qué conectores están degradados y cuántas comunicaciones no fueron entregadas.</w:t>
      </w:r>
    </w:p>
    <w:p>
      <w:pPr>
        <w:pStyle w:val="Heading1"/>
      </w:pPr>
      <w:r>
        <w:t>14. Criterios de implementación</w:t>
      </w:r>
    </w:p>
    <w:p>
      <w:pPr>
        <w:pStyle w:val="ListBullet"/>
        <w:jc w:val="left"/>
      </w:pPr>
      <w:r>
        <w:t>El mismo event_id nunca produce dos evidencias.</w:t>
      </w:r>
    </w:p>
    <w:p>
      <w:pPr>
        <w:pStyle w:val="ListBullet"/>
        <w:jc w:val="left"/>
      </w:pPr>
      <w:r>
        <w:t>Dos workers no crean dos casos equivalentes.</w:t>
      </w:r>
    </w:p>
    <w:p>
      <w:pPr>
        <w:pStyle w:val="ListBullet"/>
        <w:jc w:val="left"/>
      </w:pPr>
      <w:r>
        <w:t>Ninguna consulta mezcla tenants.</w:t>
      </w:r>
    </w:p>
    <w:p>
      <w:pPr>
        <w:pStyle w:val="ListBullet"/>
        <w:jc w:val="left"/>
      </w:pPr>
      <w:r>
        <w:t>Un cambio no material no consume IA ni genera correo.</w:t>
      </w:r>
    </w:p>
    <w:p>
      <w:pPr>
        <w:pStyle w:val="ListBullet"/>
        <w:jc w:val="left"/>
      </w:pPr>
      <w:r>
        <w:t>La caída de IA no bloquea un caso crítico.</w:t>
      </w:r>
    </w:p>
    <w:p>
      <w:pPr>
        <w:pStyle w:val="ListBullet"/>
        <w:jc w:val="left"/>
      </w:pPr>
      <w:r>
        <w:t>El caso puede reconstruirse desde su auditoría.</w:t>
      </w:r>
    </w:p>
    <w:p>
      <w:pPr>
        <w:pStyle w:val="ListBullet"/>
        <w:jc w:val="left"/>
      </w:pPr>
      <w:r>
        <w:t>Las políticas se versionan y se prueban por case type.</w:t>
      </w:r>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specifications/normalized_event.schema.json</w:t>
      </w:r>
    </w:p>
    <w:p>
      <w:pPr>
        <w:pStyle w:val="ListBullet"/>
        <w:jc w:val="left"/>
      </w:pPr>
      <w:r>
        <w:rPr>
          <w:rFonts w:ascii="Liberation Mono" w:hAnsi="Liberation Mono"/>
          <w:sz w:val="17"/>
        </w:rPr>
        <w:t>specifications/case.schema.json</w:t>
      </w:r>
    </w:p>
    <w:p>
      <w:pPr>
        <w:pStyle w:val="ListBullet"/>
        <w:jc w:val="left"/>
      </w:pPr>
      <w:r>
        <w:rPr>
          <w:rFonts w:ascii="Liberation Mono" w:hAnsi="Liberation Mono"/>
          <w:sz w:val="17"/>
        </w:rPr>
        <w:t>specifications/case_type_policy.example.yaml</w:t>
      </w:r>
    </w:p>
    <w:p>
      <w:pPr>
        <w:pStyle w:val="ListBullet"/>
        <w:jc w:val="left"/>
      </w:pPr>
      <w:r>
        <w:rPr>
          <w:rFonts w:ascii="Liberation Mono" w:hAnsi="Liberation Mono"/>
          <w:sz w:val="17"/>
        </w:rPr>
        <w:t>specifications/tenant_resolution.md</w:t>
      </w:r>
    </w:p>
    <w:p>
      <w:pPr>
        <w:pStyle w:val="ListBullet"/>
        <w:jc w:val="left"/>
      </w:pPr>
      <w:r>
        <w:rPr>
          <w:rFonts w:ascii="Liberation Mono" w:hAnsi="Liberation Mono"/>
          <w:sz w:val="17"/>
        </w:rPr>
        <w:t>policies/case_types/AUTH_BRUTEFORCE_SUCCESS.yaml</w:t>
      </w:r>
    </w:p>
    <w:p>
      <w:pPr>
        <w:pStyle w:val="ListBullet"/>
        <w:jc w:val="left"/>
      </w:pPr>
      <w:r>
        <w:rPr>
          <w:rFonts w:ascii="Liberation Mono" w:hAnsi="Liberation Mono"/>
          <w:sz w:val="17"/>
        </w:rPr>
        <w:t>policies/case_types/MALWARE_CONFIRMED.yaml</w:t>
      </w:r>
    </w:p>
    <w:p>
      <w:pPr>
        <w:pStyle w:val="ListBullet"/>
        <w:jc w:val="left"/>
      </w:pPr>
      <w:r>
        <w:rPr>
          <w:rFonts w:ascii="Liberation Mono" w:hAnsi="Liberation Mono"/>
          <w:sz w:val="17"/>
        </w:rPr>
        <w:t>policies/case_types/FIM_CRITICAL_PATH.yaml</w:t>
      </w:r>
    </w:p>
    <w:p>
      <w:pPr>
        <w:pStyle w:val="ListBullet"/>
        <w:jc w:val="left"/>
      </w:pPr>
      <w:r>
        <w:rPr>
          <w:rFonts w:ascii="Liberation Mono" w:hAnsi="Liberation Mono"/>
          <w:sz w:val="17"/>
        </w:rPr>
        <w:t>policies/case_types/AGENT_HEALTH.yaml</w:t>
      </w:r>
    </w:p>
    <w:p>
      <w:pPr>
        <w:pStyle w:val="ListBullet"/>
        <w:jc w:val="left"/>
      </w:pPr>
      <w:r>
        <w:rPr>
          <w:rFonts w:ascii="Liberation Mono" w:hAnsi="Liberation Mono"/>
          <w:sz w:val="17"/>
        </w:rPr>
        <w:t>policies/case_types/VULNERABILITY_KEV.yaml</w:t>
      </w:r>
    </w:p>
    <w:p>
      <w:pPr>
        <w:pStyle w:val="Heading1"/>
      </w:pPr>
      <w:r>
        <w:t>15. Políticas detalladas de los cinco case types del MVP</w:t>
      </w:r>
    </w:p>
    <w:tbl>
      <w:tblPr>
        <w:tblStyle w:val="TableGrid"/>
        <w:tblW w:type="auto" w:w="0"/>
        <w:jc w:val="center"/>
        <w:tblLook w:firstColumn="1" w:firstRow="1" w:lastColumn="0" w:lastRow="0" w:noHBand="0" w:noVBand="1" w:val="04A0"/>
      </w:tblPr>
      <w:tblGrid>
        <w:gridCol w:w="1983"/>
        <w:gridCol w:w="1983"/>
        <w:gridCol w:w="1983"/>
        <w:gridCol w:w="1983"/>
        <w:gridCol w:w="1983"/>
      </w:tblGrid>
      <w:tr>
        <w:trPr>
          <w:tblHeader w:val="true"/>
        </w:trPr>
        <w:tc>
          <w:tcPr>
            <w:tcW w:type="dxa" w:w="1983"/>
            <w:shd w:fill="D9E2F3"/>
          </w:tcPr>
          <w:p>
            <w:r>
              <w:rPr>
                <w:b/>
                <w:sz w:val="17"/>
              </w:rPr>
              <w:t>Case type</w:t>
            </w:r>
          </w:p>
        </w:tc>
        <w:tc>
          <w:tcPr>
            <w:tcW w:type="dxa" w:w="1983"/>
            <w:shd w:fill="D9E2F3"/>
          </w:tcPr>
          <w:p>
            <w:r>
              <w:rPr>
                <w:b/>
                <w:sz w:val="17"/>
              </w:rPr>
              <w:t>Fingerprint sugerido</w:t>
            </w:r>
          </w:p>
        </w:tc>
        <w:tc>
          <w:tcPr>
            <w:tcW w:type="dxa" w:w="1983"/>
            <w:shd w:fill="D9E2F3"/>
          </w:tcPr>
          <w:p>
            <w:r>
              <w:rPr>
                <w:b/>
                <w:sz w:val="17"/>
              </w:rPr>
              <w:t>Ventana</w:t>
            </w:r>
          </w:p>
        </w:tc>
        <w:tc>
          <w:tcPr>
            <w:tcW w:type="dxa" w:w="1983"/>
            <w:shd w:fill="D9E2F3"/>
          </w:tcPr>
          <w:p>
            <w:r>
              <w:rPr>
                <w:b/>
                <w:sz w:val="17"/>
              </w:rPr>
              <w:t>Cambio material</w:t>
            </w:r>
          </w:p>
        </w:tc>
        <w:tc>
          <w:tcPr>
            <w:tcW w:type="dxa" w:w="1983"/>
            <w:shd w:fill="D9E2F3"/>
          </w:tcPr>
          <w:p>
            <w:r>
              <w:rPr>
                <w:b/>
                <w:sz w:val="17"/>
              </w:rPr>
              <w:t>Revisión</w:t>
            </w:r>
          </w:p>
        </w:tc>
      </w:tr>
      <w:tr>
        <w:tc>
          <w:tcPr>
            <w:tcW w:type="dxa" w:w="1983"/>
          </w:tcPr>
          <w:p>
            <w:pPr>
              <w:jc w:val="left"/>
            </w:pPr>
            <w:r>
              <w:rPr>
                <w:sz w:val="17"/>
              </w:rPr>
              <w:t>AUTH_BRUTEFORCE_SUCCESS</w:t>
            </w:r>
          </w:p>
        </w:tc>
        <w:tc>
          <w:tcPr>
            <w:tcW w:type="dxa" w:w="1983"/>
          </w:tcPr>
          <w:p>
            <w:pPr>
              <w:jc w:val="left"/>
            </w:pPr>
            <w:r>
              <w:rPr>
                <w:sz w:val="17"/>
              </w:rPr>
              <w:t>tenant|asset|case_type|source_ip</w:t>
            </w:r>
          </w:p>
        </w:tc>
        <w:tc>
          <w:tcPr>
            <w:tcW w:type="dxa" w:w="1983"/>
          </w:tcPr>
          <w:p>
            <w:pPr>
              <w:jc w:val="left"/>
            </w:pPr>
            <w:r>
              <w:rPr>
                <w:sz w:val="17"/>
              </w:rPr>
              <w:t>30 min</w:t>
            </w:r>
          </w:p>
        </w:tc>
        <w:tc>
          <w:tcPr>
            <w:tcW w:type="dxa" w:w="1983"/>
          </w:tcPr>
          <w:p>
            <w:pPr>
              <w:jc w:val="left"/>
            </w:pPr>
            <w:r>
              <w:rPr>
                <w:sz w:val="17"/>
              </w:rPr>
              <w:t>Login exitoso, cuenta privilegiada, nuevo activo</w:t>
            </w:r>
          </w:p>
        </w:tc>
        <w:tc>
          <w:tcPr>
            <w:tcW w:type="dxa" w:w="1983"/>
          </w:tcPr>
          <w:p>
            <w:pPr>
              <w:jc w:val="left"/>
            </w:pPr>
            <w:r>
              <w:rPr>
                <w:sz w:val="17"/>
              </w:rPr>
              <w:t>Obligatoria al éxito</w:t>
            </w:r>
          </w:p>
        </w:tc>
      </w:tr>
      <w:tr>
        <w:tc>
          <w:tcPr>
            <w:tcW w:type="dxa" w:w="1983"/>
          </w:tcPr>
          <w:p>
            <w:pPr>
              <w:jc w:val="left"/>
            </w:pPr>
            <w:r>
              <w:rPr>
                <w:sz w:val="17"/>
              </w:rPr>
              <w:t>MALWARE_CONFIRMED</w:t>
            </w:r>
          </w:p>
        </w:tc>
        <w:tc>
          <w:tcPr>
            <w:tcW w:type="dxa" w:w="1983"/>
          </w:tcPr>
          <w:p>
            <w:pPr>
              <w:jc w:val="left"/>
            </w:pPr>
            <w:r>
              <w:rPr>
                <w:sz w:val="17"/>
              </w:rPr>
              <w:t>tenant|asset|hash</w:t>
            </w:r>
          </w:p>
        </w:tc>
        <w:tc>
          <w:tcPr>
            <w:tcW w:type="dxa" w:w="1983"/>
          </w:tcPr>
          <w:p>
            <w:pPr>
              <w:jc w:val="left"/>
            </w:pPr>
            <w:r>
              <w:rPr>
                <w:sz w:val="17"/>
              </w:rPr>
              <w:t>Hasta contención</w:t>
            </w:r>
          </w:p>
        </w:tc>
        <w:tc>
          <w:tcPr>
            <w:tcW w:type="dxa" w:w="1983"/>
          </w:tcPr>
          <w:p>
            <w:pPr>
              <w:jc w:val="left"/>
            </w:pPr>
            <w:r>
              <w:rPr>
                <w:sz w:val="17"/>
              </w:rPr>
              <w:t>Ejecución, propagación, mayor confianza</w:t>
            </w:r>
          </w:p>
        </w:tc>
        <w:tc>
          <w:tcPr>
            <w:tcW w:type="dxa" w:w="1983"/>
          </w:tcPr>
          <w:p>
            <w:pPr>
              <w:jc w:val="left"/>
            </w:pPr>
            <w:r>
              <w:rPr>
                <w:sz w:val="17"/>
              </w:rPr>
              <w:t>Obligatoria</w:t>
            </w:r>
          </w:p>
        </w:tc>
      </w:tr>
      <w:tr>
        <w:tc>
          <w:tcPr>
            <w:tcW w:type="dxa" w:w="1983"/>
          </w:tcPr>
          <w:p>
            <w:pPr>
              <w:jc w:val="left"/>
            </w:pPr>
            <w:r>
              <w:rPr>
                <w:sz w:val="17"/>
              </w:rPr>
              <w:t>FIM_CRITICAL_PATH</w:t>
            </w:r>
          </w:p>
        </w:tc>
        <w:tc>
          <w:tcPr>
            <w:tcW w:type="dxa" w:w="1983"/>
          </w:tcPr>
          <w:p>
            <w:pPr>
              <w:jc w:val="left"/>
            </w:pPr>
            <w:r>
              <w:rPr>
                <w:sz w:val="17"/>
              </w:rPr>
              <w:t>tenant|asset|path</w:t>
            </w:r>
          </w:p>
        </w:tc>
        <w:tc>
          <w:tcPr>
            <w:tcW w:type="dxa" w:w="1983"/>
          </w:tcPr>
          <w:p>
            <w:pPr>
              <w:jc w:val="left"/>
            </w:pPr>
            <w:r>
              <w:rPr>
                <w:sz w:val="17"/>
              </w:rPr>
              <w:t>Según ruta</w:t>
            </w:r>
          </w:p>
        </w:tc>
        <w:tc>
          <w:tcPr>
            <w:tcW w:type="dxa" w:w="1983"/>
          </w:tcPr>
          <w:p>
            <w:pPr>
              <w:jc w:val="left"/>
            </w:pPr>
            <w:r>
              <w:rPr>
                <w:sz w:val="17"/>
              </w:rPr>
              <w:t>Hash malicioso, cambio no autorizado, permisos</w:t>
            </w:r>
          </w:p>
        </w:tc>
        <w:tc>
          <w:tcPr>
            <w:tcW w:type="dxa" w:w="1983"/>
          </w:tcPr>
          <w:p>
            <w:pPr>
              <w:jc w:val="left"/>
            </w:pPr>
            <w:r>
              <w:rPr>
                <w:sz w:val="17"/>
              </w:rPr>
              <w:t>Según criticidad</w:t>
            </w:r>
          </w:p>
        </w:tc>
      </w:tr>
      <w:tr>
        <w:tc>
          <w:tcPr>
            <w:tcW w:type="dxa" w:w="1983"/>
          </w:tcPr>
          <w:p>
            <w:pPr>
              <w:jc w:val="left"/>
            </w:pPr>
            <w:r>
              <w:rPr>
                <w:sz w:val="17"/>
              </w:rPr>
              <w:t>AGENT_HEALTH</w:t>
            </w:r>
          </w:p>
        </w:tc>
        <w:tc>
          <w:tcPr>
            <w:tcW w:type="dxa" w:w="1983"/>
          </w:tcPr>
          <w:p>
            <w:pPr>
              <w:jc w:val="left"/>
            </w:pPr>
            <w:r>
              <w:rPr>
                <w:sz w:val="17"/>
              </w:rPr>
              <w:t>tenant|asset|health_type</w:t>
            </w:r>
          </w:p>
        </w:tc>
        <w:tc>
          <w:tcPr>
            <w:tcW w:type="dxa" w:w="1983"/>
          </w:tcPr>
          <w:p>
            <w:pPr>
              <w:jc w:val="left"/>
            </w:pPr>
            <w:r>
              <w:rPr>
                <w:sz w:val="17"/>
              </w:rPr>
              <w:t>15–60 min</w:t>
            </w:r>
          </w:p>
        </w:tc>
        <w:tc>
          <w:tcPr>
            <w:tcW w:type="dxa" w:w="1983"/>
          </w:tcPr>
          <w:p>
            <w:pPr>
              <w:jc w:val="left"/>
            </w:pPr>
            <w:r>
              <w:rPr>
                <w:sz w:val="17"/>
              </w:rPr>
              <w:t>Duración, varios activos, activo crítico</w:t>
            </w:r>
          </w:p>
        </w:tc>
        <w:tc>
          <w:tcPr>
            <w:tcW w:type="dxa" w:w="1983"/>
          </w:tcPr>
          <w:p>
            <w:pPr>
              <w:jc w:val="left"/>
            </w:pPr>
            <w:r>
              <w:rPr>
                <w:sz w:val="17"/>
              </w:rPr>
              <w:t>Según alcance</w:t>
            </w:r>
          </w:p>
        </w:tc>
      </w:tr>
      <w:tr>
        <w:tc>
          <w:tcPr>
            <w:tcW w:type="dxa" w:w="1983"/>
          </w:tcPr>
          <w:p>
            <w:pPr>
              <w:jc w:val="left"/>
            </w:pPr>
            <w:r>
              <w:rPr>
                <w:sz w:val="17"/>
              </w:rPr>
              <w:t>VULNERABILITY_KEV</w:t>
            </w:r>
          </w:p>
        </w:tc>
        <w:tc>
          <w:tcPr>
            <w:tcW w:type="dxa" w:w="1983"/>
          </w:tcPr>
          <w:p>
            <w:pPr>
              <w:jc w:val="left"/>
            </w:pPr>
            <w:r>
              <w:rPr>
                <w:sz w:val="17"/>
              </w:rPr>
              <w:t>tenant|asset|CVE</w:t>
            </w:r>
          </w:p>
        </w:tc>
        <w:tc>
          <w:tcPr>
            <w:tcW w:type="dxa" w:w="1983"/>
          </w:tcPr>
          <w:p>
            <w:pPr>
              <w:jc w:val="left"/>
            </w:pPr>
            <w:r>
              <w:rPr>
                <w:sz w:val="17"/>
              </w:rPr>
              <w:t>Hasta remediación</w:t>
            </w:r>
          </w:p>
        </w:tc>
        <w:tc>
          <w:tcPr>
            <w:tcW w:type="dxa" w:w="1983"/>
          </w:tcPr>
          <w:p>
            <w:pPr>
              <w:jc w:val="left"/>
            </w:pPr>
            <w:r>
              <w:rPr>
                <w:sz w:val="17"/>
              </w:rPr>
              <w:t>Ingreso a KEV, exposición, evidencia de ataque</w:t>
            </w:r>
          </w:p>
        </w:tc>
        <w:tc>
          <w:tcPr>
            <w:tcW w:type="dxa" w:w="1983"/>
          </w:tcPr>
          <w:p>
            <w:pPr>
              <w:jc w:val="left"/>
            </w:pPr>
            <w:r>
              <w:rPr>
                <w:sz w:val="17"/>
              </w:rPr>
              <w:t>Activos críticos</w:t>
            </w:r>
          </w:p>
        </w:tc>
      </w:tr>
    </w:tbl>
    <w:p/>
    <w:p>
      <w:pPr>
        <w:jc w:val="both"/>
      </w:pPr>
      <w:r>
        <w:t>Las ventanas anteriores son valores iniciales de diseño, no parámetros aprobados para producción. Deben ajustarse con shadow mode. El registro de una política incluye versión y fecha efectiva. Cuando cambia, los casos existentes conservan su versión y los nuevos utilizan la actual.</w:t>
      </w:r>
    </w:p>
    <w:p>
      <w:pPr>
        <w:pStyle w:val="Heading1"/>
      </w:pPr>
      <w:r>
        <w:t>16. Pseudoflujo de procesamiento</w:t>
      </w:r>
    </w:p>
    <w:p>
      <w:pPr>
        <w:jc w:val="both"/>
      </w:pPr>
      <w:r>
        <w:t>El siguiente pseudoflujo resume la implementación esperada sin convertir el documento en código productivo. Su finalidad es demostrar el orden de las decisiones y dónde se evita el consumo innecesario.</w:t>
      </w:r>
    </w:p>
    <w:p>
      <w:pPr>
        <w:ind w:left="340"/>
      </w:pPr>
      <w:r>
        <w:rPr>
          <w:rFonts w:ascii="Liberation Mono" w:hAnsi="Liberation Mono"/>
          <w:sz w:val="16"/>
        </w:rPr>
        <w:t>store_raw_event_idempotently(alert)</w:t>
        <w:br/>
        <w:t>tenant = resolve_tenant(alert.agent_id)</w:t>
        <w:br/>
        <w:t>validate_labels_or_quarantine(alert, tenant)</w:t>
        <w:br/>
        <w:t>normalized = normalize(alert, tenant)</w:t>
        <w:br/>
        <w:t>policy = load_case_policy(normalized.case_type)</w:t>
        <w:br/>
        <w:t>fingerprint = build_fingerprint(normalized, policy)</w:t>
        <w:br/>
        <w:t>case, action = upsert_case_atomically(normalized, fingerprint, policy)</w:t>
        <w:br/>
        <w:br/>
        <w:t>if action == "duplicate_event":</w:t>
        <w:br/>
        <w:t xml:space="preserve">    stop</w:t>
        <w:br/>
        <w:br/>
        <w:t>change = evaluate_material_change(case, normalized, policy)</w:t>
        <w:br/>
        <w:t>append_evidence(case, normalized)</w:t>
        <w:br/>
        <w:br/>
        <w:t>if case.created or change.is_material:</w:t>
        <w:br/>
        <w:t xml:space="preserve">    enrich(case, policy)</w:t>
        <w:br/>
        <w:t xml:space="preserve">    score(case, policy)</w:t>
        <w:br/>
        <w:t xml:space="preserve">    select_procedure(case)</w:t>
        <w:br/>
        <w:t xml:space="preserve">    draft_or_template(case)</w:t>
        <w:br/>
        <w:t xml:space="preserve">    validate_and_notify(case)</w:t>
      </w:r>
    </w:p>
    <w:p>
      <w:pPr>
        <w:jc w:val="both"/>
      </w:pPr>
      <w:r>
        <w:t>El orden es relevante. No se consulta IA antes de resolver tenant; no se enriquece antes de saber qué caso se está tratando; no se notifica antes de validar. El procesamiento de una repetición termina después de actualizar evidencia cuando no existe un cambio material.</w:t>
      </w:r>
    </w:p>
    <w:p>
      <w:pPr>
        <w:pStyle w:val="Heading1"/>
      </w:pPr>
      <w:r>
        <w:t>17. Criterios de aceptación del motor de casos</w:t>
      </w:r>
    </w:p>
    <w:p>
      <w:pPr>
        <w:pStyle w:val="ListBullet"/>
        <w:jc w:val="left"/>
      </w:pPr>
      <w:r>
        <w:t>El sistema puede explicar por qué una alerta creó, actualizó o no modificó un caso.</w:t>
      </w:r>
    </w:p>
    <w:p>
      <w:pPr>
        <w:pStyle w:val="ListBullet"/>
        <w:jc w:val="left"/>
      </w:pPr>
      <w:r>
        <w:t>El fingerprint y la policy_version quedan almacenados.</w:t>
      </w:r>
    </w:p>
    <w:p>
      <w:pPr>
        <w:pStyle w:val="ListBullet"/>
        <w:jc w:val="left"/>
      </w:pPr>
      <w:r>
        <w:t>Las transiciones inválidas son rechazadas.</w:t>
      </w:r>
    </w:p>
    <w:p>
      <w:pPr>
        <w:pStyle w:val="ListBullet"/>
        <w:jc w:val="left"/>
      </w:pPr>
      <w:r>
        <w:t>La reapertura depende de política y genera auditoría.</w:t>
      </w:r>
    </w:p>
    <w:p>
      <w:pPr>
        <w:pStyle w:val="ListBullet"/>
        <w:jc w:val="left"/>
      </w:pPr>
      <w:r>
        <w:t>Los cambios materiales se prueban con entradas positivas y negativas.</w:t>
      </w:r>
    </w:p>
    <w:p>
      <w:pPr>
        <w:pStyle w:val="ListBullet"/>
        <w:jc w:val="left"/>
      </w:pPr>
      <w:r>
        <w:t>Los casos de dos tenants nunca se correlacionan.</w:t>
      </w:r>
    </w:p>
    <w:p>
      <w:pPr>
        <w:pStyle w:val="ListBullet"/>
        <w:jc w:val="left"/>
      </w:pPr>
      <w:r>
        <w:t>Un error de proveedor no pierde la evidencia ni bloquea indefinidamente la cola.</w:t>
      </w:r>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WORKFLOW Y CASOS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