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54"/>
          <w:sz w:val="38"/>
        </w:rPr>
        <w:br/>
        <w:t>KRIPTOME MINISOC</w:t>
        <w:br/>
      </w:r>
    </w:p>
    <w:p>
      <w:pPr>
        <w:jc w:val="center"/>
      </w:pPr>
      <w:r>
        <w:rPr>
          <w:b/>
          <w:color w:val="1F3854"/>
          <w:sz w:val="50"/>
        </w:rPr>
        <w:t>Diseño de Detección, Reglas Wazuh, Campos y Enriquecimiento</w:t>
      </w:r>
    </w:p>
    <w:p>
      <w:pPr>
        <w:jc w:val="center"/>
      </w:pPr>
      <w:r>
        <w:rPr>
          <w:i/>
          <w:sz w:val="24"/>
        </w:rPr>
        <w:t>Especificación de señales, datos, reglas, fuentes externas y validación</w:t>
      </w:r>
    </w:p>
    <w:p/>
    <w:tbl>
      <w:tblPr>
        <w:tblStyle w:val="TableGrid"/>
        <w:tblW w:type="auto" w:w="0"/>
        <w:jc w:val="center"/>
        <w:tblLook w:firstColumn="1" w:firstRow="1" w:lastColumn="0" w:lastRow="0" w:noHBand="0" w:noVBand="1" w:val="04A0"/>
      </w:tblPr>
      <w:tblGrid>
        <w:gridCol w:w="4957"/>
        <w:gridCol w:w="4957"/>
      </w:tblGrid>
      <w:tr>
        <w:tc>
          <w:tcPr>
            <w:tcW w:type="dxa" w:w="4957"/>
            <w:shd w:fill="D9E2F3"/>
            <w:vAlign w:val="center"/>
          </w:tcPr>
          <w:p>
            <w:r>
              <w:rPr>
                <w:b/>
              </w:rPr>
              <w:t>Proyecto</w:t>
            </w:r>
          </w:p>
        </w:tc>
        <w:tc>
          <w:tcPr>
            <w:tcW w:type="dxa" w:w="4957"/>
            <w:vAlign w:val="center"/>
          </w:tcPr>
          <w:p>
            <w:r>
              <w:t>Kriptome MiniSOC</w:t>
            </w:r>
          </w:p>
        </w:tc>
      </w:tr>
      <w:tr>
        <w:tc>
          <w:tcPr>
            <w:tcW w:type="dxa" w:w="4957"/>
            <w:shd w:fill="D9E2F3"/>
            <w:vAlign w:val="center"/>
          </w:tcPr>
          <w:p>
            <w:r>
              <w:rPr>
                <w:b/>
              </w:rPr>
              <w:t>Repositorio base</w:t>
            </w:r>
          </w:p>
        </w:tc>
        <w:tc>
          <w:tcPr>
            <w:tcW w:type="dxa" w:w="4957"/>
            <w:vAlign w:val="center"/>
          </w:tcPr>
          <w:p>
            <w:r>
              <w:t>Repositorio v1.2.0 — commit ab772d198719</w:t>
            </w:r>
          </w:p>
        </w:tc>
      </w:tr>
      <w:tr>
        <w:tc>
          <w:tcPr>
            <w:tcW w:type="dxa" w:w="4957"/>
            <w:shd w:fill="D9E2F3"/>
            <w:vAlign w:val="center"/>
          </w:tcPr>
          <w:p>
            <w:r>
              <w:rPr>
                <w:b/>
              </w:rPr>
              <w:t>Estado</w:t>
            </w:r>
          </w:p>
        </w:tc>
        <w:tc>
          <w:tcPr>
            <w:tcW w:type="dxa" w:w="4957"/>
            <w:vAlign w:val="center"/>
          </w:tcPr>
          <w:p>
            <w:r>
              <w:t>Diseño técnico consolidado; implementación de la aplicación pendiente</w:t>
            </w:r>
          </w:p>
        </w:tc>
      </w:tr>
      <w:tr>
        <w:tc>
          <w:tcPr>
            <w:tcW w:type="dxa" w:w="4957"/>
            <w:shd w:fill="D9E2F3"/>
            <w:vAlign w:val="center"/>
          </w:tcPr>
          <w:p>
            <w:r>
              <w:rPr>
                <w:b/>
              </w:rPr>
              <w:t>Audiencia</w:t>
            </w:r>
          </w:p>
        </w:tc>
        <w:tc>
          <w:tcPr>
            <w:tcW w:type="dxa" w:w="4957"/>
            <w:vAlign w:val="center"/>
          </w:tcPr>
          <w:p>
            <w:r>
              <w:t>Ingeniería Wazuh, SOC, backend, QA y arquitectura</w:t>
            </w:r>
          </w:p>
        </w:tc>
      </w:tr>
      <w:tr>
        <w:tc>
          <w:tcPr>
            <w:tcW w:type="dxa" w:w="4957"/>
            <w:shd w:fill="D9E2F3"/>
            <w:vAlign w:val="center"/>
          </w:tcPr>
          <w:p>
            <w:r>
              <w:rPr>
                <w:b/>
              </w:rPr>
              <w:t>Versión</w:t>
            </w:r>
          </w:p>
        </w:tc>
        <w:tc>
          <w:tcPr>
            <w:tcW w:type="dxa" w:w="4957"/>
            <w:vAlign w:val="center"/>
          </w:tcPr>
          <w:p>
            <w:r>
              <w:t>Versión documental 2.0</w:t>
            </w:r>
          </w:p>
        </w:tc>
      </w:tr>
      <w:tr>
        <w:tc>
          <w:tcPr>
            <w:tcW w:type="dxa" w:w="4957"/>
            <w:shd w:fill="D9E2F3"/>
            <w:vAlign w:val="center"/>
          </w:tcPr>
          <w:p>
            <w:r>
              <w:rPr>
                <w:b/>
              </w:rPr>
              <w:t>Fecha</w:t>
            </w:r>
          </w:p>
        </w:tc>
        <w:tc>
          <w:tcPr>
            <w:tcW w:type="dxa" w:w="4957"/>
            <w:vAlign w:val="center"/>
          </w:tcPr>
          <w:p>
            <w:r>
              <w:t>22 de julio de 2026</w:t>
            </w:r>
          </w:p>
        </w:tc>
      </w:tr>
    </w:tbl>
    <w:p>
      <w:pPr>
        <w:jc w:val="center"/>
      </w:pPr>
      <w:r>
        <w:rPr>
          <w:i/>
        </w:rPr>
        <w:br/>
        <w:t>Documento elaborado a partir de los artefactos existentes en el repositorio. Las capacidades no implementadas se identifican expresamente como diseño o pendiente.</w:t>
      </w:r>
    </w:p>
    <w:p>
      <w:r>
        <w:br w:type="page"/>
      </w:r>
    </w:p>
    <w:p>
      <w:pPr>
        <w:pStyle w:val="Heading1"/>
      </w:pPr>
      <w:r>
        <w:t>Contenido</w:t>
      </w:r>
    </w:p>
    <w:p>
      <w:pPr>
        <w:spacing w:after="40"/>
      </w:pPr>
      <w:r>
        <w:rPr>
          <w:b/>
        </w:rPr>
        <w:t>1. Propósito y relación con Wazuh</w:t>
      </w:r>
    </w:p>
    <w:p>
      <w:pPr>
        <w:spacing w:after="40"/>
      </w:pPr>
      <w:r>
        <w:rPr>
          <w:b/>
        </w:rPr>
        <w:t>2. Estructura técnica actual</w:t>
      </w:r>
    </w:p>
    <w:p>
      <w:pPr>
        <w:spacing w:after="40"/>
      </w:pPr>
      <w:r>
        <w:rPr>
          <w:b/>
        </w:rPr>
        <w:t>3. Reglas personalizadas</w:t>
      </w:r>
    </w:p>
    <w:p>
      <w:pPr>
        <w:spacing w:after="40"/>
      </w:pPr>
      <w:r>
        <w:rPr>
          <w:b/>
        </w:rPr>
        <w:t>4. Decoders y campos</w:t>
      </w:r>
    </w:p>
    <w:p>
      <w:pPr>
        <w:spacing w:after="40"/>
      </w:pPr>
      <w:r>
        <w:rPr>
          <w:b/>
        </w:rPr>
        <w:t>5. Familias de detección</w:t>
      </w:r>
    </w:p>
    <w:p>
      <w:pPr>
        <w:spacing w:after="40"/>
      </w:pPr>
      <w:r>
        <w:rPr>
          <w:b/>
        </w:rPr>
        <w:t>6. Routing</w:t>
      </w:r>
    </w:p>
    <w:p>
      <w:pPr>
        <w:spacing w:after="40"/>
      </w:pPr>
      <w:r>
        <w:rPr>
          <w:b/>
        </w:rPr>
        <w:t>7. Normalización</w:t>
      </w:r>
    </w:p>
    <w:p>
      <w:pPr>
        <w:spacing w:after="40"/>
      </w:pPr>
      <w:r>
        <w:rPr>
          <w:b/>
        </w:rPr>
        <w:t>8. Enriquecimiento externo</w:t>
      </w:r>
    </w:p>
    <w:p>
      <w:pPr>
        <w:spacing w:after="40"/>
      </w:pPr>
      <w:r>
        <w:rPr>
          <w:b/>
        </w:rPr>
        <w:t>9. CISA KEV</w:t>
      </w:r>
    </w:p>
    <w:p>
      <w:pPr>
        <w:spacing w:after="40"/>
      </w:pPr>
      <w:r>
        <w:rPr>
          <w:b/>
        </w:rPr>
        <w:t>10. Validación y pruebas</w:t>
      </w:r>
    </w:p>
    <w:p>
      <w:pPr>
        <w:spacing w:after="40"/>
      </w:pPr>
      <w:r>
        <w:rPr>
          <w:b/>
        </w:rPr>
        <w:t>11. Limitaciones</w:t>
      </w:r>
    </w:p>
    <w:p>
      <w:pPr>
        <w:spacing w:after="40"/>
      </w:pPr>
      <w:r>
        <w:rPr>
          <w:b/>
        </w:rPr>
        <w:t>12. Mantenimiento y evolución</w:t>
      </w:r>
    </w:p>
    <w:p>
      <w:r>
        <w:br w:type="page"/>
      </w:r>
    </w:p>
    <w:p>
      <w:pPr>
        <w:pStyle w:val="Heading1"/>
      </w:pPr>
      <w:r>
        <w:t>1. Propósito y relación con Wazuh</w:t>
      </w:r>
    </w:p>
    <w:p>
      <w:r>
        <w:t>El diseño de detección define qué señales produce Wazuh y cómo deben ser interpretadas por Kriptome. El objetivo no es trasladar toda la lógica del servicio a reglas XML, sino producir alertas técnicas estables que la aplicación pueda normalizar y convertir en casos. Esta separación reduce reglas complejas, facilita pruebas y permite correlación entre activos.</w:t>
      </w:r>
    </w:p>
    <w:p>
      <w:r>
        <w:t>El ruleset se auditó para Wazuh v4.14.6. Los decoders personalizados permanecen vacíos a propósito porque las familias actuales utilizan campos nativos. Solo debe añadirse un decoder cuando se integre una fuente sin soporte nativo y después de validarlo con logtest.</w:t>
      </w:r>
    </w:p>
    <w:p>
      <w:pPr>
        <w:pStyle w:val="Heading1"/>
      </w:pPr>
      <w:r>
        <w:t>2. Estructura técnica actual</w:t>
      </w:r>
    </w:p>
    <w:p>
      <w:pPr>
        <w:spacing w:before="60" w:after="120"/>
        <w:ind w:left="340" w:right="340"/>
      </w:pPr>
      <w:r>
        <w:rPr>
          <w:rFonts w:ascii="Liberation Mono" w:hAnsi="Liberation Mono"/>
          <w:sz w:val="16"/>
        </w:rPr>
        <w:t>REGLAS_TUNEADAS/</w:t>
        <w:br/>
        <w:t>├── wazuh/rules/kriptome_local_rules.xml</w:t>
        <w:br/>
        <w:t>├── wazuh/decoders/kriptome_local_decoders.xml</w:t>
        <w:br/>
        <w:t>├── wazuh/config/ossec.conf.ruleset.snippet.xml</w:t>
        <w:br/>
        <w:t>├── agent-conf/</w:t>
        <w:br/>
        <w:t>├── lists/</w:t>
        <w:br/>
        <w:t>├── routing/</w:t>
        <w:br/>
        <w:t>├── test_data/</w:t>
        <w:br/>
        <w:t>├── expected_results/</w:t>
        <w:br/>
        <w:t>├── experimental/100040_cisa_kev.xml</w:t>
        <w:br/>
        <w:t>├── README.md</w:t>
        <w:br/>
        <w:t>└── CHANGELOG.md</w:t>
      </w:r>
    </w:p>
    <w:p>
      <w:r>
        <w:t>La versión v1.2.0 movió las rutas antiguas rules/, decoders/ y config/ debajo de wazuh/. Los documentos antiguos de despliegue todavía pueden referirse a las rutas previas; el mapeo se encuentra en `REGLAS_TUNEADAS/archive/pre-v1.2.0-paths/README.md`.</w:t>
      </w:r>
    </w:p>
    <w:p>
      <w:pPr>
        <w:pStyle w:val="Heading1"/>
      </w:pPr>
      <w:r>
        <w:t>3. Reglas personalizadas</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trPr>
        <w:tc>
          <w:tcPr>
            <w:tcW w:type="dxa" w:w="2479"/>
            <w:shd w:fill="D9E2F3"/>
          </w:tcPr>
          <w:p>
            <w:r>
              <w:rPr>
                <w:b/>
                <w:sz w:val="17"/>
              </w:rPr>
              <w:t>Regla</w:t>
            </w:r>
          </w:p>
        </w:tc>
        <w:tc>
          <w:tcPr>
            <w:tcW w:type="dxa" w:w="2479"/>
            <w:shd w:fill="D9E2F3"/>
          </w:tcPr>
          <w:p>
            <w:r>
              <w:rPr>
                <w:b/>
                <w:sz w:val="17"/>
              </w:rPr>
              <w:t>Función</w:t>
            </w:r>
          </w:p>
        </w:tc>
        <w:tc>
          <w:tcPr>
            <w:tcW w:type="dxa" w:w="2479"/>
            <w:shd w:fill="D9E2F3"/>
          </w:tcPr>
          <w:p>
            <w:r>
              <w:rPr>
                <w:b/>
                <w:sz w:val="17"/>
              </w:rPr>
              <w:t>Estado</w:t>
            </w:r>
          </w:p>
        </w:tc>
        <w:tc>
          <w:tcPr>
            <w:tcW w:type="dxa" w:w="2479"/>
            <w:shd w:fill="D9E2F3"/>
          </w:tcPr>
          <w:p>
            <w:r>
              <w:rPr>
                <w:b/>
                <w:sz w:val="17"/>
              </w:rPr>
              <w:t>Uso en Kriptome</w:t>
            </w:r>
          </w:p>
        </w:tc>
      </w:tr>
      <w:tr>
        <w:tc>
          <w:tcPr>
            <w:tcW w:type="dxa" w:w="2479"/>
            <w:vAlign w:val="top"/>
          </w:tcPr>
          <w:p>
            <w:pPr>
              <w:jc w:val="left"/>
            </w:pPr>
            <w:r>
              <w:rPr>
                <w:sz w:val="17"/>
              </w:rPr>
              <w:t>100010</w:t>
            </w:r>
          </w:p>
        </w:tc>
        <w:tc>
          <w:tcPr>
            <w:tcW w:type="dxa" w:w="2479"/>
            <w:vAlign w:val="top"/>
          </w:tcPr>
          <w:p>
            <w:pPr>
              <w:jc w:val="left"/>
            </w:pPr>
            <w:r>
              <w:rPr>
                <w:sz w:val="17"/>
              </w:rPr>
              <w:t>Roll-up de fuerza bruta SSH</w:t>
            </w:r>
          </w:p>
        </w:tc>
        <w:tc>
          <w:tcPr>
            <w:tcW w:type="dxa" w:w="2479"/>
            <w:vAlign w:val="top"/>
          </w:tcPr>
          <w:p>
            <w:pPr>
              <w:jc w:val="left"/>
            </w:pPr>
            <w:r>
              <w:rPr>
                <w:sz w:val="17"/>
              </w:rPr>
              <w:t>VALIDADO-XML</w:t>
            </w:r>
          </w:p>
        </w:tc>
        <w:tc>
          <w:tcPr>
            <w:tcW w:type="dxa" w:w="2479"/>
            <w:vAlign w:val="top"/>
          </w:tcPr>
          <w:p>
            <w:pPr>
              <w:jc w:val="left"/>
            </w:pPr>
            <w:r>
              <w:rPr>
                <w:sz w:val="17"/>
              </w:rPr>
              <w:t>Señal candidate/caso de autenticación</w:t>
            </w:r>
          </w:p>
        </w:tc>
      </w:tr>
      <w:tr>
        <w:tc>
          <w:tcPr>
            <w:tcW w:type="dxa" w:w="2479"/>
            <w:vAlign w:val="top"/>
          </w:tcPr>
          <w:p>
            <w:pPr>
              <w:jc w:val="left"/>
            </w:pPr>
            <w:r>
              <w:rPr>
                <w:sz w:val="17"/>
              </w:rPr>
              <w:t>100011</w:t>
            </w:r>
          </w:p>
        </w:tc>
        <w:tc>
          <w:tcPr>
            <w:tcW w:type="dxa" w:w="2479"/>
            <w:vAlign w:val="top"/>
          </w:tcPr>
          <w:p>
            <w:pPr>
              <w:jc w:val="left"/>
            </w:pPr>
            <w:r>
              <w:rPr>
                <w:sz w:val="17"/>
              </w:rPr>
              <w:t>Fuerza bruta Windows por cuenta</w:t>
            </w:r>
          </w:p>
        </w:tc>
        <w:tc>
          <w:tcPr>
            <w:tcW w:type="dxa" w:w="2479"/>
            <w:vAlign w:val="top"/>
          </w:tcPr>
          <w:p>
            <w:pPr>
              <w:jc w:val="left"/>
            </w:pPr>
            <w:r>
              <w:rPr>
                <w:sz w:val="17"/>
              </w:rPr>
              <w:t>VALIDADO-XML; logtest pendiente</w:t>
            </w:r>
          </w:p>
        </w:tc>
        <w:tc>
          <w:tcPr>
            <w:tcW w:type="dxa" w:w="2479"/>
            <w:vAlign w:val="top"/>
          </w:tcPr>
          <w:p>
            <w:pPr>
              <w:jc w:val="left"/>
            </w:pPr>
            <w:r>
              <w:rPr>
                <w:sz w:val="17"/>
              </w:rPr>
              <w:t>Identifica cuenta objetivo</w:t>
            </w:r>
          </w:p>
        </w:tc>
      </w:tr>
      <w:tr>
        <w:tc>
          <w:tcPr>
            <w:tcW w:type="dxa" w:w="2479"/>
            <w:vAlign w:val="top"/>
          </w:tcPr>
          <w:p>
            <w:pPr>
              <w:jc w:val="left"/>
            </w:pPr>
            <w:r>
              <w:rPr>
                <w:sz w:val="17"/>
              </w:rPr>
              <w:t>100012</w:t>
            </w:r>
          </w:p>
        </w:tc>
        <w:tc>
          <w:tcPr>
            <w:tcW w:type="dxa" w:w="2479"/>
            <w:vAlign w:val="top"/>
          </w:tcPr>
          <w:p>
            <w:pPr>
              <w:jc w:val="left"/>
            </w:pPr>
            <w:r>
              <w:rPr>
                <w:sz w:val="17"/>
              </w:rPr>
              <w:t>Login SSH exitoso tras fuerza bruta</w:t>
            </w:r>
          </w:p>
        </w:tc>
        <w:tc>
          <w:tcPr>
            <w:tcW w:type="dxa" w:w="2479"/>
            <w:vAlign w:val="top"/>
          </w:tcPr>
          <w:p>
            <w:pPr>
              <w:jc w:val="left"/>
            </w:pPr>
            <w:r>
              <w:rPr>
                <w:sz w:val="17"/>
              </w:rPr>
              <w:t>VALIDADO-XML; logtest pendiente</w:t>
            </w:r>
          </w:p>
        </w:tc>
        <w:tc>
          <w:tcPr>
            <w:tcW w:type="dxa" w:w="2479"/>
            <w:vAlign w:val="top"/>
          </w:tcPr>
          <w:p>
            <w:pPr>
              <w:jc w:val="left"/>
            </w:pPr>
            <w:r>
              <w:rPr>
                <w:sz w:val="17"/>
              </w:rPr>
              <w:t>Cambio material crítico</w:t>
            </w:r>
          </w:p>
        </w:tc>
      </w:tr>
      <w:tr>
        <w:tc>
          <w:tcPr>
            <w:tcW w:type="dxa" w:w="2479"/>
            <w:vAlign w:val="top"/>
          </w:tcPr>
          <w:p>
            <w:pPr>
              <w:jc w:val="left"/>
            </w:pPr>
            <w:r>
              <w:rPr>
                <w:sz w:val="17"/>
              </w:rPr>
              <w:t>100013</w:t>
            </w:r>
          </w:p>
        </w:tc>
        <w:tc>
          <w:tcPr>
            <w:tcW w:type="dxa" w:w="2479"/>
            <w:vAlign w:val="top"/>
          </w:tcPr>
          <w:p>
            <w:pPr>
              <w:jc w:val="left"/>
            </w:pPr>
            <w:r>
              <w:rPr>
                <w:sz w:val="17"/>
              </w:rPr>
              <w:t>Login Windows exitoso tras fuerza bruta</w:t>
            </w:r>
          </w:p>
        </w:tc>
        <w:tc>
          <w:tcPr>
            <w:tcW w:type="dxa" w:w="2479"/>
            <w:vAlign w:val="top"/>
          </w:tcPr>
          <w:p>
            <w:pPr>
              <w:jc w:val="left"/>
            </w:pPr>
            <w:r>
              <w:rPr>
                <w:sz w:val="17"/>
              </w:rPr>
              <w:t>VALIDADO-XML; logtest pendiente</w:t>
            </w:r>
          </w:p>
        </w:tc>
        <w:tc>
          <w:tcPr>
            <w:tcW w:type="dxa" w:w="2479"/>
            <w:vAlign w:val="top"/>
          </w:tcPr>
          <w:p>
            <w:pPr>
              <w:jc w:val="left"/>
            </w:pPr>
            <w:r>
              <w:rPr>
                <w:sz w:val="17"/>
              </w:rPr>
              <w:t>Cambio material crítico</w:t>
            </w:r>
          </w:p>
        </w:tc>
      </w:tr>
      <w:tr>
        <w:tc>
          <w:tcPr>
            <w:tcW w:type="dxa" w:w="2479"/>
            <w:vAlign w:val="top"/>
          </w:tcPr>
          <w:p>
            <w:pPr>
              <w:jc w:val="left"/>
            </w:pPr>
            <w:r>
              <w:rPr>
                <w:sz w:val="17"/>
              </w:rPr>
              <w:t>100030</w:t>
            </w:r>
          </w:p>
        </w:tc>
        <w:tc>
          <w:tcPr>
            <w:tcW w:type="dxa" w:w="2479"/>
            <w:vAlign w:val="top"/>
          </w:tcPr>
          <w:p>
            <w:pPr>
              <w:jc w:val="left"/>
            </w:pPr>
            <w:r>
              <w:rPr>
                <w:sz w:val="17"/>
              </w:rPr>
              <w:t>Whitelist FIM por lista CDB</w:t>
            </w:r>
          </w:p>
        </w:tc>
        <w:tc>
          <w:tcPr>
            <w:tcW w:type="dxa" w:w="2479"/>
            <w:vAlign w:val="top"/>
          </w:tcPr>
          <w:p>
            <w:pPr>
              <w:jc w:val="left"/>
            </w:pPr>
            <w:r>
              <w:rPr>
                <w:sz w:val="17"/>
              </w:rPr>
              <w:t>VALIDADO-XML</w:t>
            </w:r>
          </w:p>
        </w:tc>
        <w:tc>
          <w:tcPr>
            <w:tcW w:type="dxa" w:w="2479"/>
            <w:vAlign w:val="top"/>
          </w:tcPr>
          <w:p>
            <w:pPr>
              <w:jc w:val="left"/>
            </w:pPr>
            <w:r>
              <w:rPr>
                <w:sz w:val="17"/>
              </w:rPr>
              <w:t>Reduce ruido de rutas exactas</w:t>
            </w:r>
          </w:p>
        </w:tc>
      </w:tr>
      <w:tr>
        <w:tc>
          <w:tcPr>
            <w:tcW w:type="dxa" w:w="2479"/>
            <w:vAlign w:val="top"/>
          </w:tcPr>
          <w:p>
            <w:pPr>
              <w:jc w:val="left"/>
            </w:pPr>
            <w:r>
              <w:rPr>
                <w:sz w:val="17"/>
              </w:rPr>
              <w:t>100040</w:t>
            </w:r>
          </w:p>
        </w:tc>
        <w:tc>
          <w:tcPr>
            <w:tcW w:type="dxa" w:w="2479"/>
            <w:vAlign w:val="top"/>
          </w:tcPr>
          <w:p>
            <w:pPr>
              <w:jc w:val="left"/>
            </w:pPr>
            <w:r>
              <w:rPr>
                <w:sz w:val="17"/>
              </w:rPr>
              <w:t>Coincidencia CISA KEV</w:t>
            </w:r>
          </w:p>
        </w:tc>
        <w:tc>
          <w:tcPr>
            <w:tcW w:type="dxa" w:w="2479"/>
            <w:vAlign w:val="top"/>
          </w:tcPr>
          <w:p>
            <w:pPr>
              <w:jc w:val="left"/>
            </w:pPr>
            <w:r>
              <w:rPr>
                <w:sz w:val="17"/>
              </w:rPr>
              <w:t>EXPERIMENTAL / fuera de producción</w:t>
            </w:r>
          </w:p>
        </w:tc>
        <w:tc>
          <w:tcPr>
            <w:tcW w:type="dxa" w:w="2479"/>
            <w:vAlign w:val="top"/>
          </w:tcPr>
          <w:p>
            <w:pPr>
              <w:jc w:val="left"/>
            </w:pPr>
            <w:r>
              <w:rPr>
                <w:sz w:val="17"/>
              </w:rPr>
              <w:t>No crea casos productivos</w:t>
            </w:r>
          </w:p>
        </w:tc>
      </w:tr>
    </w:tbl>
    <w:p/>
    <w:p>
      <w:r>
        <w:t>La regla 100040 fue movida por una decisión de arquitectura, no por un error de sintaxis. La lista de tres CVE era un fixture y no un feed actualizado. Mantenerla activa habría creado una segunda ruta para el mismo CVE: una alerta de vulnerabilidad y otra alerta KEV. El diseño productivo coloca KEV en la aplicación.</w:t>
      </w:r>
    </w:p>
    <w:p>
      <w:r>
        <w:t>Respecto de `&lt;same_source_ip/&gt;` y `&lt;same_srcip/&gt;`, la alineación v1.2.0 verificó que ambos son aliases reconocidos por Wazuh v4.14.6. El repositorio mantuvo el estilo utilizado por el ruleset oficial. Por tanto, no debe presentarse esa diferencia como un bug funcional.</w:t>
      </w:r>
    </w:p>
    <w:p>
      <w:pPr>
        <w:pStyle w:val="Heading1"/>
      </w:pPr>
      <w:r>
        <w:t>4. Decoders y campos</w:t>
      </w:r>
    </w:p>
    <w:p>
      <w:r>
        <w:t>Los campos utilizados provienen de decoders y módulos nativos. Kriptome debe documentar no solo el nombre del campo, sino su confiabilidad. Por ejemplo, SSH ofrece srcip y user; Windows ofrece win.eventdata.ipAddress y targetUserName; FIM ofrece syscheck.path y hashes; Vulnerability Detector ofrece vulnerability.cve y paquete.</w:t>
      </w:r>
    </w:p>
    <w:p>
      <w:r>
        <w:t>No todos los datos están estructurados. En sudo, el comando puede permanecer dentro del log crudo. En Defender, el nombre de la amenaza puede estar en win.system.message. En rootcheck, la evidencia puede ser una descripción completa. La comunicación debe reconocer esas limitaciones y evitar prometer campos inexistentes.</w:t>
      </w:r>
    </w:p>
    <w:p>
      <w:pPr>
        <w:pStyle w:val="Heading1"/>
      </w:pPr>
      <w:r>
        <w:t>5. Familias de detección</w:t>
      </w:r>
    </w:p>
    <w:p>
      <w:pPr>
        <w:pStyle w:val="Heading2"/>
      </w:pPr>
      <w:r>
        <w:t>5.1 SSH</w:t>
      </w:r>
    </w:p>
    <w:p>
      <w:r>
        <w:t>Case types previstos: AUTH_BRUTEFORCE_SSH / AUTH_BRUTEFORCE_SUCCESS. Los campos nativos relevantes son srcip, srcport, user, agent, timestamp.</w:t>
      </w:r>
    </w:p>
    <w:p>
      <w:r>
        <w:t>El enriquecimiento previsto comprende GeoIP, reputación, historial. Para el cliente, la salida debe explicar Origen, cuenta objetivo, volumen y evidencia de éxito.</w:t>
      </w:r>
    </w:p>
    <w:p>
      <w:r>
        <w:t>Limitación actual: La frecuencia estándar puede ser por agente; el alcance cross-host se calcula en Kriptome.</w:t>
      </w:r>
    </w:p>
    <w:p>
      <w:pPr>
        <w:pStyle w:val="Heading2"/>
      </w:pPr>
      <w:r>
        <w:t>5.2 Autenticación Windows</w:t>
      </w:r>
    </w:p>
    <w:p>
      <w:r>
        <w:t>Case types previstos: AUTH_BRUTEFORCE_WIN / AUTH_BRUTEFORCE_SUCCESS. Los campos nativos relevantes son ipAddress, targetUserName, logonType, workstationName, eventID.</w:t>
      </w:r>
    </w:p>
    <w:p>
      <w:r>
        <w:t>El enriquecimiento previsto comprende GeoIP y reputación. Para el cliente, la salida debe explicar Cuenta atacada, origen, tipo de acceso y resultado.</w:t>
      </w:r>
    </w:p>
    <w:p>
      <w:r>
        <w:t>Limitación actual: Los campos dependen de eventchannel y de la auditoría configurada.</w:t>
      </w:r>
    </w:p>
    <w:p>
      <w:pPr>
        <w:pStyle w:val="Heading2"/>
      </w:pPr>
      <w:r>
        <w:t>5.3 Active Directory</w:t>
      </w:r>
    </w:p>
    <w:p>
      <w:r>
        <w:t>Case types previstos: AD_ACCOUNT_CHANGE / AD_GROUP_CHANGE. Los campos nativos relevantes son targetUserName, subjectUserName, memberSid, targetGroupName, eventID.</w:t>
      </w:r>
    </w:p>
    <w:p>
      <w:r>
        <w:t>El enriquecimiento previsto comprende Resolución SID y sensibilidad del grupo. Para el cliente, la salida debe explicar Cuenta modificada, actor y privilegio obtenido.</w:t>
      </w:r>
    </w:p>
    <w:p>
      <w:r>
        <w:t>Limitación actual: IDs 4728/4732/4756 existen, pero la resolución del nombre requiere entorno real.</w:t>
      </w:r>
    </w:p>
    <w:p>
      <w:pPr>
        <w:pStyle w:val="Heading2"/>
      </w:pPr>
      <w:r>
        <w:t>5.4 Sudo</w:t>
      </w:r>
    </w:p>
    <w:p>
      <w:r>
        <w:t>Case types previstos: SUDO_ANOMALY / SUDO_DENIED. Los campos nativos relevantes son srcuser y mensaje crudo.</w:t>
      </w:r>
    </w:p>
    <w:p>
      <w:r>
        <w:t>El enriquecimiento previsto comprende Contexto del activo y horario. Para el cliente, la salida debe explicar Usuario, intento de elevación y comando cuando puede parsearse.</w:t>
      </w:r>
    </w:p>
    <w:p>
      <w:r>
        <w:t>Limitación actual: El comando no siempre existe como campo separado.</w:t>
      </w:r>
    </w:p>
    <w:p>
      <w:pPr>
        <w:pStyle w:val="Heading2"/>
      </w:pPr>
      <w:r>
        <w:t>5.5 FIM</w:t>
      </w:r>
    </w:p>
    <w:p>
      <w:r>
        <w:t>Case types previstos: FIM_CRITICAL_PATH. Los campos nativos relevantes son syscheck.path, hashes, permisos, propietario, diff, tipo de cambio.</w:t>
      </w:r>
    </w:p>
    <w:p>
      <w:r>
        <w:t>El enriquecimiento previsto comprende Sensibilidad, criticidad y reputación hash. Para el cliente, la salida debe explicar Archivo, cambio, importancia y acción.</w:t>
      </w:r>
    </w:p>
    <w:p>
      <w:r>
        <w:t>Limitación actual: FIM se valida end-to-end; logtest no reproduce el evento interno de syscheck.</w:t>
      </w:r>
    </w:p>
    <w:p>
      <w:pPr>
        <w:pStyle w:val="Heading2"/>
      </w:pPr>
      <w:r>
        <w:t>5.6 Rootcheck</w:t>
      </w:r>
    </w:p>
    <w:p>
      <w:r>
        <w:t>Case types previstos: ROOTCHECK_FINDING. Los campos nativos relevantes son Descripción de la regla/mensaje.</w:t>
      </w:r>
    </w:p>
    <w:p>
      <w:r>
        <w:t>El enriquecimiento previsto comprende Contexto del activo. Para el cliente, la salida debe explicar Anomalía encontrada y recomendaciones.</w:t>
      </w:r>
    </w:p>
    <w:p>
      <w:r>
        <w:t>Limitación actual: No hay campos finos para todos los hallazgos.</w:t>
      </w:r>
    </w:p>
    <w:p>
      <w:pPr>
        <w:pStyle w:val="Heading2"/>
      </w:pPr>
      <w:r>
        <w:t>5.7 SCA</w:t>
      </w:r>
    </w:p>
    <w:p>
      <w:r>
        <w:t>Case types previstos: SCA_REGRESSION. Los campos nativos relevantes son policy, check.id, check.title, previous_result, result, score.</w:t>
      </w:r>
    </w:p>
    <w:p>
      <w:r>
        <w:t>El enriquecimiento previsto comprende Criticidad del activo. Para el cliente, la salida debe explicar Control que falló y regresión.</w:t>
      </w:r>
    </w:p>
    <w:p>
      <w:r>
        <w:t>Limitación actual: Debe evitarse notificación por cada control; se agrupa.</w:t>
      </w:r>
    </w:p>
    <w:p>
      <w:pPr>
        <w:pStyle w:val="Heading2"/>
      </w:pPr>
      <w:r>
        <w:t>5.8 Vulnerabilidades</w:t>
      </w:r>
    </w:p>
    <w:p>
      <w:r>
        <w:t>Case types previstos: VULNERABILITY_KEV. Los campos nativos relevantes son cve, package.name, package.version, severity, status.</w:t>
      </w:r>
    </w:p>
    <w:p>
      <w:r>
        <w:t>El enriquecimiento previsto comprende CVE, KEV, exposición, parche. Para el cliente, la salida debe explicar Software afectado, explotación conocida y prioridad.</w:t>
      </w:r>
    </w:p>
    <w:p>
      <w:r>
        <w:t>Limitación actual: KEV es enriquecimiento de la aplicación.</w:t>
      </w:r>
    </w:p>
    <w:p>
      <w:pPr>
        <w:pStyle w:val="Heading2"/>
      </w:pPr>
      <w:r>
        <w:t>5.9 Malware</w:t>
      </w:r>
    </w:p>
    <w:p>
      <w:r>
        <w:t>Case types previstos: MALWARE_CONFIRMED. Los campos nativos relevantes son ruta, hash, positives/permalink o mensaje Defender.</w:t>
      </w:r>
    </w:p>
    <w:p>
      <w:r>
        <w:t>El enriquecimiento previsto comprende Reputación hash y nombre. Para el cliente, la salida debe explicar Archivo, nivel de confianza y contención.</w:t>
      </w:r>
    </w:p>
    <w:p>
      <w:r>
        <w:t>Limitación actual: Defender puede requerir parseo del mensaje crudo.</w:t>
      </w:r>
    </w:p>
    <w:p>
      <w:pPr>
        <w:pStyle w:val="Heading2"/>
      </w:pPr>
      <w:r>
        <w:t>5.10 Firewall/IDS</w:t>
      </w:r>
    </w:p>
    <w:p>
      <w:r>
        <w:t>Case types previstos: NETWORK_THREAT. Los campos nativos relevantes son srcip, dstip, puertos, action, signature.</w:t>
      </w:r>
    </w:p>
    <w:p>
      <w:r>
        <w:t>El enriquecimiento previsto comprende GeoIP y reputación. Para el cliente, la salida debe explicar Origen, destino, servicio y acción del dispositivo.</w:t>
      </w:r>
    </w:p>
    <w:p>
      <w:r>
        <w:t>Limitación actual: Los campos cambian por fabricante.</w:t>
      </w:r>
    </w:p>
    <w:p>
      <w:pPr>
        <w:pStyle w:val="Heading2"/>
      </w:pPr>
      <w:r>
        <w:t>5.11 VPN</w:t>
      </w:r>
    </w:p>
    <w:p>
      <w:r>
        <w:t>Case types previstos: VPN_AUTH. Los campos nativos relevantes son IP, usuario, error y fuente.</w:t>
      </w:r>
    </w:p>
    <w:p>
      <w:r>
        <w:t>El enriquecimiento previsto comprende GeoIP y reputación. Para el cliente, la salida debe explicar Cuenta, país y causa.</w:t>
      </w:r>
    </w:p>
    <w:p>
      <w:r>
        <w:t>Limitación actual: Requiere decoder por fabricante si no existe soporte.</w:t>
      </w:r>
    </w:p>
    <w:p>
      <w:pPr>
        <w:pStyle w:val="Heading2"/>
      </w:pPr>
      <w:r>
        <w:t>5.12 Sysmon</w:t>
      </w:r>
    </w:p>
    <w:p>
      <w:r>
        <w:t>Case types previstos: PROCESS_NETWORK_ANOMALY. Los campos nativos relevantes son image, parentImage, commandLine, destinationIp, destinationPort.</w:t>
      </w:r>
    </w:p>
    <w:p>
      <w:r>
        <w:t>El enriquecimiento previsto comprende Reputación y contexto. Para el cliente, la salida debe explicar Proceso, cadena de ejecución y destino.</w:t>
      </w:r>
    </w:p>
    <w:p>
      <w:r>
        <w:t>Limitación actual: commandLine puede contener secretos.</w:t>
      </w:r>
    </w:p>
    <w:p>
      <w:pPr>
        <w:pStyle w:val="Heading2"/>
      </w:pPr>
      <w:r>
        <w:t>5.13 Salud de agente</w:t>
      </w:r>
    </w:p>
    <w:p>
      <w:r>
        <w:t>Case types previstos: AGENT_HEALTH. Los campos nativos relevantes son agent.id, agent.name, status, timestamp.</w:t>
      </w:r>
    </w:p>
    <w:p>
      <w:r>
        <w:t>El enriquecimiento previsto comprende Criticidad, horario, cantidad afectada. Para el cliente, la salida debe explicar Equipo, duración y alcance.</w:t>
      </w:r>
    </w:p>
    <w:p>
      <w:r>
        <w:t>Limitación actual: No necesita feeds de reputación.</w:t>
      </w:r>
    </w:p>
    <w:p>
      <w:pPr>
        <w:pStyle w:val="Heading2"/>
      </w:pPr>
      <w:r>
        <w:t>5.14 M365</w:t>
      </w:r>
    </w:p>
    <w:p>
      <w:r>
        <w:t>Case types previstos: M365_IDENTITY / M365_ACTIVITY. Los campos nativos relevantes son UserId, ClientIP, Operation, Workload, SourceFileName.</w:t>
      </w:r>
    </w:p>
    <w:p>
      <w:r>
        <w:t>El enriquecimiento previsto comprende GeoIP e identidad. Para el cliente, la salida debe explicar Cuenta, acción y origen.</w:t>
      </w:r>
    </w:p>
    <w:p>
      <w:r>
        <w:t>Limitación actual: PEND-INTEGRACION.</w:t>
      </w:r>
    </w:p>
    <w:p>
      <w:pPr>
        <w:pStyle w:val="Heading1"/>
      </w:pPr>
      <w:r>
        <w:t>6. Routing</w:t>
      </w:r>
    </w:p>
    <w:p>
      <w:r>
        <w:t>La matriz de routing del repositorio organiza familias en grupos de contexto, candidatos, críticos y digest. Las reglas deben asignar grupos que permitan a la aplicación decidir el tratamiento inicial. El routing no debe convertirse en una decisión irreversible de severidad.</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Grupo</w:t>
            </w:r>
          </w:p>
        </w:tc>
        <w:tc>
          <w:tcPr>
            <w:tcW w:type="dxa" w:w="3305"/>
            <w:shd w:fill="D9E2F3"/>
          </w:tcPr>
          <w:p>
            <w:r>
              <w:rPr>
                <w:b/>
                <w:sz w:val="17"/>
              </w:rPr>
              <w:t>Ejemplo</w:t>
            </w:r>
          </w:p>
        </w:tc>
        <w:tc>
          <w:tcPr>
            <w:tcW w:type="dxa" w:w="3305"/>
            <w:shd w:fill="D9E2F3"/>
          </w:tcPr>
          <w:p>
            <w:r>
              <w:rPr>
                <w:b/>
                <w:sz w:val="17"/>
              </w:rPr>
              <w:t>Tratamiento</w:t>
            </w:r>
          </w:p>
        </w:tc>
      </w:tr>
      <w:tr>
        <w:tc>
          <w:tcPr>
            <w:tcW w:type="dxa" w:w="3305"/>
            <w:vAlign w:val="top"/>
          </w:tcPr>
          <w:p>
            <w:pPr>
              <w:jc w:val="left"/>
            </w:pPr>
            <w:r>
              <w:rPr>
                <w:sz w:val="17"/>
              </w:rPr>
              <w:t>kriptome_context</w:t>
            </w:r>
          </w:p>
        </w:tc>
        <w:tc>
          <w:tcPr>
            <w:tcW w:type="dxa" w:w="3305"/>
            <w:vAlign w:val="top"/>
          </w:tcPr>
          <w:p>
            <w:pPr>
              <w:jc w:val="left"/>
            </w:pPr>
            <w:r>
              <w:rPr>
                <w:sz w:val="17"/>
              </w:rPr>
              <w:t>Evento útil para cronología</w:t>
            </w:r>
          </w:p>
        </w:tc>
        <w:tc>
          <w:tcPr>
            <w:tcW w:type="dxa" w:w="3305"/>
            <w:vAlign w:val="top"/>
          </w:tcPr>
          <w:p>
            <w:pPr>
              <w:jc w:val="left"/>
            </w:pPr>
            <w:r>
              <w:rPr>
                <w:sz w:val="17"/>
              </w:rPr>
              <w:t>Guardar y asociar; sin caso/IA/correo</w:t>
            </w:r>
          </w:p>
        </w:tc>
      </w:tr>
      <w:tr>
        <w:tc>
          <w:tcPr>
            <w:tcW w:type="dxa" w:w="3305"/>
            <w:vAlign w:val="top"/>
          </w:tcPr>
          <w:p>
            <w:pPr>
              <w:jc w:val="left"/>
            </w:pPr>
            <w:r>
              <w:rPr>
                <w:sz w:val="17"/>
              </w:rPr>
              <w:t>kriptome_candidate</w:t>
            </w:r>
          </w:p>
        </w:tc>
        <w:tc>
          <w:tcPr>
            <w:tcW w:type="dxa" w:w="3305"/>
            <w:vAlign w:val="top"/>
          </w:tcPr>
          <w:p>
            <w:pPr>
              <w:jc w:val="left"/>
            </w:pPr>
            <w:r>
              <w:rPr>
                <w:sz w:val="17"/>
              </w:rPr>
              <w:t>Fuerza bruta</w:t>
            </w:r>
          </w:p>
        </w:tc>
        <w:tc>
          <w:tcPr>
            <w:tcW w:type="dxa" w:w="3305"/>
            <w:vAlign w:val="top"/>
          </w:tcPr>
          <w:p>
            <w:pPr>
              <w:jc w:val="left"/>
            </w:pPr>
            <w:r>
              <w:rPr>
                <w:sz w:val="17"/>
              </w:rPr>
              <w:t>Deduplicar y evaluar</w:t>
            </w:r>
          </w:p>
        </w:tc>
      </w:tr>
      <w:tr>
        <w:tc>
          <w:tcPr>
            <w:tcW w:type="dxa" w:w="3305"/>
            <w:vAlign w:val="top"/>
          </w:tcPr>
          <w:p>
            <w:pPr>
              <w:jc w:val="left"/>
            </w:pPr>
            <w:r>
              <w:rPr>
                <w:sz w:val="17"/>
              </w:rPr>
              <w:t>kriptome_critical</w:t>
            </w:r>
          </w:p>
        </w:tc>
        <w:tc>
          <w:tcPr>
            <w:tcW w:type="dxa" w:w="3305"/>
            <w:vAlign w:val="top"/>
          </w:tcPr>
          <w:p>
            <w:pPr>
              <w:jc w:val="left"/>
            </w:pPr>
            <w:r>
              <w:rPr>
                <w:sz w:val="17"/>
              </w:rPr>
              <w:t>Login exitoso posterior</w:t>
            </w:r>
          </w:p>
        </w:tc>
        <w:tc>
          <w:tcPr>
            <w:tcW w:type="dxa" w:w="3305"/>
            <w:vAlign w:val="top"/>
          </w:tcPr>
          <w:p>
            <w:pPr>
              <w:jc w:val="left"/>
            </w:pPr>
            <w:r>
              <w:rPr>
                <w:sz w:val="17"/>
              </w:rPr>
              <w:t>Abrir/escalar; revisión humana</w:t>
            </w:r>
          </w:p>
        </w:tc>
      </w:tr>
      <w:tr>
        <w:tc>
          <w:tcPr>
            <w:tcW w:type="dxa" w:w="3305"/>
            <w:vAlign w:val="top"/>
          </w:tcPr>
          <w:p>
            <w:pPr>
              <w:jc w:val="left"/>
            </w:pPr>
            <w:r>
              <w:rPr>
                <w:sz w:val="17"/>
              </w:rPr>
              <w:t>kriptome_digest</w:t>
            </w:r>
          </w:p>
        </w:tc>
        <w:tc>
          <w:tcPr>
            <w:tcW w:type="dxa" w:w="3305"/>
            <w:vAlign w:val="top"/>
          </w:tcPr>
          <w:p>
            <w:pPr>
              <w:jc w:val="left"/>
            </w:pPr>
            <w:r>
              <w:rPr>
                <w:sz w:val="17"/>
              </w:rPr>
              <w:t>Vulnerabilidad no urgente</w:t>
            </w:r>
          </w:p>
        </w:tc>
        <w:tc>
          <w:tcPr>
            <w:tcW w:type="dxa" w:w="3305"/>
            <w:vAlign w:val="top"/>
          </w:tcPr>
          <w:p>
            <w:pPr>
              <w:jc w:val="left"/>
            </w:pPr>
            <w:r>
              <w:rPr>
                <w:sz w:val="17"/>
              </w:rPr>
              <w:t>Resumen periódico</w:t>
            </w:r>
          </w:p>
        </w:tc>
      </w:tr>
    </w:tbl>
    <w:p/>
    <w:p>
      <w:pPr>
        <w:pStyle w:val="Heading1"/>
      </w:pPr>
      <w:r>
        <w:t>7. Normalización</w:t>
      </w:r>
    </w:p>
    <w:p>
      <w:r>
        <w:t>El diccionario de campos debe mapear los nombres nativos a conceptos comunes. source_ip puede provenir de srcip, win.eventdata.ipAddress o campos del dispositivo. target_user puede provenir de user o targetUserName. Cada mapeo debe indicar fuente, transformación, obligatoriedad y limitación.</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Concepto normalizado</w:t>
            </w:r>
          </w:p>
        </w:tc>
        <w:tc>
          <w:tcPr>
            <w:tcW w:type="dxa" w:w="3305"/>
            <w:shd w:fill="D9E2F3"/>
          </w:tcPr>
          <w:p>
            <w:r>
              <w:rPr>
                <w:b/>
                <w:sz w:val="17"/>
              </w:rPr>
              <w:t>Fuentes posibles</w:t>
            </w:r>
          </w:p>
        </w:tc>
        <w:tc>
          <w:tcPr>
            <w:tcW w:type="dxa" w:w="3305"/>
            <w:shd w:fill="D9E2F3"/>
          </w:tcPr>
          <w:p>
            <w:r>
              <w:rPr>
                <w:b/>
                <w:sz w:val="17"/>
              </w:rPr>
              <w:t>Uso</w:t>
            </w:r>
          </w:p>
        </w:tc>
      </w:tr>
      <w:tr>
        <w:tc>
          <w:tcPr>
            <w:tcW w:type="dxa" w:w="3305"/>
            <w:vAlign w:val="top"/>
          </w:tcPr>
          <w:p>
            <w:pPr>
              <w:jc w:val="left"/>
            </w:pPr>
            <w:r>
              <w:rPr>
                <w:sz w:val="17"/>
              </w:rPr>
              <w:t>source_ip</w:t>
            </w:r>
          </w:p>
        </w:tc>
        <w:tc>
          <w:tcPr>
            <w:tcW w:type="dxa" w:w="3305"/>
            <w:vAlign w:val="top"/>
          </w:tcPr>
          <w:p>
            <w:pPr>
              <w:jc w:val="left"/>
            </w:pPr>
            <w:r>
              <w:rPr>
                <w:sz w:val="17"/>
              </w:rPr>
              <w:t>srcip, ipAddress, ClientIP</w:t>
            </w:r>
          </w:p>
        </w:tc>
        <w:tc>
          <w:tcPr>
            <w:tcW w:type="dxa" w:w="3305"/>
            <w:vAlign w:val="top"/>
          </w:tcPr>
          <w:p>
            <w:pPr>
              <w:jc w:val="left"/>
            </w:pPr>
            <w:r>
              <w:rPr>
                <w:sz w:val="17"/>
              </w:rPr>
              <w:t>Fingerprint, reputación y comunicación</w:t>
            </w:r>
          </w:p>
        </w:tc>
      </w:tr>
      <w:tr>
        <w:tc>
          <w:tcPr>
            <w:tcW w:type="dxa" w:w="3305"/>
            <w:vAlign w:val="top"/>
          </w:tcPr>
          <w:p>
            <w:pPr>
              <w:jc w:val="left"/>
            </w:pPr>
            <w:r>
              <w:rPr>
                <w:sz w:val="17"/>
              </w:rPr>
              <w:t>target_user</w:t>
            </w:r>
          </w:p>
        </w:tc>
        <w:tc>
          <w:tcPr>
            <w:tcW w:type="dxa" w:w="3305"/>
            <w:vAlign w:val="top"/>
          </w:tcPr>
          <w:p>
            <w:pPr>
              <w:jc w:val="left"/>
            </w:pPr>
            <w:r>
              <w:rPr>
                <w:sz w:val="17"/>
              </w:rPr>
              <w:t>user, targetUserName, UserId</w:t>
            </w:r>
          </w:p>
        </w:tc>
        <w:tc>
          <w:tcPr>
            <w:tcW w:type="dxa" w:w="3305"/>
            <w:vAlign w:val="top"/>
          </w:tcPr>
          <w:p>
            <w:pPr>
              <w:jc w:val="left"/>
            </w:pPr>
            <w:r>
              <w:rPr>
                <w:sz w:val="17"/>
              </w:rPr>
              <w:t>Cuenta afectada</w:t>
            </w:r>
          </w:p>
        </w:tc>
      </w:tr>
      <w:tr>
        <w:tc>
          <w:tcPr>
            <w:tcW w:type="dxa" w:w="3305"/>
            <w:vAlign w:val="top"/>
          </w:tcPr>
          <w:p>
            <w:pPr>
              <w:jc w:val="left"/>
            </w:pPr>
            <w:r>
              <w:rPr>
                <w:sz w:val="17"/>
              </w:rPr>
              <w:t>file_path</w:t>
            </w:r>
          </w:p>
        </w:tc>
        <w:tc>
          <w:tcPr>
            <w:tcW w:type="dxa" w:w="3305"/>
            <w:vAlign w:val="top"/>
          </w:tcPr>
          <w:p>
            <w:pPr>
              <w:jc w:val="left"/>
            </w:pPr>
            <w:r>
              <w:rPr>
                <w:sz w:val="17"/>
              </w:rPr>
              <w:t>syscheck.path, virustotal.source.file</w:t>
            </w:r>
          </w:p>
        </w:tc>
        <w:tc>
          <w:tcPr>
            <w:tcW w:type="dxa" w:w="3305"/>
            <w:vAlign w:val="top"/>
          </w:tcPr>
          <w:p>
            <w:pPr>
              <w:jc w:val="left"/>
            </w:pPr>
            <w:r>
              <w:rPr>
                <w:sz w:val="17"/>
              </w:rPr>
              <w:t>Evidencia de archivo</w:t>
            </w:r>
          </w:p>
        </w:tc>
      </w:tr>
      <w:tr>
        <w:tc>
          <w:tcPr>
            <w:tcW w:type="dxa" w:w="3305"/>
            <w:vAlign w:val="top"/>
          </w:tcPr>
          <w:p>
            <w:pPr>
              <w:jc w:val="left"/>
            </w:pPr>
            <w:r>
              <w:rPr>
                <w:sz w:val="17"/>
              </w:rPr>
              <w:t>file_hash</w:t>
            </w:r>
          </w:p>
        </w:tc>
        <w:tc>
          <w:tcPr>
            <w:tcW w:type="dxa" w:w="3305"/>
            <w:vAlign w:val="top"/>
          </w:tcPr>
          <w:p>
            <w:pPr>
              <w:jc w:val="left"/>
            </w:pPr>
            <w:r>
              <w:rPr>
                <w:sz w:val="17"/>
              </w:rPr>
              <w:t>syscheck.sha256_after, hash de AV</w:t>
            </w:r>
          </w:p>
        </w:tc>
        <w:tc>
          <w:tcPr>
            <w:tcW w:type="dxa" w:w="3305"/>
            <w:vAlign w:val="top"/>
          </w:tcPr>
          <w:p>
            <w:pPr>
              <w:jc w:val="left"/>
            </w:pPr>
            <w:r>
              <w:rPr>
                <w:sz w:val="17"/>
              </w:rPr>
              <w:t>Reputación y dedupe</w:t>
            </w:r>
          </w:p>
        </w:tc>
      </w:tr>
      <w:tr>
        <w:tc>
          <w:tcPr>
            <w:tcW w:type="dxa" w:w="3305"/>
            <w:vAlign w:val="top"/>
          </w:tcPr>
          <w:p>
            <w:pPr>
              <w:jc w:val="left"/>
            </w:pPr>
            <w:r>
              <w:rPr>
                <w:sz w:val="17"/>
              </w:rPr>
              <w:t>cve</w:t>
            </w:r>
          </w:p>
        </w:tc>
        <w:tc>
          <w:tcPr>
            <w:tcW w:type="dxa" w:w="3305"/>
            <w:vAlign w:val="top"/>
          </w:tcPr>
          <w:p>
            <w:pPr>
              <w:jc w:val="left"/>
            </w:pPr>
            <w:r>
              <w:rPr>
                <w:sz w:val="17"/>
              </w:rPr>
              <w:t>vulnerability.cve</w:t>
            </w:r>
          </w:p>
        </w:tc>
        <w:tc>
          <w:tcPr>
            <w:tcW w:type="dxa" w:w="3305"/>
            <w:vAlign w:val="top"/>
          </w:tcPr>
          <w:p>
            <w:pPr>
              <w:jc w:val="left"/>
            </w:pPr>
            <w:r>
              <w:rPr>
                <w:sz w:val="17"/>
              </w:rPr>
              <w:t>Caso de vulnerabilidad</w:t>
            </w:r>
          </w:p>
        </w:tc>
      </w:tr>
      <w:tr>
        <w:tc>
          <w:tcPr>
            <w:tcW w:type="dxa" w:w="3305"/>
            <w:vAlign w:val="top"/>
          </w:tcPr>
          <w:p>
            <w:pPr>
              <w:jc w:val="left"/>
            </w:pPr>
            <w:r>
              <w:rPr>
                <w:sz w:val="17"/>
              </w:rPr>
              <w:t>asset_id</w:t>
            </w:r>
          </w:p>
        </w:tc>
        <w:tc>
          <w:tcPr>
            <w:tcW w:type="dxa" w:w="3305"/>
            <w:vAlign w:val="top"/>
          </w:tcPr>
          <w:p>
            <w:pPr>
              <w:jc w:val="left"/>
            </w:pPr>
            <w:r>
              <w:rPr>
                <w:sz w:val="17"/>
              </w:rPr>
              <w:t>Resolución interna</w:t>
            </w:r>
          </w:p>
        </w:tc>
        <w:tc>
          <w:tcPr>
            <w:tcW w:type="dxa" w:w="3305"/>
            <w:vAlign w:val="top"/>
          </w:tcPr>
          <w:p>
            <w:pPr>
              <w:jc w:val="left"/>
            </w:pPr>
            <w:r>
              <w:rPr>
                <w:sz w:val="17"/>
              </w:rPr>
              <w:t>Tenant, criticidad y procedimiento</w:t>
            </w:r>
          </w:p>
        </w:tc>
      </w:tr>
    </w:tbl>
    <w:p/>
    <w:p>
      <w:pPr>
        <w:pStyle w:val="Heading1"/>
      </w:pPr>
      <w:r>
        <w:t>8. Enriquecimiento externo</w:t>
      </w:r>
    </w:p>
    <w:p>
      <w:r>
        <w:t>El enriquecimiento debe ejecutarse de forma condicional y con cache. Consultar todos los proveedores por cada alerta aumenta costos y latencia. La política del case_type define qué fuentes son relevantes. El resultado incluye provider, fetched_at, expires_at, status y datos normalizados.</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Enriquecimiento</w:t>
            </w:r>
          </w:p>
        </w:tc>
        <w:tc>
          <w:tcPr>
            <w:tcW w:type="dxa" w:w="3305"/>
            <w:shd w:fill="D9E2F3"/>
          </w:tcPr>
          <w:p>
            <w:r>
              <w:rPr>
                <w:b/>
                <w:sz w:val="17"/>
              </w:rPr>
              <w:t>Aplicación</w:t>
            </w:r>
          </w:p>
        </w:tc>
        <w:tc>
          <w:tcPr>
            <w:tcW w:type="dxa" w:w="3305"/>
            <w:shd w:fill="D9E2F3"/>
          </w:tcPr>
          <w:p>
            <w:r>
              <w:rPr>
                <w:b/>
                <w:sz w:val="17"/>
              </w:rPr>
              <w:t>Riesgo de interpretación</w:t>
            </w:r>
          </w:p>
        </w:tc>
      </w:tr>
      <w:tr>
        <w:tc>
          <w:tcPr>
            <w:tcW w:type="dxa" w:w="3305"/>
            <w:vAlign w:val="top"/>
          </w:tcPr>
          <w:p>
            <w:pPr>
              <w:jc w:val="left"/>
            </w:pPr>
            <w:r>
              <w:rPr>
                <w:sz w:val="17"/>
              </w:rPr>
              <w:t>GeoIP</w:t>
            </w:r>
          </w:p>
        </w:tc>
        <w:tc>
          <w:tcPr>
            <w:tcW w:type="dxa" w:w="3305"/>
            <w:vAlign w:val="top"/>
          </w:tcPr>
          <w:p>
            <w:pPr>
              <w:jc w:val="left"/>
            </w:pPr>
            <w:r>
              <w:rPr>
                <w:sz w:val="17"/>
              </w:rPr>
              <w:t>IP externa</w:t>
            </w:r>
          </w:p>
        </w:tc>
        <w:tc>
          <w:tcPr>
            <w:tcW w:type="dxa" w:w="3305"/>
            <w:vAlign w:val="top"/>
          </w:tcPr>
          <w:p>
            <w:pPr>
              <w:jc w:val="left"/>
            </w:pPr>
            <w:r>
              <w:rPr>
                <w:sz w:val="17"/>
              </w:rPr>
              <w:t>Ubicación aproximada, no identidad</w:t>
            </w:r>
          </w:p>
        </w:tc>
      </w:tr>
      <w:tr>
        <w:tc>
          <w:tcPr>
            <w:tcW w:type="dxa" w:w="3305"/>
            <w:vAlign w:val="top"/>
          </w:tcPr>
          <w:p>
            <w:pPr>
              <w:jc w:val="left"/>
            </w:pPr>
            <w:r>
              <w:rPr>
                <w:sz w:val="17"/>
              </w:rPr>
              <w:t>Reputación IP</w:t>
            </w:r>
          </w:p>
        </w:tc>
        <w:tc>
          <w:tcPr>
            <w:tcW w:type="dxa" w:w="3305"/>
            <w:vAlign w:val="top"/>
          </w:tcPr>
          <w:p>
            <w:pPr>
              <w:jc w:val="left"/>
            </w:pPr>
            <w:r>
              <w:rPr>
                <w:sz w:val="17"/>
              </w:rPr>
              <w:t>SSH, Windows, VPN, firewall</w:t>
            </w:r>
          </w:p>
        </w:tc>
        <w:tc>
          <w:tcPr>
            <w:tcW w:type="dxa" w:w="3305"/>
            <w:vAlign w:val="top"/>
          </w:tcPr>
          <w:p>
            <w:pPr>
              <w:jc w:val="left"/>
            </w:pPr>
            <w:r>
              <w:rPr>
                <w:sz w:val="17"/>
              </w:rPr>
              <w:t>Ausencia de reportes no significa benigno</w:t>
            </w:r>
          </w:p>
        </w:tc>
      </w:tr>
      <w:tr>
        <w:tc>
          <w:tcPr>
            <w:tcW w:type="dxa" w:w="3305"/>
            <w:vAlign w:val="top"/>
          </w:tcPr>
          <w:p>
            <w:pPr>
              <w:jc w:val="left"/>
            </w:pPr>
            <w:r>
              <w:rPr>
                <w:sz w:val="17"/>
              </w:rPr>
              <w:t>Reputación hash</w:t>
            </w:r>
          </w:p>
        </w:tc>
        <w:tc>
          <w:tcPr>
            <w:tcW w:type="dxa" w:w="3305"/>
            <w:vAlign w:val="top"/>
          </w:tcPr>
          <w:p>
            <w:pPr>
              <w:jc w:val="left"/>
            </w:pPr>
            <w:r>
              <w:rPr>
                <w:sz w:val="17"/>
              </w:rPr>
              <w:t>FIM y malware</w:t>
            </w:r>
          </w:p>
        </w:tc>
        <w:tc>
          <w:tcPr>
            <w:tcW w:type="dxa" w:w="3305"/>
            <w:vAlign w:val="top"/>
          </w:tcPr>
          <w:p>
            <w:pPr>
              <w:jc w:val="left"/>
            </w:pPr>
            <w:r>
              <w:rPr>
                <w:sz w:val="17"/>
              </w:rPr>
              <w:t>Proveedor puede no conocer el archivo</w:t>
            </w:r>
          </w:p>
        </w:tc>
      </w:tr>
      <w:tr>
        <w:tc>
          <w:tcPr>
            <w:tcW w:type="dxa" w:w="3305"/>
            <w:vAlign w:val="top"/>
          </w:tcPr>
          <w:p>
            <w:pPr>
              <w:jc w:val="left"/>
            </w:pPr>
            <w:r>
              <w:rPr>
                <w:sz w:val="17"/>
              </w:rPr>
              <w:t>CMDB</w:t>
            </w:r>
          </w:p>
        </w:tc>
        <w:tc>
          <w:tcPr>
            <w:tcW w:type="dxa" w:w="3305"/>
            <w:vAlign w:val="top"/>
          </w:tcPr>
          <w:p>
            <w:pPr>
              <w:jc w:val="left"/>
            </w:pPr>
            <w:r>
              <w:rPr>
                <w:sz w:val="17"/>
              </w:rPr>
              <w:t>Todos los casos</w:t>
            </w:r>
          </w:p>
        </w:tc>
        <w:tc>
          <w:tcPr>
            <w:tcW w:type="dxa" w:w="3305"/>
            <w:vAlign w:val="top"/>
          </w:tcPr>
          <w:p>
            <w:pPr>
              <w:jc w:val="left"/>
            </w:pPr>
            <w:r>
              <w:rPr>
                <w:sz w:val="17"/>
              </w:rPr>
              <w:t>Datos incorrectos alteran prioridad</w:t>
            </w:r>
          </w:p>
        </w:tc>
      </w:tr>
      <w:tr>
        <w:tc>
          <w:tcPr>
            <w:tcW w:type="dxa" w:w="3305"/>
            <w:vAlign w:val="top"/>
          </w:tcPr>
          <w:p>
            <w:pPr>
              <w:jc w:val="left"/>
            </w:pPr>
            <w:r>
              <w:rPr>
                <w:sz w:val="17"/>
              </w:rPr>
              <w:t>CVE/NVD</w:t>
            </w:r>
          </w:p>
        </w:tc>
        <w:tc>
          <w:tcPr>
            <w:tcW w:type="dxa" w:w="3305"/>
            <w:vAlign w:val="top"/>
          </w:tcPr>
          <w:p>
            <w:pPr>
              <w:jc w:val="left"/>
            </w:pPr>
            <w:r>
              <w:rPr>
                <w:sz w:val="17"/>
              </w:rPr>
              <w:t>Vulnerabilidades</w:t>
            </w:r>
          </w:p>
        </w:tc>
        <w:tc>
          <w:tcPr>
            <w:tcW w:type="dxa" w:w="3305"/>
            <w:vAlign w:val="top"/>
          </w:tcPr>
          <w:p>
            <w:pPr>
              <w:jc w:val="left"/>
            </w:pPr>
            <w:r>
              <w:rPr>
                <w:sz w:val="17"/>
              </w:rPr>
              <w:t>CVSS no equivale a riesgo del cliente</w:t>
            </w:r>
          </w:p>
        </w:tc>
      </w:tr>
      <w:tr>
        <w:tc>
          <w:tcPr>
            <w:tcW w:type="dxa" w:w="3305"/>
            <w:vAlign w:val="top"/>
          </w:tcPr>
          <w:p>
            <w:pPr>
              <w:jc w:val="left"/>
            </w:pPr>
            <w:r>
              <w:rPr>
                <w:sz w:val="17"/>
              </w:rPr>
              <w:t>KEV</w:t>
            </w:r>
          </w:p>
        </w:tc>
        <w:tc>
          <w:tcPr>
            <w:tcW w:type="dxa" w:w="3305"/>
            <w:vAlign w:val="top"/>
          </w:tcPr>
          <w:p>
            <w:pPr>
              <w:jc w:val="left"/>
            </w:pPr>
            <w:r>
              <w:rPr>
                <w:sz w:val="17"/>
              </w:rPr>
              <w:t>Vulnerabilidades</w:t>
            </w:r>
          </w:p>
        </w:tc>
        <w:tc>
          <w:tcPr>
            <w:tcW w:type="dxa" w:w="3305"/>
            <w:vAlign w:val="top"/>
          </w:tcPr>
          <w:p>
            <w:pPr>
              <w:jc w:val="left"/>
            </w:pPr>
            <w:r>
              <w:rPr>
                <w:sz w:val="17"/>
              </w:rPr>
              <w:t>Explotación conocida no prueba compromiso local</w:t>
            </w:r>
          </w:p>
        </w:tc>
      </w:tr>
    </w:tbl>
    <w:p/>
    <w:p>
      <w:pPr>
        <w:pStyle w:val="Heading1"/>
      </w:pPr>
      <w:r>
        <w:t>9. CISA KEV</w:t>
      </w:r>
    </w:p>
    <w:p>
      <w:pPr>
        <w:jc w:val="center"/>
      </w:pPr>
      <w:r>
        <w:drawing>
          <wp:inline xmlns:a="http://schemas.openxmlformats.org/drawingml/2006/main" xmlns:pic="http://schemas.openxmlformats.org/drawingml/2006/picture">
            <wp:extent cx="5577840" cy="4076248"/>
            <wp:docPr id="1" name="Picture 1"/>
            <wp:cNvGraphicFramePr>
              <a:graphicFrameLocks noChangeAspect="1"/>
            </wp:cNvGraphicFramePr>
            <a:graphic>
              <a:graphicData uri="http://schemas.openxmlformats.org/drawingml/2006/picture">
                <pic:pic>
                  <pic:nvPicPr>
                    <pic:cNvPr id="0" name="kev_flow.png"/>
                    <pic:cNvPicPr/>
                  </pic:nvPicPr>
                  <pic:blipFill>
                    <a:blip r:embed="rId11"/>
                    <a:stretch>
                      <a:fillRect/>
                    </a:stretch>
                  </pic:blipFill>
                  <pic:spPr>
                    <a:xfrm>
                      <a:off x="0" y="0"/>
                      <a:ext cx="5577840" cy="4076248"/>
                    </a:xfrm>
                    <a:prstGeom prst="rect"/>
                  </pic:spPr>
                </pic:pic>
              </a:graphicData>
            </a:graphic>
          </wp:inline>
        </w:drawing>
      </w:r>
    </w:p>
    <w:p>
      <w:pPr>
        <w:jc w:val="center"/>
      </w:pPr>
      <w:r>
        <w:rPr>
          <w:i/>
          <w:sz w:val="17"/>
        </w:rPr>
        <w:t>Figura 1. KEV se integra como enriquecimiento del mismo caso.</w:t>
      </w:r>
    </w:p>
    <w:p>
      <w:r>
        <w:t>La aplicación debe mantener una copia local del catálogo, actualizarla periódicamente y registrar su versión. Cuando llega un CVE, busca la entrada. Si existe, añade información al caso. La política combina KEV con criticidad y exposición. Un activo crítico expuesto puede requerir comunicación inmediata; un activo aislado puede seguir un plazo distinto.</w:t>
      </w:r>
    </w:p>
    <w:p>
      <w:r>
        <w:t>La regla 100040 queda como artefacto experimental y no debe cargarse en el Manager productivo. La lista de tres CVE se conserva como fixture. Esto preserva el historial sin duplicar el flujo.</w:t>
      </w:r>
    </w:p>
    <w:p>
      <w:pPr>
        <w:pStyle w:val="Heading1"/>
      </w:pPr>
      <w:r>
        <w:t>10. Validación y pruebas</w:t>
      </w:r>
    </w:p>
    <w:p>
      <w:r>
        <w:t>Los estados normalizados evitan afirmar que una regla está validada cuando solo fue revisada. VALIDADO-XML significa que la sintaxis y referencias fueron revisadas. VALIDADO-LOGTEST requiere evidencia de ejecución. VALIDADO-SHADOW requiere observación sin notificación. VALIDADO-PILOTO requiere resultados en un entorno controlado.</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trPr>
        <w:tc>
          <w:tcPr>
            <w:tcW w:type="dxa" w:w="2479"/>
            <w:shd w:fill="D9E2F3"/>
          </w:tcPr>
          <w:p>
            <w:r>
              <w:rPr>
                <w:b/>
                <w:sz w:val="17"/>
              </w:rPr>
              <w:t>Regla</w:t>
            </w:r>
          </w:p>
        </w:tc>
        <w:tc>
          <w:tcPr>
            <w:tcW w:type="dxa" w:w="2479"/>
            <w:shd w:fill="D9E2F3"/>
          </w:tcPr>
          <w:p>
            <w:r>
              <w:rPr>
                <w:b/>
                <w:sz w:val="17"/>
              </w:rPr>
              <w:t>Fixture</w:t>
            </w:r>
          </w:p>
        </w:tc>
        <w:tc>
          <w:tcPr>
            <w:tcW w:type="dxa" w:w="2479"/>
            <w:shd w:fill="D9E2F3"/>
          </w:tcPr>
          <w:p>
            <w:r>
              <w:rPr>
                <w:b/>
                <w:sz w:val="17"/>
              </w:rPr>
              <w:t>Expected result</w:t>
            </w:r>
          </w:p>
        </w:tc>
        <w:tc>
          <w:tcPr>
            <w:tcW w:type="dxa" w:w="2479"/>
            <w:shd w:fill="D9E2F3"/>
          </w:tcPr>
          <w:p>
            <w:r>
              <w:rPr>
                <w:b/>
                <w:sz w:val="17"/>
              </w:rPr>
              <w:t>Limitación</w:t>
            </w:r>
          </w:p>
        </w:tc>
      </w:tr>
      <w:tr>
        <w:tc>
          <w:tcPr>
            <w:tcW w:type="dxa" w:w="2479"/>
            <w:vAlign w:val="top"/>
          </w:tcPr>
          <w:p>
            <w:pPr>
              <w:jc w:val="left"/>
            </w:pPr>
            <w:r>
              <w:rPr>
                <w:sz w:val="17"/>
              </w:rPr>
              <w:t>100010/100012</w:t>
            </w:r>
          </w:p>
        </w:tc>
        <w:tc>
          <w:tcPr>
            <w:tcW w:type="dxa" w:w="2479"/>
            <w:vAlign w:val="top"/>
          </w:tcPr>
          <w:p>
            <w:pPr>
              <w:jc w:val="left"/>
            </w:pPr>
            <w:r>
              <w:rPr>
                <w:sz w:val="17"/>
              </w:rPr>
              <w:t>ssh_samples.log</w:t>
            </w:r>
          </w:p>
        </w:tc>
        <w:tc>
          <w:tcPr>
            <w:tcW w:type="dxa" w:w="2479"/>
            <w:vAlign w:val="top"/>
          </w:tcPr>
          <w:p>
            <w:pPr>
              <w:jc w:val="left"/>
            </w:pPr>
            <w:r>
              <w:rPr>
                <w:sz w:val="17"/>
              </w:rPr>
              <w:t>ssh_samples.expected.yaml</w:t>
            </w:r>
          </w:p>
        </w:tc>
        <w:tc>
          <w:tcPr>
            <w:tcW w:type="dxa" w:w="2479"/>
            <w:vAlign w:val="top"/>
          </w:tcPr>
          <w:p>
            <w:pPr>
              <w:jc w:val="left"/>
            </w:pPr>
            <w:r>
              <w:rPr>
                <w:sz w:val="17"/>
              </w:rPr>
              <w:t>Requiere ejecutar logtest</w:t>
            </w:r>
          </w:p>
        </w:tc>
      </w:tr>
      <w:tr>
        <w:tc>
          <w:tcPr>
            <w:tcW w:type="dxa" w:w="2479"/>
            <w:vAlign w:val="top"/>
          </w:tcPr>
          <w:p>
            <w:pPr>
              <w:jc w:val="left"/>
            </w:pPr>
            <w:r>
              <w:rPr>
                <w:sz w:val="17"/>
              </w:rPr>
              <w:t>100011/100013</w:t>
            </w:r>
          </w:p>
        </w:tc>
        <w:tc>
          <w:tcPr>
            <w:tcW w:type="dxa" w:w="2479"/>
            <w:vAlign w:val="top"/>
          </w:tcPr>
          <w:p>
            <w:pPr>
              <w:jc w:val="left"/>
            </w:pPr>
            <w:r>
              <w:rPr>
                <w:sz w:val="17"/>
              </w:rPr>
              <w:t>windows_4625_eventchannel.json</w:t>
            </w:r>
          </w:p>
        </w:tc>
        <w:tc>
          <w:tcPr>
            <w:tcW w:type="dxa" w:w="2479"/>
            <w:vAlign w:val="top"/>
          </w:tcPr>
          <w:p>
            <w:pPr>
              <w:jc w:val="left"/>
            </w:pPr>
            <w:r>
              <w:rPr>
                <w:sz w:val="17"/>
              </w:rPr>
              <w:t>windows expected YAML</w:t>
            </w:r>
          </w:p>
        </w:tc>
        <w:tc>
          <w:tcPr>
            <w:tcW w:type="dxa" w:w="2479"/>
            <w:vAlign w:val="top"/>
          </w:tcPr>
          <w:p>
            <w:pPr>
              <w:jc w:val="left"/>
            </w:pPr>
            <w:r>
              <w:rPr>
                <w:sz w:val="17"/>
              </w:rPr>
              <w:t>Requiere ejecutar logtest</w:t>
            </w:r>
          </w:p>
        </w:tc>
      </w:tr>
      <w:tr>
        <w:tc>
          <w:tcPr>
            <w:tcW w:type="dxa" w:w="2479"/>
            <w:vAlign w:val="top"/>
          </w:tcPr>
          <w:p>
            <w:pPr>
              <w:jc w:val="left"/>
            </w:pPr>
            <w:r>
              <w:rPr>
                <w:sz w:val="17"/>
              </w:rPr>
              <w:t>100030</w:t>
            </w:r>
          </w:p>
        </w:tc>
        <w:tc>
          <w:tcPr>
            <w:tcW w:type="dxa" w:w="2479"/>
            <w:vAlign w:val="top"/>
          </w:tcPr>
          <w:p>
            <w:pPr>
              <w:jc w:val="left"/>
            </w:pPr>
            <w:r>
              <w:rPr>
                <w:sz w:val="17"/>
              </w:rPr>
              <w:t>No fixture de texto</w:t>
            </w:r>
          </w:p>
        </w:tc>
        <w:tc>
          <w:tcPr>
            <w:tcW w:type="dxa" w:w="2479"/>
            <w:vAlign w:val="top"/>
          </w:tcPr>
          <w:p>
            <w:pPr>
              <w:jc w:val="left"/>
            </w:pPr>
            <w:r>
              <w:rPr>
                <w:sz w:val="17"/>
              </w:rPr>
              <w:t>Validación end-to-end</w:t>
            </w:r>
          </w:p>
        </w:tc>
        <w:tc>
          <w:tcPr>
            <w:tcW w:type="dxa" w:w="2479"/>
            <w:vAlign w:val="top"/>
          </w:tcPr>
          <w:p>
            <w:pPr>
              <w:jc w:val="left"/>
            </w:pPr>
            <w:r>
              <w:rPr>
                <w:sz w:val="17"/>
              </w:rPr>
              <w:t>Evento interno de syscheck</w:t>
            </w:r>
          </w:p>
        </w:tc>
      </w:tr>
      <w:tr>
        <w:tc>
          <w:tcPr>
            <w:tcW w:type="dxa" w:w="2479"/>
            <w:vAlign w:val="top"/>
          </w:tcPr>
          <w:p>
            <w:pPr>
              <w:jc w:val="left"/>
            </w:pPr>
            <w:r>
              <w:rPr>
                <w:sz w:val="17"/>
              </w:rPr>
              <w:t>100040</w:t>
            </w:r>
          </w:p>
        </w:tc>
        <w:tc>
          <w:tcPr>
            <w:tcW w:type="dxa" w:w="2479"/>
            <w:vAlign w:val="top"/>
          </w:tcPr>
          <w:p>
            <w:pPr>
              <w:jc w:val="left"/>
            </w:pPr>
            <w:r>
              <w:rPr>
                <w:sz w:val="17"/>
              </w:rPr>
              <w:t>No aplica</w:t>
            </w:r>
          </w:p>
        </w:tc>
        <w:tc>
          <w:tcPr>
            <w:tcW w:type="dxa" w:w="2479"/>
            <w:vAlign w:val="top"/>
          </w:tcPr>
          <w:p>
            <w:pPr>
              <w:jc w:val="left"/>
            </w:pPr>
            <w:r>
              <w:rPr>
                <w:sz w:val="17"/>
              </w:rPr>
              <w:t>No aplica</w:t>
            </w:r>
          </w:p>
        </w:tc>
        <w:tc>
          <w:tcPr>
            <w:tcW w:type="dxa" w:w="2479"/>
            <w:vAlign w:val="top"/>
          </w:tcPr>
          <w:p>
            <w:pPr>
              <w:jc w:val="left"/>
            </w:pPr>
            <w:r>
              <w:rPr>
                <w:sz w:val="17"/>
              </w:rPr>
              <w:t>Experimental y fuera de producción</w:t>
            </w:r>
          </w:p>
        </w:tc>
      </w:tr>
    </w:tbl>
    <w:p/>
    <w:p>
      <w:pPr>
        <w:pStyle w:val="Heading1"/>
      </w:pPr>
      <w:r>
        <w:t>11. Limitaciones</w:t>
      </w:r>
    </w:p>
    <w:p>
      <w:r>
        <w:t>La detección depende de la configuración del endpoint, la política de auditoría, los decoders y la calidad de la CMDB. El hecho de que una regla exista no garantiza que todos los campos aparezcan. Cada onboarding debe validar fuentes y ejemplos reales. Las exclusiones de ruleset deben aplicarse solo cuando la tecnología no se utiliza; excluir por comodidad puede crear puntos ciegos.</w:t>
      </w:r>
    </w:p>
    <w:p>
      <w:r>
        <w:t>También existe una limitación de carga en correlaciones mantenidas únicamente en memoria del Manager. Por ello, las secuencias críticas y cross-host se trasladan al motor persistente de casos.</w:t>
      </w:r>
    </w:p>
    <w:p>
      <w:pPr>
        <w:pStyle w:val="Heading1"/>
      </w:pPr>
      <w:r>
        <w:t>12. Mantenimiento y evolución</w:t>
      </w:r>
    </w:p>
    <w:p>
      <w:r>
        <w:t>Cada actualización de Wazuh requiere revisar compatibilidad, ejecutar fixtures, probar XML y mantener rollback. El CHANGELOG debe registrar cambios de reglas y decisiones de arquitectura. Las reglas nuevas deben incluir ficha, fixture cuando sea representativo, expected result y estado.</w:t>
      </w:r>
    </w:p>
    <w:p>
      <w:pPr>
        <w:pStyle w:val="Heading1"/>
      </w:pPr>
      <w:r>
        <w:t>Fuentes internas consultadas</w:t>
      </w:r>
    </w:p>
    <w:p>
      <w:r>
        <w:t>Este informe se elaboró utilizando los artefactos técnicos disponibles en el repositorio `franciscosdafas133/kriptome-minisoc`, principalmente en el commit ab772d198719. La relación siguiente permite rastrear las decisiones del documento hasta sus fuentes internas.</w:t>
      </w:r>
    </w:p>
    <w:p>
      <w:pPr>
        <w:pStyle w:val="ListBullet"/>
        <w:jc w:val="left"/>
      </w:pPr>
      <w:r>
        <w:rPr>
          <w:rFonts w:ascii="Liberation Mono" w:hAnsi="Liberation Mono"/>
          <w:sz w:val="17"/>
        </w:rPr>
        <w:t>REGLAS_TUNEADAS/README.md</w:t>
      </w:r>
    </w:p>
    <w:p>
      <w:pPr>
        <w:pStyle w:val="ListBullet"/>
        <w:jc w:val="left"/>
      </w:pPr>
      <w:r>
        <w:rPr>
          <w:rFonts w:ascii="Liberation Mono" w:hAnsi="Liberation Mono"/>
          <w:sz w:val="17"/>
        </w:rPr>
        <w:t>REGLAS_TUNEADAS/CHANGELOG.md</w:t>
      </w:r>
    </w:p>
    <w:p>
      <w:pPr>
        <w:pStyle w:val="ListBullet"/>
        <w:jc w:val="left"/>
      </w:pPr>
      <w:r>
        <w:rPr>
          <w:rFonts w:ascii="Liberation Mono" w:hAnsi="Liberation Mono"/>
          <w:sz w:val="17"/>
        </w:rPr>
        <w:t>REGLAS_TUNEADAS/wazuh/rules/kriptome_local_rules.xml</w:t>
      </w:r>
    </w:p>
    <w:p>
      <w:pPr>
        <w:pStyle w:val="ListBullet"/>
        <w:jc w:val="left"/>
      </w:pPr>
      <w:r>
        <w:rPr>
          <w:rFonts w:ascii="Liberation Mono" w:hAnsi="Liberation Mono"/>
          <w:sz w:val="17"/>
        </w:rPr>
        <w:t>REGLAS_TUNEADAS/wazuh/decoders/kriptome_local_decoders.xml</w:t>
      </w:r>
    </w:p>
    <w:p>
      <w:pPr>
        <w:pStyle w:val="ListBullet"/>
        <w:jc w:val="left"/>
      </w:pPr>
      <w:r>
        <w:rPr>
          <w:rFonts w:ascii="Liberation Mono" w:hAnsi="Liberation Mono"/>
          <w:sz w:val="17"/>
        </w:rPr>
        <w:t>REGLAS_TUNEADAS/routing/routing_matrix.csv</w:t>
      </w:r>
    </w:p>
    <w:p>
      <w:pPr>
        <w:pStyle w:val="ListBullet"/>
        <w:jc w:val="left"/>
      </w:pPr>
      <w:r>
        <w:rPr>
          <w:rFonts w:ascii="Liberation Mono" w:hAnsi="Liberation Mono"/>
          <w:sz w:val="17"/>
        </w:rPr>
        <w:t>REGLAS_TUNEADAS/routing/diccionario_campos_enriquecimiento.csv</w:t>
      </w:r>
    </w:p>
    <w:p>
      <w:pPr>
        <w:pStyle w:val="ListBullet"/>
        <w:jc w:val="left"/>
      </w:pPr>
      <w:r>
        <w:rPr>
          <w:rFonts w:ascii="Liberation Mono" w:hAnsi="Liberation Mono"/>
          <w:sz w:val="17"/>
        </w:rPr>
        <w:t>REGLAS_TUNEADAS/expected_results/_cobertura.md</w:t>
      </w:r>
    </w:p>
    <w:p>
      <w:pPr>
        <w:pStyle w:val="ListBullet"/>
        <w:jc w:val="left"/>
      </w:pPr>
      <w:r>
        <w:rPr>
          <w:rFonts w:ascii="Liberation Mono" w:hAnsi="Liberation Mono"/>
          <w:sz w:val="17"/>
        </w:rPr>
        <w:t>REGLAS_TUNEADAS/experimental/100040_cisa_kev.xml</w:t>
      </w:r>
    </w:p>
    <w:p>
      <w:pPr>
        <w:pStyle w:val="Heading1"/>
      </w:pPr>
      <w:r>
        <w:t>13. Fichas ampliadas de reglas activas</w:t>
      </w:r>
    </w:p>
    <w:p>
      <w:pPr>
        <w:pStyle w:val="Heading2"/>
      </w:pPr>
      <w:r>
        <w:t>13.1 Regla 100010 — Roll-up SSH</w:t>
      </w:r>
    </w:p>
    <w:p>
      <w:pPr>
        <w:jc w:val="both"/>
      </w:pPr>
      <w:r>
        <w:t>Esta regla reduce múltiples fallos SSH a una señal de fuerza bruta. Su utilidad es evitar que la aplicación reciba únicamente fallos aislados sin una indicación de frecuencia. El output debe conservar srcip, usuario cuando esté disponible, agent.id, firedtimes y timestamp. Kriptome usa esa señal como candidate: calcula fingerprint y abre o actualiza un caso. La regla no decide por sí sola que el cliente deba ser notificado.</w:t>
      </w:r>
    </w:p>
    <w:p>
      <w:pPr>
        <w:pStyle w:val="Heading2"/>
      </w:pPr>
      <w:r>
        <w:t>13.2 Regla 100011 — Fuerza bruta Windows por cuenta</w:t>
      </w:r>
    </w:p>
    <w:p>
      <w:pPr>
        <w:jc w:val="both"/>
      </w:pPr>
      <w:r>
        <w:t>La regla agrupa fallos Windows utilizando la cuenta objetivo. Este enfoque permite detectar intentos concentrados contra una identidad, aunque debe verificarse con eventchannel real. Los campos targetUserName, ipAddress, logonType y workstationName son importantes para la investigación. El estado permanece pendiente de logtest documentado.</w:t>
      </w:r>
    </w:p>
    <w:p>
      <w:pPr>
        <w:pStyle w:val="Heading2"/>
      </w:pPr>
      <w:r>
        <w:t>13.3 Reglas 100012 y 100013 — Éxito posterior</w:t>
      </w:r>
    </w:p>
    <w:p>
      <w:pPr>
        <w:jc w:val="both"/>
      </w:pPr>
      <w:r>
        <w:t>Estas reglas representan el cambio material más importante del flujo de autenticación. Un inicio de sesión exitoso después de fallos no confirma de manera absoluta un compromiso, pero aumenta significativamente el riesgo. Kriptome debe relacionar el éxito con el caso existente, actualizar la cronología, seleccionar el procedimiento correspondiente y solicitar revisión humana.</w:t>
      </w:r>
    </w:p>
    <w:p>
      <w:pPr>
        <w:pStyle w:val="Heading2"/>
      </w:pPr>
      <w:r>
        <w:t>13.4 Regla 100030 — Whitelist FIM</w:t>
      </w:r>
    </w:p>
    <w:p>
      <w:pPr>
        <w:jc w:val="both"/>
      </w:pPr>
      <w:r>
        <w:t>La whitelist permite excluir rutas exactas conocidas. No debe utilizarse para ocultar directorios sensibles de forma general. Los patrones de ruido por directorio o regex pertenecen a agent.conf. La validación de esta regla debe realizarse con eventos FIM reales porque wazuh-logtest no reproduce de manera representativa el evento interno de syscheck.</w:t>
      </w:r>
    </w:p>
    <w:p>
      <w:pPr>
        <w:pStyle w:val="Heading1"/>
      </w:pPr>
      <w:r>
        <w:t>14. Matriz de procedencia y calidad de campos</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trPr>
        <w:tc>
          <w:tcPr>
            <w:tcW w:type="dxa" w:w="2479"/>
            <w:shd w:fill="D9E2F3"/>
          </w:tcPr>
          <w:p>
            <w:r>
              <w:rPr>
                <w:b/>
                <w:sz w:val="17"/>
              </w:rPr>
              <w:t>Campo</w:t>
            </w:r>
          </w:p>
        </w:tc>
        <w:tc>
          <w:tcPr>
            <w:tcW w:type="dxa" w:w="2479"/>
            <w:shd w:fill="D9E2F3"/>
          </w:tcPr>
          <w:p>
            <w:r>
              <w:rPr>
                <w:b/>
                <w:sz w:val="17"/>
              </w:rPr>
              <w:t>Fuente</w:t>
            </w:r>
          </w:p>
        </w:tc>
        <w:tc>
          <w:tcPr>
            <w:tcW w:type="dxa" w:w="2479"/>
            <w:shd w:fill="D9E2F3"/>
          </w:tcPr>
          <w:p>
            <w:r>
              <w:rPr>
                <w:b/>
                <w:sz w:val="17"/>
              </w:rPr>
              <w:t>Calidad esperada</w:t>
            </w:r>
          </w:p>
        </w:tc>
        <w:tc>
          <w:tcPr>
            <w:tcW w:type="dxa" w:w="2479"/>
            <w:shd w:fill="D9E2F3"/>
          </w:tcPr>
          <w:p>
            <w:r>
              <w:rPr>
                <w:b/>
                <w:sz w:val="17"/>
              </w:rPr>
              <w:t>Tratamiento</w:t>
            </w:r>
          </w:p>
        </w:tc>
      </w:tr>
      <w:tr>
        <w:tc>
          <w:tcPr>
            <w:tcW w:type="dxa" w:w="2479"/>
          </w:tcPr>
          <w:p>
            <w:pPr>
              <w:jc w:val="left"/>
            </w:pPr>
            <w:r>
              <w:rPr>
                <w:sz w:val="17"/>
              </w:rPr>
              <w:t>srcip</w:t>
            </w:r>
          </w:p>
        </w:tc>
        <w:tc>
          <w:tcPr>
            <w:tcW w:type="dxa" w:w="2479"/>
          </w:tcPr>
          <w:p>
            <w:pPr>
              <w:jc w:val="left"/>
            </w:pPr>
            <w:r>
              <w:rPr>
                <w:sz w:val="17"/>
              </w:rPr>
              <w:t>Decoder SSH/firewall</w:t>
            </w:r>
          </w:p>
        </w:tc>
        <w:tc>
          <w:tcPr>
            <w:tcW w:type="dxa" w:w="2479"/>
          </w:tcPr>
          <w:p>
            <w:pPr>
              <w:jc w:val="left"/>
            </w:pPr>
            <w:r>
              <w:rPr>
                <w:sz w:val="17"/>
              </w:rPr>
              <w:t>Alta cuando existe decoder</w:t>
            </w:r>
          </w:p>
        </w:tc>
        <w:tc>
          <w:tcPr>
            <w:tcW w:type="dxa" w:w="2479"/>
          </w:tcPr>
          <w:p>
            <w:pPr>
              <w:jc w:val="left"/>
            </w:pPr>
            <w:r>
              <w:rPr>
                <w:sz w:val="17"/>
              </w:rPr>
              <w:t>Validar IP y normalizar</w:t>
            </w:r>
          </w:p>
        </w:tc>
      </w:tr>
      <w:tr>
        <w:tc>
          <w:tcPr>
            <w:tcW w:type="dxa" w:w="2479"/>
          </w:tcPr>
          <w:p>
            <w:pPr>
              <w:jc w:val="left"/>
            </w:pPr>
            <w:r>
              <w:rPr>
                <w:sz w:val="17"/>
              </w:rPr>
              <w:t>targetUserName</w:t>
            </w:r>
          </w:p>
        </w:tc>
        <w:tc>
          <w:tcPr>
            <w:tcW w:type="dxa" w:w="2479"/>
          </w:tcPr>
          <w:p>
            <w:pPr>
              <w:jc w:val="left"/>
            </w:pPr>
            <w:r>
              <w:rPr>
                <w:sz w:val="17"/>
              </w:rPr>
              <w:t>Windows EventChannel</w:t>
            </w:r>
          </w:p>
        </w:tc>
        <w:tc>
          <w:tcPr>
            <w:tcW w:type="dxa" w:w="2479"/>
          </w:tcPr>
          <w:p>
            <w:pPr>
              <w:jc w:val="left"/>
            </w:pPr>
            <w:r>
              <w:rPr>
                <w:sz w:val="17"/>
              </w:rPr>
              <w:t>Alta con auditoría</w:t>
            </w:r>
          </w:p>
        </w:tc>
        <w:tc>
          <w:tcPr>
            <w:tcW w:type="dxa" w:w="2479"/>
          </w:tcPr>
          <w:p>
            <w:pPr>
              <w:jc w:val="left"/>
            </w:pPr>
            <w:r>
              <w:rPr>
                <w:sz w:val="17"/>
              </w:rPr>
              <w:t>Filtrar cuentas de máquina</w:t>
            </w:r>
          </w:p>
        </w:tc>
      </w:tr>
      <w:tr>
        <w:tc>
          <w:tcPr>
            <w:tcW w:type="dxa" w:w="2479"/>
          </w:tcPr>
          <w:p>
            <w:pPr>
              <w:jc w:val="left"/>
            </w:pPr>
            <w:r>
              <w:rPr>
                <w:sz w:val="17"/>
              </w:rPr>
              <w:t>logonType</w:t>
            </w:r>
          </w:p>
        </w:tc>
        <w:tc>
          <w:tcPr>
            <w:tcW w:type="dxa" w:w="2479"/>
          </w:tcPr>
          <w:p>
            <w:pPr>
              <w:jc w:val="left"/>
            </w:pPr>
            <w:r>
              <w:rPr>
                <w:sz w:val="17"/>
              </w:rPr>
              <w:t>Windows</w:t>
            </w:r>
          </w:p>
        </w:tc>
        <w:tc>
          <w:tcPr>
            <w:tcW w:type="dxa" w:w="2479"/>
          </w:tcPr>
          <w:p>
            <w:pPr>
              <w:jc w:val="left"/>
            </w:pPr>
            <w:r>
              <w:rPr>
                <w:sz w:val="17"/>
              </w:rPr>
              <w:t>Alta</w:t>
            </w:r>
          </w:p>
        </w:tc>
        <w:tc>
          <w:tcPr>
            <w:tcW w:type="dxa" w:w="2479"/>
          </w:tcPr>
          <w:p>
            <w:pPr>
              <w:jc w:val="left"/>
            </w:pPr>
            <w:r>
              <w:rPr>
                <w:sz w:val="17"/>
              </w:rPr>
              <w:t>Traducir 3=red, 10=RDP</w:t>
            </w:r>
          </w:p>
        </w:tc>
      </w:tr>
      <w:tr>
        <w:tc>
          <w:tcPr>
            <w:tcW w:type="dxa" w:w="2479"/>
          </w:tcPr>
          <w:p>
            <w:pPr>
              <w:jc w:val="left"/>
            </w:pPr>
            <w:r>
              <w:rPr>
                <w:sz w:val="17"/>
              </w:rPr>
              <w:t>syscheck.diff</w:t>
            </w:r>
          </w:p>
        </w:tc>
        <w:tc>
          <w:tcPr>
            <w:tcW w:type="dxa" w:w="2479"/>
          </w:tcPr>
          <w:p>
            <w:pPr>
              <w:jc w:val="left"/>
            </w:pPr>
            <w:r>
              <w:rPr>
                <w:sz w:val="17"/>
              </w:rPr>
              <w:t>FIM</w:t>
            </w:r>
          </w:p>
        </w:tc>
        <w:tc>
          <w:tcPr>
            <w:tcW w:type="dxa" w:w="2479"/>
          </w:tcPr>
          <w:p>
            <w:pPr>
              <w:jc w:val="left"/>
            </w:pPr>
            <w:r>
              <w:rPr>
                <w:sz w:val="17"/>
              </w:rPr>
              <w:t>Variable y sensible</w:t>
            </w:r>
          </w:p>
        </w:tc>
        <w:tc>
          <w:tcPr>
            <w:tcW w:type="dxa" w:w="2479"/>
          </w:tcPr>
          <w:p>
            <w:pPr>
              <w:jc w:val="left"/>
            </w:pPr>
            <w:r>
              <w:rPr>
                <w:sz w:val="17"/>
              </w:rPr>
              <w:t>No enviar sin sanitizar</w:t>
            </w:r>
          </w:p>
        </w:tc>
      </w:tr>
      <w:tr>
        <w:tc>
          <w:tcPr>
            <w:tcW w:type="dxa" w:w="2479"/>
          </w:tcPr>
          <w:p>
            <w:pPr>
              <w:jc w:val="left"/>
            </w:pPr>
            <w:r>
              <w:rPr>
                <w:sz w:val="17"/>
              </w:rPr>
              <w:t>vulnerability.cve</w:t>
            </w:r>
          </w:p>
        </w:tc>
        <w:tc>
          <w:tcPr>
            <w:tcW w:type="dxa" w:w="2479"/>
          </w:tcPr>
          <w:p>
            <w:pPr>
              <w:jc w:val="left"/>
            </w:pPr>
            <w:r>
              <w:rPr>
                <w:sz w:val="17"/>
              </w:rPr>
              <w:t>Vulnerability Detector</w:t>
            </w:r>
          </w:p>
        </w:tc>
        <w:tc>
          <w:tcPr>
            <w:tcW w:type="dxa" w:w="2479"/>
          </w:tcPr>
          <w:p>
            <w:pPr>
              <w:jc w:val="left"/>
            </w:pPr>
            <w:r>
              <w:rPr>
                <w:sz w:val="17"/>
              </w:rPr>
              <w:t>Alta</w:t>
            </w:r>
          </w:p>
        </w:tc>
        <w:tc>
          <w:tcPr>
            <w:tcW w:type="dxa" w:w="2479"/>
          </w:tcPr>
          <w:p>
            <w:pPr>
              <w:jc w:val="left"/>
            </w:pPr>
            <w:r>
              <w:rPr>
                <w:sz w:val="17"/>
              </w:rPr>
              <w:t>Normalizar formato CVE</w:t>
            </w:r>
          </w:p>
        </w:tc>
      </w:tr>
      <w:tr>
        <w:tc>
          <w:tcPr>
            <w:tcW w:type="dxa" w:w="2479"/>
          </w:tcPr>
          <w:p>
            <w:pPr>
              <w:jc w:val="left"/>
            </w:pPr>
            <w:r>
              <w:rPr>
                <w:sz w:val="17"/>
              </w:rPr>
              <w:t>virustotal.positives</w:t>
            </w:r>
          </w:p>
        </w:tc>
        <w:tc>
          <w:tcPr>
            <w:tcW w:type="dxa" w:w="2479"/>
          </w:tcPr>
          <w:p>
            <w:pPr>
              <w:jc w:val="left"/>
            </w:pPr>
            <w:r>
              <w:rPr>
                <w:sz w:val="17"/>
              </w:rPr>
              <w:t>Integración VT</w:t>
            </w:r>
          </w:p>
        </w:tc>
        <w:tc>
          <w:tcPr>
            <w:tcW w:type="dxa" w:w="2479"/>
          </w:tcPr>
          <w:p>
            <w:pPr>
              <w:jc w:val="left"/>
            </w:pPr>
            <w:r>
              <w:rPr>
                <w:sz w:val="17"/>
              </w:rPr>
              <w:t>Depende del proveedor</w:t>
            </w:r>
          </w:p>
        </w:tc>
        <w:tc>
          <w:tcPr>
            <w:tcW w:type="dxa" w:w="2479"/>
          </w:tcPr>
          <w:p>
            <w:pPr>
              <w:jc w:val="left"/>
            </w:pPr>
            <w:r>
              <w:rPr>
                <w:sz w:val="17"/>
              </w:rPr>
              <w:t>Registrar fecha y fuente</w:t>
            </w:r>
          </w:p>
        </w:tc>
      </w:tr>
      <w:tr>
        <w:tc>
          <w:tcPr>
            <w:tcW w:type="dxa" w:w="2479"/>
          </w:tcPr>
          <w:p>
            <w:pPr>
              <w:jc w:val="left"/>
            </w:pPr>
            <w:r>
              <w:rPr>
                <w:sz w:val="17"/>
              </w:rPr>
              <w:t>commandLine</w:t>
            </w:r>
          </w:p>
        </w:tc>
        <w:tc>
          <w:tcPr>
            <w:tcW w:type="dxa" w:w="2479"/>
          </w:tcPr>
          <w:p>
            <w:pPr>
              <w:jc w:val="left"/>
            </w:pPr>
            <w:r>
              <w:rPr>
                <w:sz w:val="17"/>
              </w:rPr>
              <w:t>Sysmon</w:t>
            </w:r>
          </w:p>
        </w:tc>
        <w:tc>
          <w:tcPr>
            <w:tcW w:type="dxa" w:w="2479"/>
          </w:tcPr>
          <w:p>
            <w:pPr>
              <w:jc w:val="left"/>
            </w:pPr>
            <w:r>
              <w:rPr>
                <w:sz w:val="17"/>
              </w:rPr>
              <w:t>Alta pero sensible</w:t>
            </w:r>
          </w:p>
        </w:tc>
        <w:tc>
          <w:tcPr>
            <w:tcW w:type="dxa" w:w="2479"/>
          </w:tcPr>
          <w:p>
            <w:pPr>
              <w:jc w:val="left"/>
            </w:pPr>
            <w:r>
              <w:rPr>
                <w:sz w:val="17"/>
              </w:rPr>
              <w:t>Redactar secretos</w:t>
            </w:r>
          </w:p>
        </w:tc>
      </w:tr>
      <w:tr>
        <w:tc>
          <w:tcPr>
            <w:tcW w:type="dxa" w:w="2479"/>
          </w:tcPr>
          <w:p>
            <w:pPr>
              <w:jc w:val="left"/>
            </w:pPr>
            <w:r>
              <w:rPr>
                <w:sz w:val="17"/>
              </w:rPr>
              <w:t>targetGroupName</w:t>
            </w:r>
          </w:p>
        </w:tc>
        <w:tc>
          <w:tcPr>
            <w:tcW w:type="dxa" w:w="2479"/>
          </w:tcPr>
          <w:p>
            <w:pPr>
              <w:jc w:val="left"/>
            </w:pPr>
            <w:r>
              <w:rPr>
                <w:sz w:val="17"/>
              </w:rPr>
              <w:t>AD</w:t>
            </w:r>
          </w:p>
        </w:tc>
        <w:tc>
          <w:tcPr>
            <w:tcW w:type="dxa" w:w="2479"/>
          </w:tcPr>
          <w:p>
            <w:pPr>
              <w:jc w:val="left"/>
            </w:pPr>
            <w:r>
              <w:rPr>
                <w:sz w:val="17"/>
              </w:rPr>
              <w:t>Depende de auditoría</w:t>
            </w:r>
          </w:p>
        </w:tc>
        <w:tc>
          <w:tcPr>
            <w:tcW w:type="dxa" w:w="2479"/>
          </w:tcPr>
          <w:p>
            <w:pPr>
              <w:jc w:val="left"/>
            </w:pPr>
            <w:r>
              <w:rPr>
                <w:sz w:val="17"/>
              </w:rPr>
              <w:t>Resolver o marcar ausente</w:t>
            </w:r>
          </w:p>
        </w:tc>
      </w:tr>
    </w:tbl>
    <w:p/>
    <w:p>
      <w:pPr>
        <w:jc w:val="both"/>
      </w:pPr>
      <w:r>
        <w:t>La matriz debe mantenerse como un artefacto vivo. Durante onboarding se recopilan ejemplos reales y se verifica qué campos aparecen. Un campo documentado como posible no debe tratarse como obligatorio hasta comprobarlo.</w:t>
      </w:r>
    </w:p>
    <w:p>
      <w:pPr>
        <w:pStyle w:val="Heading1"/>
      </w:pPr>
      <w:r>
        <w:t>15. Reglas para incorporar una nueva familia</w:t>
      </w:r>
    </w:p>
    <w:p>
      <w:pPr>
        <w:pStyle w:val="ListBullet"/>
        <w:jc w:val="left"/>
      </w:pPr>
      <w:r>
        <w:t>Identificar la fuente y confirmar si existe decoder nativo.</w:t>
      </w:r>
    </w:p>
    <w:p>
      <w:pPr>
        <w:pStyle w:val="ListBullet"/>
        <w:jc w:val="left"/>
      </w:pPr>
      <w:r>
        <w:t>Definir el case type y el objetivo de negocio antes del rule_id.</w:t>
      </w:r>
    </w:p>
    <w:p>
      <w:pPr>
        <w:pStyle w:val="ListBullet"/>
        <w:jc w:val="left"/>
      </w:pPr>
      <w:r>
        <w:t>Seleccionar campos necesarios y sus limitaciones.</w:t>
      </w:r>
    </w:p>
    <w:p>
      <w:pPr>
        <w:pStyle w:val="ListBullet"/>
        <w:jc w:val="left"/>
      </w:pPr>
      <w:r>
        <w:t>Decidir routing, fingerprint sugerido y cambio material.</w:t>
      </w:r>
    </w:p>
    <w:p>
      <w:pPr>
        <w:pStyle w:val="ListBullet"/>
        <w:jc w:val="left"/>
      </w:pPr>
      <w:r>
        <w:t>Crear fixtures representativos cuando sea técnicamente válido.</w:t>
      </w:r>
    </w:p>
    <w:p>
      <w:pPr>
        <w:pStyle w:val="ListBullet"/>
        <w:jc w:val="left"/>
      </w:pPr>
      <w:r>
        <w:t>Registrar expected result y estado de validación.</w:t>
      </w:r>
    </w:p>
    <w:p>
      <w:pPr>
        <w:pStyle w:val="ListBullet"/>
        <w:jc w:val="left"/>
      </w:pPr>
      <w:r>
        <w:t>Ejecutar shadow mode y medir volumen y falsos positivos.</w:t>
      </w:r>
    </w:p>
    <w:p>
      <w:pPr>
        <w:pStyle w:val="ListBullet"/>
        <w:jc w:val="left"/>
      </w:pPr>
      <w:r>
        <w:t>Actualizar diccionario de campos, procedimientos y outputs.</w:t>
      </w:r>
    </w:p>
    <w:p>
      <w:pPr>
        <w:jc w:val="both"/>
      </w:pPr>
      <w:r>
        <w:t>Este proceso evita agregar reglas que producen alertas sin un consumidor claro. Una detección no debe incorporarse al conjunto productivo hasta definir cómo se convierte en caso y qué acción genera.</w:t>
      </w:r>
    </w:p>
    <w:sectPr w:rsidR="00FC693F" w:rsidRPr="0006063C" w:rsidSect="00034616">
      <w:headerReference w:type="default" r:id="rId9"/>
      <w:footerReference w:type="default" r:id="rId10"/>
      <w:pgSz w:w="12240" w:h="15840"/>
      <w:pgMar w:top="1020" w:right="1134"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Versión documental 2.0 | 22 de julio de 2026 | </w:t>
    </w: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KRIPTOME MINISOC | DETECCIÓN Y ENRIQUECIMIENTO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3854"/>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E54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38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Liberation Sans" w:hAnsi="Liberation Sans"/>
      <w:b w:val="0"/>
      <w:i/>
      <w:iCs/>
      <w:color w:val="55555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