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54"/>
          <w:sz w:val="38"/>
        </w:rPr>
        <w:br/>
        <w:t>KRIPTOME MINISOC</w:t>
        <w:br/>
      </w:r>
    </w:p>
    <w:p>
      <w:pPr>
        <w:jc w:val="center"/>
      </w:pPr>
      <w:r>
        <w:rPr>
          <w:b/>
          <w:color w:val="1F3854"/>
          <w:sz w:val="50"/>
        </w:rPr>
        <w:t>Modelo Operativo del MiniSOC y Comunicación con el Cliente</w:t>
      </w:r>
    </w:p>
    <w:p>
      <w:pPr>
        <w:jc w:val="center"/>
      </w:pPr>
      <w:r>
        <w:rPr>
          <w:i/>
          <w:sz w:val="24"/>
        </w:rPr>
        <w:t>Procesos, roles, SLA, comunicaciones y seguimiento de casos</w:t>
      </w:r>
    </w:p>
    <w:p/>
    <w:tbl>
      <w:tblPr>
        <w:tblStyle w:val="TableGrid"/>
        <w:tblW w:type="auto" w:w="0"/>
        <w:jc w:val="center"/>
        <w:tblLook w:firstColumn="1" w:firstRow="1" w:lastColumn="0" w:lastRow="0" w:noHBand="0" w:noVBand="1" w:val="04A0"/>
      </w:tblPr>
      <w:tblGrid>
        <w:gridCol w:w="4957"/>
        <w:gridCol w:w="4957"/>
      </w:tblGrid>
      <w:tr>
        <w:tc>
          <w:tcPr>
            <w:tcW w:type="dxa" w:w="4957"/>
            <w:shd w:fill="D9E2F3"/>
            <w:vAlign w:val="center"/>
          </w:tcPr>
          <w:p>
            <w:r>
              <w:rPr>
                <w:b/>
              </w:rPr>
              <w:t>Proyecto</w:t>
            </w:r>
          </w:p>
        </w:tc>
        <w:tc>
          <w:tcPr>
            <w:tcW w:type="dxa" w:w="4957"/>
            <w:vAlign w:val="center"/>
          </w:tcPr>
          <w:p>
            <w:r>
              <w:t>Kriptome MiniSOC</w:t>
            </w:r>
          </w:p>
        </w:tc>
      </w:tr>
      <w:tr>
        <w:tc>
          <w:tcPr>
            <w:tcW w:type="dxa" w:w="4957"/>
            <w:shd w:fill="D9E2F3"/>
            <w:vAlign w:val="center"/>
          </w:tcPr>
          <w:p>
            <w:r>
              <w:rPr>
                <w:b/>
              </w:rPr>
              <w:t>Repositorio base</w:t>
            </w:r>
          </w:p>
        </w:tc>
        <w:tc>
          <w:tcPr>
            <w:tcW w:type="dxa" w:w="4957"/>
            <w:vAlign w:val="center"/>
          </w:tcPr>
          <w:p>
            <w:r>
              <w:t>Repositorio v1.2.0 — commit ab772d198719</w:t>
            </w:r>
          </w:p>
        </w:tc>
      </w:tr>
      <w:tr>
        <w:tc>
          <w:tcPr>
            <w:tcW w:type="dxa" w:w="4957"/>
            <w:shd w:fill="D9E2F3"/>
            <w:vAlign w:val="center"/>
          </w:tcPr>
          <w:p>
            <w:r>
              <w:rPr>
                <w:b/>
              </w:rPr>
              <w:t>Estado</w:t>
            </w:r>
          </w:p>
        </w:tc>
        <w:tc>
          <w:tcPr>
            <w:tcW w:type="dxa" w:w="4957"/>
            <w:vAlign w:val="center"/>
          </w:tcPr>
          <w:p>
            <w:r>
              <w:t>Diseño técnico consolidado; implementación de la aplicación pendiente</w:t>
            </w:r>
          </w:p>
        </w:tc>
      </w:tr>
      <w:tr>
        <w:tc>
          <w:tcPr>
            <w:tcW w:type="dxa" w:w="4957"/>
            <w:shd w:fill="D9E2F3"/>
            <w:vAlign w:val="center"/>
          </w:tcPr>
          <w:p>
            <w:r>
              <w:rPr>
                <w:b/>
              </w:rPr>
              <w:t>Audiencia</w:t>
            </w:r>
          </w:p>
        </w:tc>
        <w:tc>
          <w:tcPr>
            <w:tcW w:type="dxa" w:w="4957"/>
            <w:vAlign w:val="center"/>
          </w:tcPr>
          <w:p>
            <w:r>
              <w:t>Jefatura, operaciones SOC, soporte, producto y responsables del cliente</w:t>
            </w:r>
          </w:p>
        </w:tc>
      </w:tr>
      <w:tr>
        <w:tc>
          <w:tcPr>
            <w:tcW w:type="dxa" w:w="4957"/>
            <w:shd w:fill="D9E2F3"/>
            <w:vAlign w:val="center"/>
          </w:tcPr>
          <w:p>
            <w:r>
              <w:rPr>
                <w:b/>
              </w:rPr>
              <w:t>Versión</w:t>
            </w:r>
          </w:p>
        </w:tc>
        <w:tc>
          <w:tcPr>
            <w:tcW w:type="dxa" w:w="4957"/>
            <w:vAlign w:val="center"/>
          </w:tcPr>
          <w:p>
            <w:r>
              <w:t>Versión documental 2.0</w:t>
            </w:r>
          </w:p>
        </w:tc>
      </w:tr>
      <w:tr>
        <w:tc>
          <w:tcPr>
            <w:tcW w:type="dxa" w:w="4957"/>
            <w:shd w:fill="D9E2F3"/>
            <w:vAlign w:val="center"/>
          </w:tcPr>
          <w:p>
            <w:r>
              <w:rPr>
                <w:b/>
              </w:rPr>
              <w:t>Fecha</w:t>
            </w:r>
          </w:p>
        </w:tc>
        <w:tc>
          <w:tcPr>
            <w:tcW w:type="dxa" w:w="4957"/>
            <w:vAlign w:val="center"/>
          </w:tcPr>
          <w:p>
            <w:r>
              <w:t>22 de julio de 2026</w:t>
            </w:r>
          </w:p>
        </w:tc>
      </w:tr>
    </w:tbl>
    <w:p>
      <w:pPr>
        <w:jc w:val="center"/>
      </w:pPr>
      <w:r>
        <w:rPr>
          <w:i/>
        </w:rPr>
        <w:br/>
        <w:t>Documento elaborado a partir de los artefactos existentes en el repositorio. Las capacidades no implementadas se identifican expresamente como diseño o pendiente.</w:t>
      </w:r>
    </w:p>
    <w:p>
      <w:r>
        <w:br w:type="page"/>
      </w:r>
    </w:p>
    <w:p>
      <w:pPr>
        <w:pStyle w:val="Heading1"/>
      </w:pPr>
      <w:r>
        <w:t>Contenido</w:t>
      </w:r>
    </w:p>
    <w:p>
      <w:pPr>
        <w:spacing w:after="40"/>
      </w:pPr>
      <w:r>
        <w:rPr>
          <w:b/>
        </w:rPr>
        <w:t>1. Propósito del modelo operativo</w:t>
      </w:r>
    </w:p>
    <w:p>
      <w:pPr>
        <w:spacing w:after="40"/>
      </w:pPr>
      <w:r>
        <w:rPr>
          <w:b/>
        </w:rPr>
        <w:t>2. Roles y responsabilidades</w:t>
      </w:r>
    </w:p>
    <w:p>
      <w:pPr>
        <w:spacing w:after="40"/>
      </w:pPr>
      <w:r>
        <w:rPr>
          <w:b/>
        </w:rPr>
        <w:t>3. Ciclo diario</w:t>
      </w:r>
    </w:p>
    <w:p>
      <w:pPr>
        <w:spacing w:after="40"/>
      </w:pPr>
      <w:r>
        <w:rPr>
          <w:b/>
        </w:rPr>
        <w:t>4. Colas y priorización</w:t>
      </w:r>
    </w:p>
    <w:p>
      <w:pPr>
        <w:spacing w:after="40"/>
      </w:pPr>
      <w:r>
        <w:rPr>
          <w:b/>
        </w:rPr>
        <w:t>5. SLA y escalamiento</w:t>
      </w:r>
    </w:p>
    <w:p>
      <w:pPr>
        <w:spacing w:after="40"/>
      </w:pPr>
      <w:r>
        <w:rPr>
          <w:b/>
        </w:rPr>
        <w:t>6. Revisión humana</w:t>
      </w:r>
    </w:p>
    <w:p>
      <w:pPr>
        <w:spacing w:after="40"/>
      </w:pPr>
      <w:r>
        <w:rPr>
          <w:b/>
        </w:rPr>
        <w:t>7. Comunicación con el cliente</w:t>
      </w:r>
    </w:p>
    <w:p>
      <w:pPr>
        <w:spacing w:after="40"/>
      </w:pPr>
      <w:r>
        <w:rPr>
          <w:b/>
        </w:rPr>
        <w:t>8. Respuesta del cliente</w:t>
      </w:r>
    </w:p>
    <w:p>
      <w:pPr>
        <w:spacing w:after="40"/>
      </w:pPr>
      <w:r>
        <w:rPr>
          <w:b/>
        </w:rPr>
        <w:t>9. Falsos positivos y tuning</w:t>
      </w:r>
    </w:p>
    <w:p>
      <w:pPr>
        <w:spacing w:after="40"/>
      </w:pPr>
      <w:r>
        <w:rPr>
          <w:b/>
        </w:rPr>
        <w:t>10. Digest y reportes</w:t>
      </w:r>
    </w:p>
    <w:p>
      <w:pPr>
        <w:spacing w:after="40"/>
      </w:pPr>
      <w:r>
        <w:rPr>
          <w:b/>
        </w:rPr>
        <w:t>11. Cierre y reapertura</w:t>
      </w:r>
    </w:p>
    <w:p>
      <w:pPr>
        <w:spacing w:after="40"/>
      </w:pPr>
      <w:r>
        <w:rPr>
          <w:b/>
        </w:rPr>
        <w:t>12. Operación de la plataforma</w:t>
      </w:r>
    </w:p>
    <w:p>
      <w:pPr>
        <w:spacing w:after="40"/>
      </w:pPr>
      <w:r>
        <w:rPr>
          <w:b/>
        </w:rPr>
        <w:t>13. Capacidad y costos humanos</w:t>
      </w:r>
    </w:p>
    <w:p>
      <w:r>
        <w:br w:type="page"/>
      </w:r>
    </w:p>
    <w:p>
      <w:pPr>
        <w:pStyle w:val="Heading1"/>
      </w:pPr>
      <w:r>
        <w:t>1. Propósito del modelo operativo</w:t>
      </w:r>
    </w:p>
    <w:p>
      <w:r>
        <w:t>La tecnología no constituye por sí sola un servicio MiniSOC. El modelo operativo define quién revisa, quién comunica, qué plazo aplica y cómo se cierra un caso. Kriptome automatiza clasificación y redacción, pero necesita reglas operativas para evitar que los casos queden sin dueño o que el cliente reciba mensajes sin seguimiento.</w:t>
      </w:r>
    </w:p>
    <w:p>
      <w:r>
        <w:t>El piloto debe ser compatible con la capacidad real del equipo. La plataforma puede monitorear continuamente, pero la revisión humana solo puede prometerse durante los horarios y guardias disponibles. El SLA debe diferenciar procesamiento automático, notificación y respuesta humana.</w:t>
      </w:r>
    </w:p>
    <w:p>
      <w:pPr>
        <w:pStyle w:val="Heading1"/>
      </w:pPr>
      <w:r>
        <w:t>2. Roles y responsabilidades</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Rol</w:t>
            </w:r>
          </w:p>
        </w:tc>
        <w:tc>
          <w:tcPr>
            <w:tcW w:type="dxa" w:w="3305"/>
            <w:shd w:fill="D9E2F3"/>
          </w:tcPr>
          <w:p>
            <w:r>
              <w:rPr>
                <w:b/>
                <w:sz w:val="17"/>
              </w:rPr>
              <w:t>Responsabilidades principales</w:t>
            </w:r>
          </w:p>
        </w:tc>
        <w:tc>
          <w:tcPr>
            <w:tcW w:type="dxa" w:w="3305"/>
            <w:shd w:fill="D9E2F3"/>
          </w:tcPr>
          <w:p>
            <w:r>
              <w:rPr>
                <w:b/>
                <w:sz w:val="17"/>
              </w:rPr>
              <w:t>No debería hacer</w:t>
            </w:r>
          </w:p>
        </w:tc>
      </w:tr>
      <w:tr>
        <w:tc>
          <w:tcPr>
            <w:tcW w:type="dxa" w:w="3305"/>
            <w:vAlign w:val="top"/>
          </w:tcPr>
          <w:p>
            <w:pPr>
              <w:jc w:val="left"/>
            </w:pPr>
            <w:r>
              <w:rPr>
                <w:sz w:val="17"/>
              </w:rPr>
              <w:t>Operador SOC</w:t>
            </w:r>
          </w:p>
        </w:tc>
        <w:tc>
          <w:tcPr>
            <w:tcW w:type="dxa" w:w="3305"/>
            <w:vAlign w:val="top"/>
          </w:tcPr>
          <w:p>
            <w:pPr>
              <w:jc w:val="left"/>
            </w:pPr>
            <w:r>
              <w:rPr>
                <w:sz w:val="17"/>
              </w:rPr>
              <w:t>Supervisar colas, verificar evidencia, ejecutar checklist</w:t>
            </w:r>
          </w:p>
        </w:tc>
        <w:tc>
          <w:tcPr>
            <w:tcW w:type="dxa" w:w="3305"/>
            <w:vAlign w:val="top"/>
          </w:tcPr>
          <w:p>
            <w:pPr>
              <w:jc w:val="left"/>
            </w:pPr>
            <w:r>
              <w:rPr>
                <w:sz w:val="17"/>
              </w:rPr>
              <w:t>Modificar reglas sin control</w:t>
            </w:r>
          </w:p>
        </w:tc>
      </w:tr>
      <w:tr>
        <w:tc>
          <w:tcPr>
            <w:tcW w:type="dxa" w:w="3305"/>
            <w:vAlign w:val="top"/>
          </w:tcPr>
          <w:p>
            <w:pPr>
              <w:jc w:val="left"/>
            </w:pPr>
            <w:r>
              <w:rPr>
                <w:sz w:val="17"/>
              </w:rPr>
              <w:t>Analista</w:t>
            </w:r>
          </w:p>
        </w:tc>
        <w:tc>
          <w:tcPr>
            <w:tcW w:type="dxa" w:w="3305"/>
            <w:vAlign w:val="top"/>
          </w:tcPr>
          <w:p>
            <w:pPr>
              <w:jc w:val="left"/>
            </w:pPr>
            <w:r>
              <w:rPr>
                <w:sz w:val="17"/>
              </w:rPr>
              <w:t>Investigar, aprobar comunicaciones, escalar y cerrar</w:t>
            </w:r>
          </w:p>
        </w:tc>
        <w:tc>
          <w:tcPr>
            <w:tcW w:type="dxa" w:w="3305"/>
            <w:vAlign w:val="top"/>
          </w:tcPr>
          <w:p>
            <w:pPr>
              <w:jc w:val="left"/>
            </w:pPr>
            <w:r>
              <w:rPr>
                <w:sz w:val="17"/>
              </w:rPr>
              <w:t>Aceptar decisiones de IA sin revisar</w:t>
            </w:r>
          </w:p>
        </w:tc>
      </w:tr>
      <w:tr>
        <w:tc>
          <w:tcPr>
            <w:tcW w:type="dxa" w:w="3305"/>
            <w:vAlign w:val="top"/>
          </w:tcPr>
          <w:p>
            <w:pPr>
              <w:jc w:val="left"/>
            </w:pPr>
            <w:r>
              <w:rPr>
                <w:sz w:val="17"/>
              </w:rPr>
              <w:t>Administrador Kriptome</w:t>
            </w:r>
          </w:p>
        </w:tc>
        <w:tc>
          <w:tcPr>
            <w:tcW w:type="dxa" w:w="3305"/>
            <w:vAlign w:val="top"/>
          </w:tcPr>
          <w:p>
            <w:pPr>
              <w:jc w:val="left"/>
            </w:pPr>
            <w:r>
              <w:rPr>
                <w:sz w:val="17"/>
              </w:rPr>
              <w:t>Tenants, activos, usuarios, procedimientos</w:t>
            </w:r>
          </w:p>
        </w:tc>
        <w:tc>
          <w:tcPr>
            <w:tcW w:type="dxa" w:w="3305"/>
            <w:vAlign w:val="top"/>
          </w:tcPr>
          <w:p>
            <w:pPr>
              <w:jc w:val="left"/>
            </w:pPr>
            <w:r>
              <w:rPr>
                <w:sz w:val="17"/>
              </w:rPr>
              <w:t>Operar sin auditoría</w:t>
            </w:r>
          </w:p>
        </w:tc>
      </w:tr>
      <w:tr>
        <w:tc>
          <w:tcPr>
            <w:tcW w:type="dxa" w:w="3305"/>
            <w:vAlign w:val="top"/>
          </w:tcPr>
          <w:p>
            <w:pPr>
              <w:jc w:val="left"/>
            </w:pPr>
            <w:r>
              <w:rPr>
                <w:sz w:val="17"/>
              </w:rPr>
              <w:t>Ingeniería Wazuh</w:t>
            </w:r>
          </w:p>
        </w:tc>
        <w:tc>
          <w:tcPr>
            <w:tcW w:type="dxa" w:w="3305"/>
            <w:vAlign w:val="top"/>
          </w:tcPr>
          <w:p>
            <w:pPr>
              <w:jc w:val="left"/>
            </w:pPr>
            <w:r>
              <w:rPr>
                <w:sz w:val="17"/>
              </w:rPr>
              <w:t>Reglas, decoders, fixtures y tuning</w:t>
            </w:r>
          </w:p>
        </w:tc>
        <w:tc>
          <w:tcPr>
            <w:tcW w:type="dxa" w:w="3305"/>
            <w:vAlign w:val="top"/>
          </w:tcPr>
          <w:p>
            <w:pPr>
              <w:jc w:val="left"/>
            </w:pPr>
            <w:r>
              <w:rPr>
                <w:sz w:val="17"/>
              </w:rPr>
              <w:t>Crear lógica de negocio en XML</w:t>
            </w:r>
          </w:p>
        </w:tc>
      </w:tr>
      <w:tr>
        <w:tc>
          <w:tcPr>
            <w:tcW w:type="dxa" w:w="3305"/>
            <w:vAlign w:val="top"/>
          </w:tcPr>
          <w:p>
            <w:pPr>
              <w:jc w:val="left"/>
            </w:pPr>
            <w:r>
              <w:rPr>
                <w:sz w:val="17"/>
              </w:rPr>
              <w:t>Desarrollo</w:t>
            </w:r>
          </w:p>
        </w:tc>
        <w:tc>
          <w:tcPr>
            <w:tcW w:type="dxa" w:w="3305"/>
            <w:vAlign w:val="top"/>
          </w:tcPr>
          <w:p>
            <w:pPr>
              <w:jc w:val="left"/>
            </w:pPr>
            <w:r>
              <w:rPr>
                <w:sz w:val="17"/>
              </w:rPr>
              <w:t>Aplicación, workers, schemas y correcciones</w:t>
            </w:r>
          </w:p>
        </w:tc>
        <w:tc>
          <w:tcPr>
            <w:tcW w:type="dxa" w:w="3305"/>
            <w:vAlign w:val="top"/>
          </w:tcPr>
          <w:p>
            <w:pPr>
              <w:jc w:val="left"/>
            </w:pPr>
            <w:r>
              <w:rPr>
                <w:sz w:val="17"/>
              </w:rPr>
              <w:t>Cambiar políticas sin aprobación</w:t>
            </w:r>
          </w:p>
        </w:tc>
      </w:tr>
      <w:tr>
        <w:tc>
          <w:tcPr>
            <w:tcW w:type="dxa" w:w="3305"/>
            <w:vAlign w:val="top"/>
          </w:tcPr>
          <w:p>
            <w:pPr>
              <w:jc w:val="left"/>
            </w:pPr>
            <w:r>
              <w:rPr>
                <w:sz w:val="17"/>
              </w:rPr>
              <w:t>Infraestructura</w:t>
            </w:r>
          </w:p>
        </w:tc>
        <w:tc>
          <w:tcPr>
            <w:tcW w:type="dxa" w:w="3305"/>
            <w:vAlign w:val="top"/>
          </w:tcPr>
          <w:p>
            <w:pPr>
              <w:jc w:val="left"/>
            </w:pPr>
            <w:r>
              <w:rPr>
                <w:sz w:val="17"/>
              </w:rPr>
              <w:t>Disponibilidad, backups, secretos y monitoreo</w:t>
            </w:r>
          </w:p>
        </w:tc>
        <w:tc>
          <w:tcPr>
            <w:tcW w:type="dxa" w:w="3305"/>
            <w:vAlign w:val="top"/>
          </w:tcPr>
          <w:p>
            <w:pPr>
              <w:jc w:val="left"/>
            </w:pPr>
            <w:r>
              <w:rPr>
                <w:sz w:val="17"/>
              </w:rPr>
              <w:t>Acceder a datos sin necesidad</w:t>
            </w:r>
          </w:p>
        </w:tc>
      </w:tr>
      <w:tr>
        <w:tc>
          <w:tcPr>
            <w:tcW w:type="dxa" w:w="3305"/>
            <w:vAlign w:val="top"/>
          </w:tcPr>
          <w:p>
            <w:pPr>
              <w:jc w:val="left"/>
            </w:pPr>
            <w:r>
              <w:rPr>
                <w:sz w:val="17"/>
              </w:rPr>
              <w:t>Responsable técnico cliente</w:t>
            </w:r>
          </w:p>
        </w:tc>
        <w:tc>
          <w:tcPr>
            <w:tcW w:type="dxa" w:w="3305"/>
            <w:vAlign w:val="top"/>
          </w:tcPr>
          <w:p>
            <w:pPr>
              <w:jc w:val="left"/>
            </w:pPr>
            <w:r>
              <w:rPr>
                <w:sz w:val="17"/>
              </w:rPr>
              <w:t>Validar actividad y ejecutar acciones</w:t>
            </w:r>
          </w:p>
        </w:tc>
        <w:tc>
          <w:tcPr>
            <w:tcW w:type="dxa" w:w="3305"/>
            <w:vAlign w:val="top"/>
          </w:tcPr>
          <w:p>
            <w:pPr>
              <w:jc w:val="left"/>
            </w:pPr>
            <w:r>
              <w:rPr>
                <w:sz w:val="17"/>
              </w:rPr>
              <w:t>Ignorar plazos críticos</w:t>
            </w:r>
          </w:p>
        </w:tc>
      </w:tr>
      <w:tr>
        <w:tc>
          <w:tcPr>
            <w:tcW w:type="dxa" w:w="3305"/>
            <w:vAlign w:val="top"/>
          </w:tcPr>
          <w:p>
            <w:pPr>
              <w:jc w:val="left"/>
            </w:pPr>
            <w:r>
              <w:rPr>
                <w:sz w:val="17"/>
              </w:rPr>
              <w:t>Responsable de negocio</w:t>
            </w:r>
          </w:p>
        </w:tc>
        <w:tc>
          <w:tcPr>
            <w:tcW w:type="dxa" w:w="3305"/>
            <w:vAlign w:val="top"/>
          </w:tcPr>
          <w:p>
            <w:pPr>
              <w:jc w:val="left"/>
            </w:pPr>
            <w:r>
              <w:rPr>
                <w:sz w:val="17"/>
              </w:rPr>
              <w:t>Aceptar riesgo y priorizar servicios</w:t>
            </w:r>
          </w:p>
        </w:tc>
        <w:tc>
          <w:tcPr>
            <w:tcW w:type="dxa" w:w="3305"/>
            <w:vAlign w:val="top"/>
          </w:tcPr>
          <w:p>
            <w:pPr>
              <w:jc w:val="left"/>
            </w:pPr>
            <w:r>
              <w:rPr>
                <w:sz w:val="17"/>
              </w:rPr>
              <w:t>Tomar decisiones técnicas sin evidencia</w:t>
            </w:r>
          </w:p>
        </w:tc>
      </w:tr>
    </w:tbl>
    <w:p/>
    <w:p>
      <w:pPr>
        <w:pStyle w:val="Heading2"/>
      </w:pPr>
      <w:r>
        <w:t>2.1 Matriz RACI resumida</w:t>
      </w:r>
    </w:p>
    <w:tbl>
      <w:tblPr>
        <w:tblStyle w:val="TableGrid"/>
        <w:tblW w:type="auto" w:w="0"/>
        <w:jc w:val="center"/>
        <w:tblLook w:firstColumn="1" w:firstRow="1" w:lastColumn="0" w:lastRow="0" w:noHBand="0" w:noVBand="1" w:val="04A0"/>
      </w:tblPr>
      <w:tblGrid>
        <w:gridCol w:w="1652"/>
        <w:gridCol w:w="1652"/>
        <w:gridCol w:w="1652"/>
        <w:gridCol w:w="1652"/>
        <w:gridCol w:w="1652"/>
        <w:gridCol w:w="1652"/>
      </w:tblGrid>
      <w:tr>
        <w:trPr>
          <w:tblHeader w:val="true"/>
        </w:trPr>
        <w:tc>
          <w:tcPr>
            <w:tcW w:type="dxa" w:w="1652"/>
            <w:shd w:fill="D9E2F3"/>
          </w:tcPr>
          <w:p>
            <w:r>
              <w:rPr>
                <w:b/>
                <w:sz w:val="17"/>
              </w:rPr>
              <w:t>Actividad</w:t>
            </w:r>
          </w:p>
        </w:tc>
        <w:tc>
          <w:tcPr>
            <w:tcW w:type="dxa" w:w="1652"/>
            <w:shd w:fill="D9E2F3"/>
          </w:tcPr>
          <w:p>
            <w:r>
              <w:rPr>
                <w:b/>
                <w:sz w:val="17"/>
              </w:rPr>
              <w:t>SOC</w:t>
            </w:r>
          </w:p>
        </w:tc>
        <w:tc>
          <w:tcPr>
            <w:tcW w:type="dxa" w:w="1652"/>
            <w:shd w:fill="D9E2F3"/>
          </w:tcPr>
          <w:p>
            <w:r>
              <w:rPr>
                <w:b/>
                <w:sz w:val="17"/>
              </w:rPr>
              <w:t>Analista</w:t>
            </w:r>
          </w:p>
        </w:tc>
        <w:tc>
          <w:tcPr>
            <w:tcW w:type="dxa" w:w="1652"/>
            <w:shd w:fill="D9E2F3"/>
          </w:tcPr>
          <w:p>
            <w:r>
              <w:rPr>
                <w:b/>
                <w:sz w:val="17"/>
              </w:rPr>
              <w:t>Admin</w:t>
            </w:r>
          </w:p>
        </w:tc>
        <w:tc>
          <w:tcPr>
            <w:tcW w:type="dxa" w:w="1652"/>
            <w:shd w:fill="D9E2F3"/>
          </w:tcPr>
          <w:p>
            <w:r>
              <w:rPr>
                <w:b/>
                <w:sz w:val="17"/>
              </w:rPr>
              <w:t>Ingeniería</w:t>
            </w:r>
          </w:p>
        </w:tc>
        <w:tc>
          <w:tcPr>
            <w:tcW w:type="dxa" w:w="1652"/>
            <w:shd w:fill="D9E2F3"/>
          </w:tcPr>
          <w:p>
            <w:r>
              <w:rPr>
                <w:b/>
                <w:sz w:val="17"/>
              </w:rPr>
              <w:t>Cliente</w:t>
            </w:r>
          </w:p>
        </w:tc>
      </w:tr>
      <w:tr>
        <w:tc>
          <w:tcPr>
            <w:tcW w:type="dxa" w:w="1652"/>
            <w:vAlign w:val="top"/>
          </w:tcPr>
          <w:p>
            <w:pPr>
              <w:jc w:val="left"/>
            </w:pPr>
            <w:r>
              <w:rPr>
                <w:sz w:val="17"/>
              </w:rPr>
              <w:t>Alta de tenant/activo</w:t>
            </w:r>
          </w:p>
        </w:tc>
        <w:tc>
          <w:tcPr>
            <w:tcW w:type="dxa" w:w="1652"/>
            <w:vAlign w:val="top"/>
          </w:tcPr>
          <w:p>
            <w:pPr>
              <w:jc w:val="left"/>
            </w:pPr>
            <w:r>
              <w:rPr>
                <w:sz w:val="17"/>
              </w:rPr>
              <w:t>I</w:t>
            </w:r>
          </w:p>
        </w:tc>
        <w:tc>
          <w:tcPr>
            <w:tcW w:type="dxa" w:w="1652"/>
            <w:vAlign w:val="top"/>
          </w:tcPr>
          <w:p>
            <w:pPr>
              <w:jc w:val="left"/>
            </w:pPr>
            <w:r>
              <w:rPr>
                <w:sz w:val="17"/>
              </w:rPr>
              <w:t>C</w:t>
            </w:r>
          </w:p>
        </w:tc>
        <w:tc>
          <w:tcPr>
            <w:tcW w:type="dxa" w:w="1652"/>
            <w:vAlign w:val="top"/>
          </w:tcPr>
          <w:p>
            <w:pPr>
              <w:jc w:val="left"/>
            </w:pPr>
            <w:r>
              <w:rPr>
                <w:sz w:val="17"/>
              </w:rPr>
              <w:t>A/R</w:t>
            </w:r>
          </w:p>
        </w:tc>
        <w:tc>
          <w:tcPr>
            <w:tcW w:type="dxa" w:w="1652"/>
            <w:vAlign w:val="top"/>
          </w:tcPr>
          <w:p>
            <w:pPr>
              <w:jc w:val="left"/>
            </w:pPr>
            <w:r>
              <w:rPr>
                <w:sz w:val="17"/>
              </w:rPr>
              <w:t>C</w:t>
            </w:r>
          </w:p>
        </w:tc>
        <w:tc>
          <w:tcPr>
            <w:tcW w:type="dxa" w:w="1652"/>
            <w:vAlign w:val="top"/>
          </w:tcPr>
          <w:p>
            <w:pPr>
              <w:jc w:val="left"/>
            </w:pPr>
            <w:r>
              <w:rPr>
                <w:sz w:val="17"/>
              </w:rPr>
              <w:t>C</w:t>
            </w:r>
          </w:p>
        </w:tc>
      </w:tr>
      <w:tr>
        <w:tc>
          <w:tcPr>
            <w:tcW w:type="dxa" w:w="1652"/>
            <w:vAlign w:val="top"/>
          </w:tcPr>
          <w:p>
            <w:pPr>
              <w:jc w:val="left"/>
            </w:pPr>
            <w:r>
              <w:rPr>
                <w:sz w:val="17"/>
              </w:rPr>
              <w:t>Validación de regla</w:t>
            </w:r>
          </w:p>
        </w:tc>
        <w:tc>
          <w:tcPr>
            <w:tcW w:type="dxa" w:w="1652"/>
            <w:vAlign w:val="top"/>
          </w:tcPr>
          <w:p>
            <w:pPr>
              <w:jc w:val="left"/>
            </w:pPr>
            <w:r>
              <w:rPr>
                <w:sz w:val="17"/>
              </w:rPr>
              <w:t>C</w:t>
            </w:r>
          </w:p>
        </w:tc>
        <w:tc>
          <w:tcPr>
            <w:tcW w:type="dxa" w:w="1652"/>
            <w:vAlign w:val="top"/>
          </w:tcPr>
          <w:p>
            <w:pPr>
              <w:jc w:val="left"/>
            </w:pPr>
            <w:r>
              <w:rPr>
                <w:sz w:val="17"/>
              </w:rPr>
              <w:t>C</w:t>
            </w:r>
          </w:p>
        </w:tc>
        <w:tc>
          <w:tcPr>
            <w:tcW w:type="dxa" w:w="1652"/>
            <w:vAlign w:val="top"/>
          </w:tcPr>
          <w:p>
            <w:pPr>
              <w:jc w:val="left"/>
            </w:pPr>
            <w:r>
              <w:rPr>
                <w:sz w:val="17"/>
              </w:rPr>
              <w:t>I</w:t>
            </w:r>
          </w:p>
        </w:tc>
        <w:tc>
          <w:tcPr>
            <w:tcW w:type="dxa" w:w="1652"/>
            <w:vAlign w:val="top"/>
          </w:tcPr>
          <w:p>
            <w:pPr>
              <w:jc w:val="left"/>
            </w:pPr>
            <w:r>
              <w:rPr>
                <w:sz w:val="17"/>
              </w:rPr>
              <w:t>A/R</w:t>
            </w:r>
          </w:p>
        </w:tc>
        <w:tc>
          <w:tcPr>
            <w:tcW w:type="dxa" w:w="1652"/>
            <w:vAlign w:val="top"/>
          </w:tcPr>
          <w:p>
            <w:pPr>
              <w:jc w:val="left"/>
            </w:pPr>
            <w:r>
              <w:rPr>
                <w:sz w:val="17"/>
              </w:rPr>
              <w:t>I</w:t>
            </w:r>
          </w:p>
        </w:tc>
      </w:tr>
      <w:tr>
        <w:tc>
          <w:tcPr>
            <w:tcW w:type="dxa" w:w="1652"/>
            <w:vAlign w:val="top"/>
          </w:tcPr>
          <w:p>
            <w:pPr>
              <w:jc w:val="left"/>
            </w:pPr>
            <w:r>
              <w:rPr>
                <w:sz w:val="17"/>
              </w:rPr>
              <w:t>Revisión de caso crítico</w:t>
            </w:r>
          </w:p>
        </w:tc>
        <w:tc>
          <w:tcPr>
            <w:tcW w:type="dxa" w:w="1652"/>
            <w:vAlign w:val="top"/>
          </w:tcPr>
          <w:p>
            <w:pPr>
              <w:jc w:val="left"/>
            </w:pPr>
            <w:r>
              <w:rPr>
                <w:sz w:val="17"/>
              </w:rPr>
              <w:t>R</w:t>
            </w:r>
          </w:p>
        </w:tc>
        <w:tc>
          <w:tcPr>
            <w:tcW w:type="dxa" w:w="1652"/>
            <w:vAlign w:val="top"/>
          </w:tcPr>
          <w:p>
            <w:pPr>
              <w:jc w:val="left"/>
            </w:pPr>
            <w:r>
              <w:rPr>
                <w:sz w:val="17"/>
              </w:rPr>
              <w:t>A</w:t>
            </w:r>
          </w:p>
        </w:tc>
        <w:tc>
          <w:tcPr>
            <w:tcW w:type="dxa" w:w="1652"/>
            <w:vAlign w:val="top"/>
          </w:tcPr>
          <w:p>
            <w:pPr>
              <w:jc w:val="left"/>
            </w:pPr>
            <w:r>
              <w:rPr>
                <w:sz w:val="17"/>
              </w:rPr>
              <w:t>I</w:t>
            </w:r>
          </w:p>
        </w:tc>
        <w:tc>
          <w:tcPr>
            <w:tcW w:type="dxa" w:w="1652"/>
            <w:vAlign w:val="top"/>
          </w:tcPr>
          <w:p>
            <w:pPr>
              <w:jc w:val="left"/>
            </w:pPr>
            <w:r>
              <w:rPr>
                <w:sz w:val="17"/>
              </w:rPr>
              <w:t>C</w:t>
            </w:r>
          </w:p>
        </w:tc>
        <w:tc>
          <w:tcPr>
            <w:tcW w:type="dxa" w:w="1652"/>
            <w:vAlign w:val="top"/>
          </w:tcPr>
          <w:p>
            <w:pPr>
              <w:jc w:val="left"/>
            </w:pPr>
            <w:r>
              <w:rPr>
                <w:sz w:val="17"/>
              </w:rPr>
              <w:t>I</w:t>
            </w:r>
          </w:p>
        </w:tc>
      </w:tr>
      <w:tr>
        <w:tc>
          <w:tcPr>
            <w:tcW w:type="dxa" w:w="1652"/>
            <w:vAlign w:val="top"/>
          </w:tcPr>
          <w:p>
            <w:pPr>
              <w:jc w:val="left"/>
            </w:pPr>
            <w:r>
              <w:rPr>
                <w:sz w:val="17"/>
              </w:rPr>
              <w:t>Comunicación</w:t>
            </w:r>
          </w:p>
        </w:tc>
        <w:tc>
          <w:tcPr>
            <w:tcW w:type="dxa" w:w="1652"/>
            <w:vAlign w:val="top"/>
          </w:tcPr>
          <w:p>
            <w:pPr>
              <w:jc w:val="left"/>
            </w:pPr>
            <w:r>
              <w:rPr>
                <w:sz w:val="17"/>
              </w:rPr>
              <w:t>R</w:t>
            </w:r>
          </w:p>
        </w:tc>
        <w:tc>
          <w:tcPr>
            <w:tcW w:type="dxa" w:w="1652"/>
            <w:vAlign w:val="top"/>
          </w:tcPr>
          <w:p>
            <w:pPr>
              <w:jc w:val="left"/>
            </w:pPr>
            <w:r>
              <w:rPr>
                <w:sz w:val="17"/>
              </w:rPr>
              <w:t>A</w:t>
            </w:r>
          </w:p>
        </w:tc>
        <w:tc>
          <w:tcPr>
            <w:tcW w:type="dxa" w:w="1652"/>
            <w:vAlign w:val="top"/>
          </w:tcPr>
          <w:p>
            <w:pPr>
              <w:jc w:val="left"/>
            </w:pPr>
            <w:r>
              <w:rPr>
                <w:sz w:val="17"/>
              </w:rPr>
              <w:t>I</w:t>
            </w:r>
          </w:p>
        </w:tc>
        <w:tc>
          <w:tcPr>
            <w:tcW w:type="dxa" w:w="1652"/>
            <w:vAlign w:val="top"/>
          </w:tcPr>
          <w:p>
            <w:pPr>
              <w:jc w:val="left"/>
            </w:pPr>
            <w:r>
              <w:rPr>
                <w:sz w:val="17"/>
              </w:rPr>
              <w:t>I</w:t>
            </w:r>
          </w:p>
        </w:tc>
        <w:tc>
          <w:tcPr>
            <w:tcW w:type="dxa" w:w="1652"/>
            <w:vAlign w:val="top"/>
          </w:tcPr>
          <w:p>
            <w:pPr>
              <w:jc w:val="left"/>
            </w:pPr>
            <w:r>
              <w:rPr>
                <w:sz w:val="17"/>
              </w:rPr>
              <w:t>C</w:t>
            </w:r>
          </w:p>
        </w:tc>
      </w:tr>
      <w:tr>
        <w:tc>
          <w:tcPr>
            <w:tcW w:type="dxa" w:w="1652"/>
            <w:vAlign w:val="top"/>
          </w:tcPr>
          <w:p>
            <w:pPr>
              <w:jc w:val="left"/>
            </w:pPr>
            <w:r>
              <w:rPr>
                <w:sz w:val="17"/>
              </w:rPr>
              <w:t>Ejecución de remediación</w:t>
            </w:r>
          </w:p>
        </w:tc>
        <w:tc>
          <w:tcPr>
            <w:tcW w:type="dxa" w:w="1652"/>
            <w:vAlign w:val="top"/>
          </w:tcPr>
          <w:p>
            <w:pPr>
              <w:jc w:val="left"/>
            </w:pPr>
            <w:r>
              <w:rPr>
                <w:sz w:val="17"/>
              </w:rPr>
              <w:t>C</w:t>
            </w:r>
          </w:p>
        </w:tc>
        <w:tc>
          <w:tcPr>
            <w:tcW w:type="dxa" w:w="1652"/>
            <w:vAlign w:val="top"/>
          </w:tcPr>
          <w:p>
            <w:pPr>
              <w:jc w:val="left"/>
            </w:pPr>
            <w:r>
              <w:rPr>
                <w:sz w:val="17"/>
              </w:rPr>
              <w:t>C</w:t>
            </w:r>
          </w:p>
        </w:tc>
        <w:tc>
          <w:tcPr>
            <w:tcW w:type="dxa" w:w="1652"/>
            <w:vAlign w:val="top"/>
          </w:tcPr>
          <w:p>
            <w:pPr>
              <w:jc w:val="left"/>
            </w:pPr>
            <w:r>
              <w:rPr>
                <w:sz w:val="17"/>
              </w:rPr>
              <w:t>I</w:t>
            </w:r>
          </w:p>
        </w:tc>
        <w:tc>
          <w:tcPr>
            <w:tcW w:type="dxa" w:w="1652"/>
            <w:vAlign w:val="top"/>
          </w:tcPr>
          <w:p>
            <w:pPr>
              <w:jc w:val="left"/>
            </w:pPr>
            <w:r>
              <w:rPr>
                <w:sz w:val="17"/>
              </w:rPr>
              <w:t>I</w:t>
            </w:r>
          </w:p>
        </w:tc>
        <w:tc>
          <w:tcPr>
            <w:tcW w:type="dxa" w:w="1652"/>
            <w:vAlign w:val="top"/>
          </w:tcPr>
          <w:p>
            <w:pPr>
              <w:jc w:val="left"/>
            </w:pPr>
            <w:r>
              <w:rPr>
                <w:sz w:val="17"/>
              </w:rPr>
              <w:t>A/R</w:t>
            </w:r>
          </w:p>
        </w:tc>
      </w:tr>
      <w:tr>
        <w:tc>
          <w:tcPr>
            <w:tcW w:type="dxa" w:w="1652"/>
            <w:vAlign w:val="top"/>
          </w:tcPr>
          <w:p>
            <w:pPr>
              <w:jc w:val="left"/>
            </w:pPr>
            <w:r>
              <w:rPr>
                <w:sz w:val="17"/>
              </w:rPr>
              <w:t>Cierre</w:t>
            </w:r>
          </w:p>
        </w:tc>
        <w:tc>
          <w:tcPr>
            <w:tcW w:type="dxa" w:w="1652"/>
            <w:vAlign w:val="top"/>
          </w:tcPr>
          <w:p>
            <w:pPr>
              <w:jc w:val="left"/>
            </w:pPr>
            <w:r>
              <w:rPr>
                <w:sz w:val="17"/>
              </w:rPr>
              <w:t>R</w:t>
            </w:r>
          </w:p>
        </w:tc>
        <w:tc>
          <w:tcPr>
            <w:tcW w:type="dxa" w:w="1652"/>
            <w:vAlign w:val="top"/>
          </w:tcPr>
          <w:p>
            <w:pPr>
              <w:jc w:val="left"/>
            </w:pPr>
            <w:r>
              <w:rPr>
                <w:sz w:val="17"/>
              </w:rPr>
              <w:t>A</w:t>
            </w:r>
          </w:p>
        </w:tc>
        <w:tc>
          <w:tcPr>
            <w:tcW w:type="dxa" w:w="1652"/>
            <w:vAlign w:val="top"/>
          </w:tcPr>
          <w:p>
            <w:pPr>
              <w:jc w:val="left"/>
            </w:pPr>
            <w:r>
              <w:rPr>
                <w:sz w:val="17"/>
              </w:rPr>
              <w:t>I</w:t>
            </w:r>
          </w:p>
        </w:tc>
        <w:tc>
          <w:tcPr>
            <w:tcW w:type="dxa" w:w="1652"/>
            <w:vAlign w:val="top"/>
          </w:tcPr>
          <w:p>
            <w:pPr>
              <w:jc w:val="left"/>
            </w:pPr>
            <w:r>
              <w:rPr>
                <w:sz w:val="17"/>
              </w:rPr>
              <w:t>I</w:t>
            </w:r>
          </w:p>
        </w:tc>
        <w:tc>
          <w:tcPr>
            <w:tcW w:type="dxa" w:w="1652"/>
            <w:vAlign w:val="top"/>
          </w:tcPr>
          <w:p>
            <w:pPr>
              <w:jc w:val="left"/>
            </w:pPr>
            <w:r>
              <w:rPr>
                <w:sz w:val="17"/>
              </w:rPr>
              <w:t>C</w:t>
            </w:r>
          </w:p>
        </w:tc>
      </w:tr>
    </w:tbl>
    <w:p/>
    <w:p>
      <w:pPr>
        <w:pStyle w:val="Heading1"/>
      </w:pPr>
      <w:r>
        <w:t>3. Ciclo diario</w:t>
      </w:r>
    </w:p>
    <w:p>
      <w:r>
        <w:t>Al inicio del turno, el operador revisa la salud de la plataforma: cursor de ingesta, workers, errores, feeds, comunicaciones pendientes y agentes críticos. Luego revisa la cola de casos según prioridad y SLA. Los casos automáticos no reemplazan esta revisión; permiten concentrarla.</w:t>
      </w:r>
    </w:p>
    <w:p>
      <w:pPr>
        <w:pStyle w:val="ListNumber"/>
        <w:jc w:val="left"/>
      </w:pPr>
      <w:r>
        <w:t>Verificar salud del Manager, Indexer, aplicación, base de datos y conectores.</w:t>
      </w:r>
    </w:p>
    <w:p>
      <w:pPr>
        <w:pStyle w:val="ListNumber"/>
        <w:jc w:val="left"/>
      </w:pPr>
      <w:r>
        <w:t>Revisar casos críticos pendientes y SLA próximos a vencer.</w:t>
      </w:r>
    </w:p>
    <w:p>
      <w:pPr>
        <w:pStyle w:val="ListNumber"/>
        <w:jc w:val="left"/>
      </w:pPr>
      <w:r>
        <w:t>Analizar casos que requieren revisión humana.</w:t>
      </w:r>
    </w:p>
    <w:p>
      <w:pPr>
        <w:pStyle w:val="ListNumber"/>
        <w:jc w:val="left"/>
      </w:pPr>
      <w:r>
        <w:t>Validar o ajustar la comunicación.</w:t>
      </w:r>
    </w:p>
    <w:p>
      <w:pPr>
        <w:pStyle w:val="ListNumber"/>
        <w:jc w:val="left"/>
      </w:pPr>
      <w:r>
        <w:t>Enviar, registrar y hacer seguimiento.</w:t>
      </w:r>
    </w:p>
    <w:p>
      <w:pPr>
        <w:pStyle w:val="ListNumber"/>
        <w:jc w:val="left"/>
      </w:pPr>
      <w:r>
        <w:t>Revisar falsos positivos y patrones de ruido.</w:t>
      </w:r>
    </w:p>
    <w:p>
      <w:pPr>
        <w:pStyle w:val="ListNumber"/>
        <w:jc w:val="left"/>
      </w:pPr>
      <w:r>
        <w:t>Cerrar turno con handover y eventos pendientes.</w:t>
      </w:r>
    </w:p>
    <w:p>
      <w:pPr>
        <w:pStyle w:val="Heading1"/>
      </w:pPr>
      <w:r>
        <w:t>4. Colas y priorización</w:t>
      </w:r>
    </w:p>
    <w:p>
      <w:r>
        <w:t>Las colas deben separar casos críticos, pendientes de revisión, notificados sin respuesta, enriquecimientos fallidos y errores operativos. La prioridad se deriva del motor de riesgo, pero el SLA añade tiempo restante. Un caso alto cercano a vencer puede preceder a un caso crítico recién creado según las reglas de operación.</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Cola</w:t>
            </w:r>
          </w:p>
        </w:tc>
        <w:tc>
          <w:tcPr>
            <w:tcW w:type="dxa" w:w="3305"/>
            <w:shd w:fill="D9E2F3"/>
          </w:tcPr>
          <w:p>
            <w:r>
              <w:rPr>
                <w:b/>
                <w:sz w:val="17"/>
              </w:rPr>
              <w:t>Contenido</w:t>
            </w:r>
          </w:p>
        </w:tc>
        <w:tc>
          <w:tcPr>
            <w:tcW w:type="dxa" w:w="3305"/>
            <w:shd w:fill="D9E2F3"/>
          </w:tcPr>
          <w:p>
            <w:r>
              <w:rPr>
                <w:b/>
                <w:sz w:val="17"/>
              </w:rPr>
              <w:t>Acción</w:t>
            </w:r>
          </w:p>
        </w:tc>
      </w:tr>
      <w:tr>
        <w:tc>
          <w:tcPr>
            <w:tcW w:type="dxa" w:w="3305"/>
            <w:vAlign w:val="top"/>
          </w:tcPr>
          <w:p>
            <w:pPr>
              <w:jc w:val="left"/>
            </w:pPr>
            <w:r>
              <w:rPr>
                <w:sz w:val="17"/>
              </w:rPr>
              <w:t>Critical review</w:t>
            </w:r>
          </w:p>
        </w:tc>
        <w:tc>
          <w:tcPr>
            <w:tcW w:type="dxa" w:w="3305"/>
            <w:vAlign w:val="top"/>
          </w:tcPr>
          <w:p>
            <w:pPr>
              <w:jc w:val="left"/>
            </w:pPr>
            <w:r>
              <w:rPr>
                <w:sz w:val="17"/>
              </w:rPr>
              <w:t>Compromiso, malware, KEV crítico</w:t>
            </w:r>
          </w:p>
        </w:tc>
        <w:tc>
          <w:tcPr>
            <w:tcW w:type="dxa" w:w="3305"/>
            <w:vAlign w:val="top"/>
          </w:tcPr>
          <w:p>
            <w:pPr>
              <w:jc w:val="left"/>
            </w:pPr>
            <w:r>
              <w:rPr>
                <w:sz w:val="17"/>
              </w:rPr>
              <w:t>Revisión inmediata</w:t>
            </w:r>
          </w:p>
        </w:tc>
      </w:tr>
      <w:tr>
        <w:tc>
          <w:tcPr>
            <w:tcW w:type="dxa" w:w="3305"/>
            <w:vAlign w:val="top"/>
          </w:tcPr>
          <w:p>
            <w:pPr>
              <w:jc w:val="left"/>
            </w:pPr>
            <w:r>
              <w:rPr>
                <w:sz w:val="17"/>
              </w:rPr>
              <w:t>Pending review</w:t>
            </w:r>
          </w:p>
        </w:tc>
        <w:tc>
          <w:tcPr>
            <w:tcW w:type="dxa" w:w="3305"/>
            <w:vAlign w:val="top"/>
          </w:tcPr>
          <w:p>
            <w:pPr>
              <w:jc w:val="left"/>
            </w:pPr>
            <w:r>
              <w:rPr>
                <w:sz w:val="17"/>
              </w:rPr>
              <w:t>Ambiguos o de alto impacto</w:t>
            </w:r>
          </w:p>
        </w:tc>
        <w:tc>
          <w:tcPr>
            <w:tcW w:type="dxa" w:w="3305"/>
            <w:vAlign w:val="top"/>
          </w:tcPr>
          <w:p>
            <w:pPr>
              <w:jc w:val="left"/>
            </w:pPr>
            <w:r>
              <w:rPr>
                <w:sz w:val="17"/>
              </w:rPr>
              <w:t>Analista</w:t>
            </w:r>
          </w:p>
        </w:tc>
      </w:tr>
      <w:tr>
        <w:tc>
          <w:tcPr>
            <w:tcW w:type="dxa" w:w="3305"/>
            <w:vAlign w:val="top"/>
          </w:tcPr>
          <w:p>
            <w:pPr>
              <w:jc w:val="left"/>
            </w:pPr>
            <w:r>
              <w:rPr>
                <w:sz w:val="17"/>
              </w:rPr>
              <w:t>Awaiting client</w:t>
            </w:r>
          </w:p>
        </w:tc>
        <w:tc>
          <w:tcPr>
            <w:tcW w:type="dxa" w:w="3305"/>
            <w:vAlign w:val="top"/>
          </w:tcPr>
          <w:p>
            <w:pPr>
              <w:jc w:val="left"/>
            </w:pPr>
            <w:r>
              <w:rPr>
                <w:sz w:val="17"/>
              </w:rPr>
              <w:t>Notificados sin respuesta</w:t>
            </w:r>
          </w:p>
        </w:tc>
        <w:tc>
          <w:tcPr>
            <w:tcW w:type="dxa" w:w="3305"/>
            <w:vAlign w:val="top"/>
          </w:tcPr>
          <w:p>
            <w:pPr>
              <w:jc w:val="left"/>
            </w:pPr>
            <w:r>
              <w:rPr>
                <w:sz w:val="17"/>
              </w:rPr>
              <w:t>Seguimiento</w:t>
            </w:r>
          </w:p>
        </w:tc>
      </w:tr>
      <w:tr>
        <w:tc>
          <w:tcPr>
            <w:tcW w:type="dxa" w:w="3305"/>
            <w:vAlign w:val="top"/>
          </w:tcPr>
          <w:p>
            <w:pPr>
              <w:jc w:val="left"/>
            </w:pPr>
            <w:r>
              <w:rPr>
                <w:sz w:val="17"/>
              </w:rPr>
              <w:t>Digest</w:t>
            </w:r>
          </w:p>
        </w:tc>
        <w:tc>
          <w:tcPr>
            <w:tcW w:type="dxa" w:w="3305"/>
            <w:vAlign w:val="top"/>
          </w:tcPr>
          <w:p>
            <w:pPr>
              <w:jc w:val="left"/>
            </w:pPr>
            <w:r>
              <w:rPr>
                <w:sz w:val="17"/>
              </w:rPr>
              <w:t>No urgentes</w:t>
            </w:r>
          </w:p>
        </w:tc>
        <w:tc>
          <w:tcPr>
            <w:tcW w:type="dxa" w:w="3305"/>
            <w:vAlign w:val="top"/>
          </w:tcPr>
          <w:p>
            <w:pPr>
              <w:jc w:val="left"/>
            </w:pPr>
            <w:r>
              <w:rPr>
                <w:sz w:val="17"/>
              </w:rPr>
              <w:t>Agrupar</w:t>
            </w:r>
          </w:p>
        </w:tc>
      </w:tr>
      <w:tr>
        <w:tc>
          <w:tcPr>
            <w:tcW w:type="dxa" w:w="3305"/>
            <w:vAlign w:val="top"/>
          </w:tcPr>
          <w:p>
            <w:pPr>
              <w:jc w:val="left"/>
            </w:pPr>
            <w:r>
              <w:rPr>
                <w:sz w:val="17"/>
              </w:rPr>
              <w:t>Operational errors</w:t>
            </w:r>
          </w:p>
        </w:tc>
        <w:tc>
          <w:tcPr>
            <w:tcW w:type="dxa" w:w="3305"/>
            <w:vAlign w:val="top"/>
          </w:tcPr>
          <w:p>
            <w:pPr>
              <w:jc w:val="left"/>
            </w:pPr>
            <w:r>
              <w:rPr>
                <w:sz w:val="17"/>
              </w:rPr>
              <w:t>Tenant mismatch, correo, feeds</w:t>
            </w:r>
          </w:p>
        </w:tc>
        <w:tc>
          <w:tcPr>
            <w:tcW w:type="dxa" w:w="3305"/>
            <w:vAlign w:val="top"/>
          </w:tcPr>
          <w:p>
            <w:pPr>
              <w:jc w:val="left"/>
            </w:pPr>
            <w:r>
              <w:rPr>
                <w:sz w:val="17"/>
              </w:rPr>
              <w:t>Equipo interno</w:t>
            </w:r>
          </w:p>
        </w:tc>
      </w:tr>
    </w:tbl>
    <w:p/>
    <w:p>
      <w:pPr>
        <w:pStyle w:val="Heading1"/>
      </w:pPr>
      <w:r>
        <w:t>5. SLA y escalamiento</w:t>
      </w:r>
    </w:p>
    <w:p>
      <w:r>
        <w:t>El SLA debe indicar el reloj de cada etapa. Por ejemplo, tiempo máximo desde detección hasta caso, desde caso hasta revisión y desde revisión hasta comunicación. También debe definir cuándo se pausa el reloj por espera del cliente. No deben utilizarse palabras como inmediato sin un valor y una cobertura.</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7"/>
              </w:rPr>
              <w:t>Elemento del SLA</w:t>
            </w:r>
          </w:p>
        </w:tc>
        <w:tc>
          <w:tcPr>
            <w:tcW w:type="dxa" w:w="4957"/>
            <w:shd w:fill="D9E2F3"/>
          </w:tcPr>
          <w:p>
            <w:r>
              <w:rPr>
                <w:b/>
                <w:sz w:val="17"/>
              </w:rPr>
              <w:t>Definición necesaria</w:t>
            </w:r>
          </w:p>
        </w:tc>
      </w:tr>
      <w:tr>
        <w:tc>
          <w:tcPr>
            <w:tcW w:type="dxa" w:w="4957"/>
            <w:vAlign w:val="top"/>
          </w:tcPr>
          <w:p>
            <w:pPr>
              <w:jc w:val="left"/>
            </w:pPr>
            <w:r>
              <w:rPr>
                <w:sz w:val="17"/>
              </w:rPr>
              <w:t>Cobertura</w:t>
            </w:r>
          </w:p>
        </w:tc>
        <w:tc>
          <w:tcPr>
            <w:tcW w:type="dxa" w:w="4957"/>
            <w:vAlign w:val="top"/>
          </w:tcPr>
          <w:p>
            <w:pPr>
              <w:jc w:val="left"/>
            </w:pPr>
            <w:r>
              <w:rPr>
                <w:sz w:val="17"/>
              </w:rPr>
              <w:t>Horario laboral, guardia o 24/7</w:t>
            </w:r>
          </w:p>
        </w:tc>
      </w:tr>
      <w:tr>
        <w:tc>
          <w:tcPr>
            <w:tcW w:type="dxa" w:w="4957"/>
            <w:vAlign w:val="top"/>
          </w:tcPr>
          <w:p>
            <w:pPr>
              <w:jc w:val="left"/>
            </w:pPr>
            <w:r>
              <w:rPr>
                <w:sz w:val="17"/>
              </w:rPr>
              <w:t>Severidad</w:t>
            </w:r>
          </w:p>
        </w:tc>
        <w:tc>
          <w:tcPr>
            <w:tcW w:type="dxa" w:w="4957"/>
            <w:vAlign w:val="top"/>
          </w:tcPr>
          <w:p>
            <w:pPr>
              <w:jc w:val="left"/>
            </w:pPr>
            <w:r>
              <w:rPr>
                <w:sz w:val="17"/>
              </w:rPr>
              <w:t>Criterios determinísticos</w:t>
            </w:r>
          </w:p>
        </w:tc>
      </w:tr>
      <w:tr>
        <w:tc>
          <w:tcPr>
            <w:tcW w:type="dxa" w:w="4957"/>
            <w:vAlign w:val="top"/>
          </w:tcPr>
          <w:p>
            <w:pPr>
              <w:jc w:val="left"/>
            </w:pPr>
            <w:r>
              <w:rPr>
                <w:sz w:val="17"/>
              </w:rPr>
              <w:t>Tiempo de revisión</w:t>
            </w:r>
          </w:p>
        </w:tc>
        <w:tc>
          <w:tcPr>
            <w:tcW w:type="dxa" w:w="4957"/>
            <w:vAlign w:val="top"/>
          </w:tcPr>
          <w:p>
            <w:pPr>
              <w:jc w:val="left"/>
            </w:pPr>
            <w:r>
              <w:rPr>
                <w:sz w:val="17"/>
              </w:rPr>
              <w:t>Por prioridad</w:t>
            </w:r>
          </w:p>
        </w:tc>
      </w:tr>
      <w:tr>
        <w:tc>
          <w:tcPr>
            <w:tcW w:type="dxa" w:w="4957"/>
            <w:vAlign w:val="top"/>
          </w:tcPr>
          <w:p>
            <w:pPr>
              <w:jc w:val="left"/>
            </w:pPr>
            <w:r>
              <w:rPr>
                <w:sz w:val="17"/>
              </w:rPr>
              <w:t>Tiempo de notificación</w:t>
            </w:r>
          </w:p>
        </w:tc>
        <w:tc>
          <w:tcPr>
            <w:tcW w:type="dxa" w:w="4957"/>
            <w:vAlign w:val="top"/>
          </w:tcPr>
          <w:p>
            <w:pPr>
              <w:jc w:val="left"/>
            </w:pPr>
            <w:r>
              <w:rPr>
                <w:sz w:val="17"/>
              </w:rPr>
              <w:t>Automática o humana</w:t>
            </w:r>
          </w:p>
        </w:tc>
      </w:tr>
      <w:tr>
        <w:tc>
          <w:tcPr>
            <w:tcW w:type="dxa" w:w="4957"/>
            <w:vAlign w:val="top"/>
          </w:tcPr>
          <w:p>
            <w:pPr>
              <w:jc w:val="left"/>
            </w:pPr>
            <w:r>
              <w:rPr>
                <w:sz w:val="17"/>
              </w:rPr>
              <w:t>Escalamiento</w:t>
            </w:r>
          </w:p>
        </w:tc>
        <w:tc>
          <w:tcPr>
            <w:tcW w:type="dxa" w:w="4957"/>
            <w:vAlign w:val="top"/>
          </w:tcPr>
          <w:p>
            <w:pPr>
              <w:jc w:val="left"/>
            </w:pPr>
            <w:r>
              <w:rPr>
                <w:sz w:val="17"/>
              </w:rPr>
              <w:t>Canal y responsable</w:t>
            </w:r>
          </w:p>
        </w:tc>
      </w:tr>
      <w:tr>
        <w:tc>
          <w:tcPr>
            <w:tcW w:type="dxa" w:w="4957"/>
            <w:vAlign w:val="top"/>
          </w:tcPr>
          <w:p>
            <w:pPr>
              <w:jc w:val="left"/>
            </w:pPr>
            <w:r>
              <w:rPr>
                <w:sz w:val="17"/>
              </w:rPr>
              <w:t>Sin respuesta</w:t>
            </w:r>
          </w:p>
        </w:tc>
        <w:tc>
          <w:tcPr>
            <w:tcW w:type="dxa" w:w="4957"/>
            <w:vAlign w:val="top"/>
          </w:tcPr>
          <w:p>
            <w:pPr>
              <w:jc w:val="left"/>
            </w:pPr>
            <w:r>
              <w:rPr>
                <w:sz w:val="17"/>
              </w:rPr>
              <w:t>Recordatorios y contacto alterno</w:t>
            </w:r>
          </w:p>
        </w:tc>
      </w:tr>
      <w:tr>
        <w:tc>
          <w:tcPr>
            <w:tcW w:type="dxa" w:w="4957"/>
            <w:vAlign w:val="top"/>
          </w:tcPr>
          <w:p>
            <w:pPr>
              <w:jc w:val="left"/>
            </w:pPr>
            <w:r>
              <w:rPr>
                <w:sz w:val="17"/>
              </w:rPr>
              <w:t>Exclusiones</w:t>
            </w:r>
          </w:p>
        </w:tc>
        <w:tc>
          <w:tcPr>
            <w:tcW w:type="dxa" w:w="4957"/>
            <w:vAlign w:val="top"/>
          </w:tcPr>
          <w:p>
            <w:pPr>
              <w:jc w:val="left"/>
            </w:pPr>
            <w:r>
              <w:rPr>
                <w:sz w:val="17"/>
              </w:rPr>
              <w:t>Mantenimiento, falta de telemetría, fuerza mayor</w:t>
            </w:r>
          </w:p>
        </w:tc>
      </w:tr>
    </w:tbl>
    <w:p/>
    <w:p>
      <w:r>
        <w:t>El escalamiento puede ser técnico, cuando el analista necesita apoyo, o de negocio, cuando una acción puede interrumpir un servicio. Deshabilitar una cuenta, aislar un equipo o bloquear una IP debe respetar la autoridad del cliente y las condiciones del contrato.</w:t>
      </w:r>
    </w:p>
    <w:p>
      <w:pPr>
        <w:pStyle w:val="Heading1"/>
      </w:pPr>
      <w:r>
        <w:t>6. Revisión humana</w:t>
      </w:r>
    </w:p>
    <w:p>
      <w:r>
        <w:t>La revisión humana es obligatoria en casos definidos por política: login exitoso después de fuerza bruta, malware confirmado, posible compromiso de identidad, KEV en activo crítico o acciones con impacto. El analista valida que la evidencia corresponda al cliente, que el procedimiento sea adecuado y que la comunicación no contenga datos sensibles.</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7"/>
              </w:rPr>
              <w:t>Decisión del analista</w:t>
            </w:r>
          </w:p>
        </w:tc>
        <w:tc>
          <w:tcPr>
            <w:tcW w:type="dxa" w:w="4957"/>
            <w:shd w:fill="D9E2F3"/>
          </w:tcPr>
          <w:p>
            <w:r>
              <w:rPr>
                <w:b/>
                <w:sz w:val="17"/>
              </w:rPr>
              <w:t>Resultado</w:t>
            </w:r>
          </w:p>
        </w:tc>
      </w:tr>
      <w:tr>
        <w:tc>
          <w:tcPr>
            <w:tcW w:type="dxa" w:w="4957"/>
            <w:vAlign w:val="top"/>
          </w:tcPr>
          <w:p>
            <w:pPr>
              <w:jc w:val="left"/>
            </w:pPr>
            <w:r>
              <w:rPr>
                <w:sz w:val="17"/>
              </w:rPr>
              <w:t>Aprobar</w:t>
            </w:r>
          </w:p>
        </w:tc>
        <w:tc>
          <w:tcPr>
            <w:tcW w:type="dxa" w:w="4957"/>
            <w:vAlign w:val="top"/>
          </w:tcPr>
          <w:p>
            <w:pPr>
              <w:jc w:val="left"/>
            </w:pPr>
            <w:r>
              <w:rPr>
                <w:sz w:val="17"/>
              </w:rPr>
              <w:t>Comunicación enviada</w:t>
            </w:r>
          </w:p>
        </w:tc>
      </w:tr>
      <w:tr>
        <w:tc>
          <w:tcPr>
            <w:tcW w:type="dxa" w:w="4957"/>
            <w:vAlign w:val="top"/>
          </w:tcPr>
          <w:p>
            <w:pPr>
              <w:jc w:val="left"/>
            </w:pPr>
            <w:r>
              <w:rPr>
                <w:sz w:val="17"/>
              </w:rPr>
              <w:t>Editar</w:t>
            </w:r>
          </w:p>
        </w:tc>
        <w:tc>
          <w:tcPr>
            <w:tcW w:type="dxa" w:w="4957"/>
            <w:vAlign w:val="top"/>
          </w:tcPr>
          <w:p>
            <w:pPr>
              <w:jc w:val="left"/>
            </w:pPr>
            <w:r>
              <w:rPr>
                <w:sz w:val="17"/>
              </w:rPr>
              <w:t>Se conserva versión y motivo</w:t>
            </w:r>
          </w:p>
        </w:tc>
      </w:tr>
      <w:tr>
        <w:tc>
          <w:tcPr>
            <w:tcW w:type="dxa" w:w="4957"/>
            <w:vAlign w:val="top"/>
          </w:tcPr>
          <w:p>
            <w:pPr>
              <w:jc w:val="left"/>
            </w:pPr>
            <w:r>
              <w:rPr>
                <w:sz w:val="17"/>
              </w:rPr>
              <w:t>Solicitar más evidencia</w:t>
            </w:r>
          </w:p>
        </w:tc>
        <w:tc>
          <w:tcPr>
            <w:tcW w:type="dxa" w:w="4957"/>
            <w:vAlign w:val="top"/>
          </w:tcPr>
          <w:p>
            <w:pPr>
              <w:jc w:val="left"/>
            </w:pPr>
            <w:r>
              <w:rPr>
                <w:sz w:val="17"/>
              </w:rPr>
              <w:t>Caso permanece pendiente</w:t>
            </w:r>
          </w:p>
        </w:tc>
      </w:tr>
      <w:tr>
        <w:tc>
          <w:tcPr>
            <w:tcW w:type="dxa" w:w="4957"/>
            <w:vAlign w:val="top"/>
          </w:tcPr>
          <w:p>
            <w:pPr>
              <w:jc w:val="left"/>
            </w:pPr>
            <w:r>
              <w:rPr>
                <w:sz w:val="17"/>
              </w:rPr>
              <w:t>Falso positivo</w:t>
            </w:r>
          </w:p>
        </w:tc>
        <w:tc>
          <w:tcPr>
            <w:tcW w:type="dxa" w:w="4957"/>
            <w:vAlign w:val="top"/>
          </w:tcPr>
          <w:p>
            <w:pPr>
              <w:jc w:val="left"/>
            </w:pPr>
            <w:r>
              <w:rPr>
                <w:sz w:val="17"/>
              </w:rPr>
              <w:t>Estado y tuning</w:t>
            </w:r>
          </w:p>
        </w:tc>
      </w:tr>
      <w:tr>
        <w:tc>
          <w:tcPr>
            <w:tcW w:type="dxa" w:w="4957"/>
            <w:vAlign w:val="top"/>
          </w:tcPr>
          <w:p>
            <w:pPr>
              <w:jc w:val="left"/>
            </w:pPr>
            <w:r>
              <w:rPr>
                <w:sz w:val="17"/>
              </w:rPr>
              <w:t>Escalar</w:t>
            </w:r>
          </w:p>
        </w:tc>
        <w:tc>
          <w:tcPr>
            <w:tcW w:type="dxa" w:w="4957"/>
            <w:vAlign w:val="top"/>
          </w:tcPr>
          <w:p>
            <w:pPr>
              <w:jc w:val="left"/>
            </w:pPr>
            <w:r>
              <w:rPr>
                <w:sz w:val="17"/>
              </w:rPr>
              <w:t>Segundo nivel o cliente</w:t>
            </w:r>
          </w:p>
        </w:tc>
      </w:tr>
      <w:tr>
        <w:tc>
          <w:tcPr>
            <w:tcW w:type="dxa" w:w="4957"/>
            <w:vAlign w:val="top"/>
          </w:tcPr>
          <w:p>
            <w:pPr>
              <w:jc w:val="left"/>
            </w:pPr>
            <w:r>
              <w:rPr>
                <w:sz w:val="17"/>
              </w:rPr>
              <w:t>Suprimir</w:t>
            </w:r>
          </w:p>
        </w:tc>
        <w:tc>
          <w:tcPr>
            <w:tcW w:type="dxa" w:w="4957"/>
            <w:vAlign w:val="top"/>
          </w:tcPr>
          <w:p>
            <w:pPr>
              <w:jc w:val="left"/>
            </w:pPr>
            <w:r>
              <w:rPr>
                <w:sz w:val="17"/>
              </w:rPr>
              <w:t>Regla temporal con caducidad</w:t>
            </w:r>
          </w:p>
        </w:tc>
      </w:tr>
    </w:tbl>
    <w:p/>
    <w:p>
      <w:pPr>
        <w:pStyle w:val="Heading1"/>
      </w:pPr>
      <w:r>
        <w:t>7. Comunicación con el cliente</w:t>
      </w:r>
    </w:p>
    <w:p>
      <w:r>
        <w:t>El cliente no debe recibir el JSON completo. La comunicación presenta un resumen, evidencia seleccionada, impacto y acciones. Debe ser suficientemente precisa para permitir una decisión y suficientemente simple para un destinatario no especializado.</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7"/>
              </w:rPr>
              <w:t>Sección</w:t>
            </w:r>
          </w:p>
        </w:tc>
        <w:tc>
          <w:tcPr>
            <w:tcW w:type="dxa" w:w="4957"/>
            <w:shd w:fill="D9E2F3"/>
          </w:tcPr>
          <w:p>
            <w:r>
              <w:rPr>
                <w:b/>
                <w:sz w:val="17"/>
              </w:rPr>
              <w:t>Contenido</w:t>
            </w:r>
          </w:p>
        </w:tc>
      </w:tr>
      <w:tr>
        <w:tc>
          <w:tcPr>
            <w:tcW w:type="dxa" w:w="4957"/>
            <w:vAlign w:val="top"/>
          </w:tcPr>
          <w:p>
            <w:pPr>
              <w:jc w:val="left"/>
            </w:pPr>
            <w:r>
              <w:rPr>
                <w:sz w:val="17"/>
              </w:rPr>
              <w:t>Identificación</w:t>
            </w:r>
          </w:p>
        </w:tc>
        <w:tc>
          <w:tcPr>
            <w:tcW w:type="dxa" w:w="4957"/>
            <w:vAlign w:val="top"/>
          </w:tcPr>
          <w:p>
            <w:pPr>
              <w:jc w:val="left"/>
            </w:pPr>
            <w:r>
              <w:rPr>
                <w:sz w:val="17"/>
              </w:rPr>
              <w:t>Case ID, cliente, activo y fecha</w:t>
            </w:r>
          </w:p>
        </w:tc>
      </w:tr>
      <w:tr>
        <w:tc>
          <w:tcPr>
            <w:tcW w:type="dxa" w:w="4957"/>
            <w:vAlign w:val="top"/>
          </w:tcPr>
          <w:p>
            <w:pPr>
              <w:jc w:val="left"/>
            </w:pPr>
            <w:r>
              <w:rPr>
                <w:sz w:val="17"/>
              </w:rPr>
              <w:t>Resumen</w:t>
            </w:r>
          </w:p>
        </w:tc>
        <w:tc>
          <w:tcPr>
            <w:tcW w:type="dxa" w:w="4957"/>
            <w:vAlign w:val="top"/>
          </w:tcPr>
          <w:p>
            <w:pPr>
              <w:jc w:val="left"/>
            </w:pPr>
            <w:r>
              <w:rPr>
                <w:sz w:val="17"/>
              </w:rPr>
              <w:t>Qué ocurrió en lenguaje claro</w:t>
            </w:r>
          </w:p>
        </w:tc>
      </w:tr>
      <w:tr>
        <w:tc>
          <w:tcPr>
            <w:tcW w:type="dxa" w:w="4957"/>
            <w:vAlign w:val="top"/>
          </w:tcPr>
          <w:p>
            <w:pPr>
              <w:jc w:val="left"/>
            </w:pPr>
            <w:r>
              <w:rPr>
                <w:sz w:val="17"/>
              </w:rPr>
              <w:t>Evidencia</w:t>
            </w:r>
          </w:p>
        </w:tc>
        <w:tc>
          <w:tcPr>
            <w:tcW w:type="dxa" w:w="4957"/>
            <w:vAlign w:val="top"/>
          </w:tcPr>
          <w:p>
            <w:pPr>
              <w:jc w:val="left"/>
            </w:pPr>
            <w:r>
              <w:rPr>
                <w:sz w:val="17"/>
              </w:rPr>
              <w:t>IP, cuenta, archivo, CVE, conteo o cronología</w:t>
            </w:r>
          </w:p>
        </w:tc>
      </w:tr>
      <w:tr>
        <w:tc>
          <w:tcPr>
            <w:tcW w:type="dxa" w:w="4957"/>
            <w:vAlign w:val="top"/>
          </w:tcPr>
          <w:p>
            <w:pPr>
              <w:jc w:val="left"/>
            </w:pPr>
            <w:r>
              <w:rPr>
                <w:sz w:val="17"/>
              </w:rPr>
              <w:t>Prioridad</w:t>
            </w:r>
          </w:p>
        </w:tc>
        <w:tc>
          <w:tcPr>
            <w:tcW w:type="dxa" w:w="4957"/>
            <w:vAlign w:val="top"/>
          </w:tcPr>
          <w:p>
            <w:pPr>
              <w:jc w:val="left"/>
            </w:pPr>
            <w:r>
              <w:rPr>
                <w:sz w:val="17"/>
              </w:rPr>
              <w:t>Nivel y factores que lo justifican</w:t>
            </w:r>
          </w:p>
        </w:tc>
      </w:tr>
      <w:tr>
        <w:tc>
          <w:tcPr>
            <w:tcW w:type="dxa" w:w="4957"/>
            <w:vAlign w:val="top"/>
          </w:tcPr>
          <w:p>
            <w:pPr>
              <w:jc w:val="left"/>
            </w:pPr>
            <w:r>
              <w:rPr>
                <w:sz w:val="17"/>
              </w:rPr>
              <w:t>Impacto</w:t>
            </w:r>
          </w:p>
        </w:tc>
        <w:tc>
          <w:tcPr>
            <w:tcW w:type="dxa" w:w="4957"/>
            <w:vAlign w:val="top"/>
          </w:tcPr>
          <w:p>
            <w:pPr>
              <w:jc w:val="left"/>
            </w:pPr>
            <w:r>
              <w:rPr>
                <w:sz w:val="17"/>
              </w:rPr>
              <w:t>Qué puede ocurrir para el negocio</w:t>
            </w:r>
          </w:p>
        </w:tc>
      </w:tr>
      <w:tr>
        <w:tc>
          <w:tcPr>
            <w:tcW w:type="dxa" w:w="4957"/>
            <w:vAlign w:val="top"/>
          </w:tcPr>
          <w:p>
            <w:pPr>
              <w:jc w:val="left"/>
            </w:pPr>
            <w:r>
              <w:rPr>
                <w:sz w:val="17"/>
              </w:rPr>
              <w:t>Acciones</w:t>
            </w:r>
          </w:p>
        </w:tc>
        <w:tc>
          <w:tcPr>
            <w:tcW w:type="dxa" w:w="4957"/>
            <w:vAlign w:val="top"/>
          </w:tcPr>
          <w:p>
            <w:pPr>
              <w:jc w:val="left"/>
            </w:pPr>
            <w:r>
              <w:rPr>
                <w:sz w:val="17"/>
              </w:rPr>
              <w:t>Pasos aprobados, plazo y responsable</w:t>
            </w:r>
          </w:p>
        </w:tc>
      </w:tr>
      <w:tr>
        <w:tc>
          <w:tcPr>
            <w:tcW w:type="dxa" w:w="4957"/>
            <w:vAlign w:val="top"/>
          </w:tcPr>
          <w:p>
            <w:pPr>
              <w:jc w:val="left"/>
            </w:pPr>
            <w:r>
              <w:rPr>
                <w:sz w:val="17"/>
              </w:rPr>
              <w:t>Respuesta</w:t>
            </w:r>
          </w:p>
        </w:tc>
        <w:tc>
          <w:tcPr>
            <w:tcW w:type="dxa" w:w="4957"/>
            <w:vAlign w:val="top"/>
          </w:tcPr>
          <w:p>
            <w:pPr>
              <w:jc w:val="left"/>
            </w:pPr>
            <w:r>
              <w:rPr>
                <w:sz w:val="17"/>
              </w:rPr>
              <w:t>Reconocer, pedir ayuda, legítimo o completado</w:t>
            </w:r>
          </w:p>
        </w:tc>
      </w:tr>
    </w:tbl>
    <w:p/>
    <w:p>
      <w:r>
        <w:t>Los campos full_log, commandLine y syscheck.diff deben filtrarse. El sistema debe minimizar los datos enviados a proveedores externos y evitar que un log sea interpretado como instrucción para la IA.</w:t>
      </w:r>
    </w:p>
    <w:p>
      <w:pPr>
        <w:pStyle w:val="Heading1"/>
      </w:pPr>
      <w:r>
        <w:t>8. Respuesta del cliente</w:t>
      </w:r>
    </w:p>
    <w:p>
      <w:r>
        <w:t>El seguimiento necesita respuestas estructuradas. ACKNOWLEDGED confirma recepción, NEED_HELP solicita apoyo, LEGITIMATE_ACTIVITY indica que la actividad era esperada y ACTION_COMPLETED confirma ejecución. Cada acción debe registrar usuario, fecha y comentario.</w:t>
      </w:r>
    </w:p>
    <w:p>
      <w:r>
        <w:t>LEGITIMATE_ACTIVITY no debe cerrar automáticamente todos los casos. El analista puede verificar la evidencia y convertirla en aprendizaje para el tuning. ACTION_COMPLETED puede pasar el caso a RESOLVED, pero el cierre puede requerir una verificación adicional.</w:t>
      </w:r>
    </w:p>
    <w:p>
      <w:pPr>
        <w:pStyle w:val="Heading1"/>
      </w:pPr>
      <w:r>
        <w:t>9. Falsos positivos y tuning</w:t>
      </w:r>
    </w:p>
    <w:p>
      <w:r>
        <w:t>Un falso positivo es una oportunidad de mejorar el sistema, no solo una etiqueta. Debe registrarse la causa: regla demasiado amplia, activo mal clasificado, actividad legítima no registrada, lista incompleta o error del enriquecimiento. El cambio resultante puede ser una whitelist exacta, una excepción temporal, ajuste de ventana o actualización de la CMDB.</w:t>
      </w:r>
    </w:p>
    <w:p>
      <w:r>
        <w:t>Las supresiones deben tener alcance, motivo, aprobador y fecha de expiración. Una supresión permanente sin revisión puede crear un punto ciego.</w:t>
      </w:r>
    </w:p>
    <w:p>
      <w:pPr>
        <w:pStyle w:val="Heading1"/>
      </w:pPr>
      <w:r>
        <w:t>10. Digest y reportes</w:t>
      </w:r>
    </w:p>
    <w:p>
      <w:r>
        <w:t>El digest agrupa hallazgos no urgentes y reduce correos. Debe priorizar tendencias: vulnerabilidades nuevas, agentes con problemas, controles SCA, actividad repetida y casos pendientes. El reporte mensual añade métricas, riesgos abiertos, cumplimiento de SLA y recomendaciones.</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Entregable</w:t>
            </w:r>
          </w:p>
        </w:tc>
        <w:tc>
          <w:tcPr>
            <w:tcW w:type="dxa" w:w="3305"/>
            <w:shd w:fill="D9E2F3"/>
          </w:tcPr>
          <w:p>
            <w:r>
              <w:rPr>
                <w:b/>
                <w:sz w:val="17"/>
              </w:rPr>
              <w:t>Frecuencia</w:t>
            </w:r>
          </w:p>
        </w:tc>
        <w:tc>
          <w:tcPr>
            <w:tcW w:type="dxa" w:w="3305"/>
            <w:shd w:fill="D9E2F3"/>
          </w:tcPr>
          <w:p>
            <w:r>
              <w:rPr>
                <w:b/>
                <w:sz w:val="17"/>
              </w:rPr>
              <w:t>Contenido</w:t>
            </w:r>
          </w:p>
        </w:tc>
      </w:tr>
      <w:tr>
        <w:tc>
          <w:tcPr>
            <w:tcW w:type="dxa" w:w="3305"/>
            <w:vAlign w:val="top"/>
          </w:tcPr>
          <w:p>
            <w:pPr>
              <w:jc w:val="left"/>
            </w:pPr>
            <w:r>
              <w:rPr>
                <w:sz w:val="17"/>
              </w:rPr>
              <w:t>Digest operativo</w:t>
            </w:r>
          </w:p>
        </w:tc>
        <w:tc>
          <w:tcPr>
            <w:tcW w:type="dxa" w:w="3305"/>
            <w:vAlign w:val="top"/>
          </w:tcPr>
          <w:p>
            <w:pPr>
              <w:jc w:val="left"/>
            </w:pPr>
            <w:r>
              <w:rPr>
                <w:sz w:val="17"/>
              </w:rPr>
              <w:t>Diario/semanal</w:t>
            </w:r>
          </w:p>
        </w:tc>
        <w:tc>
          <w:tcPr>
            <w:tcW w:type="dxa" w:w="3305"/>
            <w:vAlign w:val="top"/>
          </w:tcPr>
          <w:p>
            <w:pPr>
              <w:jc w:val="left"/>
            </w:pPr>
            <w:r>
              <w:rPr>
                <w:sz w:val="17"/>
              </w:rPr>
              <w:t>Hallazgos no urgentes y acciones</w:t>
            </w:r>
          </w:p>
        </w:tc>
      </w:tr>
      <w:tr>
        <w:tc>
          <w:tcPr>
            <w:tcW w:type="dxa" w:w="3305"/>
            <w:vAlign w:val="top"/>
          </w:tcPr>
          <w:p>
            <w:pPr>
              <w:jc w:val="left"/>
            </w:pPr>
            <w:r>
              <w:rPr>
                <w:sz w:val="17"/>
              </w:rPr>
              <w:t>Reporte de servicio</w:t>
            </w:r>
          </w:p>
        </w:tc>
        <w:tc>
          <w:tcPr>
            <w:tcW w:type="dxa" w:w="3305"/>
            <w:vAlign w:val="top"/>
          </w:tcPr>
          <w:p>
            <w:pPr>
              <w:jc w:val="left"/>
            </w:pPr>
            <w:r>
              <w:rPr>
                <w:sz w:val="17"/>
              </w:rPr>
              <w:t>Mensual</w:t>
            </w:r>
          </w:p>
        </w:tc>
        <w:tc>
          <w:tcPr>
            <w:tcW w:type="dxa" w:w="3305"/>
            <w:vAlign w:val="top"/>
          </w:tcPr>
          <w:p>
            <w:pPr>
              <w:jc w:val="left"/>
            </w:pPr>
            <w:r>
              <w:rPr>
                <w:sz w:val="17"/>
              </w:rPr>
              <w:t>Casos, SLA, FP, tendencias y pendientes</w:t>
            </w:r>
          </w:p>
        </w:tc>
      </w:tr>
      <w:tr>
        <w:tc>
          <w:tcPr>
            <w:tcW w:type="dxa" w:w="3305"/>
            <w:vAlign w:val="top"/>
          </w:tcPr>
          <w:p>
            <w:pPr>
              <w:jc w:val="left"/>
            </w:pPr>
            <w:r>
              <w:rPr>
                <w:sz w:val="17"/>
              </w:rPr>
              <w:t>Reporte de vulnerabilidades</w:t>
            </w:r>
          </w:p>
        </w:tc>
        <w:tc>
          <w:tcPr>
            <w:tcW w:type="dxa" w:w="3305"/>
            <w:vAlign w:val="top"/>
          </w:tcPr>
          <w:p>
            <w:pPr>
              <w:jc w:val="left"/>
            </w:pPr>
            <w:r>
              <w:rPr>
                <w:sz w:val="17"/>
              </w:rPr>
              <w:t>Según ciclo</w:t>
            </w:r>
          </w:p>
        </w:tc>
        <w:tc>
          <w:tcPr>
            <w:tcW w:type="dxa" w:w="3305"/>
            <w:vAlign w:val="top"/>
          </w:tcPr>
          <w:p>
            <w:pPr>
              <w:jc w:val="left"/>
            </w:pPr>
            <w:r>
              <w:rPr>
                <w:sz w:val="17"/>
              </w:rPr>
              <w:t>CVE, KEV, activos y avance</w:t>
            </w:r>
          </w:p>
        </w:tc>
      </w:tr>
      <w:tr>
        <w:tc>
          <w:tcPr>
            <w:tcW w:type="dxa" w:w="3305"/>
            <w:vAlign w:val="top"/>
          </w:tcPr>
          <w:p>
            <w:pPr>
              <w:jc w:val="left"/>
            </w:pPr>
            <w:r>
              <w:rPr>
                <w:sz w:val="17"/>
              </w:rPr>
              <w:t>Reporte de tuning</w:t>
            </w:r>
          </w:p>
        </w:tc>
        <w:tc>
          <w:tcPr>
            <w:tcW w:type="dxa" w:w="3305"/>
            <w:vAlign w:val="top"/>
          </w:tcPr>
          <w:p>
            <w:pPr>
              <w:jc w:val="left"/>
            </w:pPr>
            <w:r>
              <w:rPr>
                <w:sz w:val="17"/>
              </w:rPr>
              <w:t>Mensual</w:t>
            </w:r>
          </w:p>
        </w:tc>
        <w:tc>
          <w:tcPr>
            <w:tcW w:type="dxa" w:w="3305"/>
            <w:vAlign w:val="top"/>
          </w:tcPr>
          <w:p>
            <w:pPr>
              <w:jc w:val="left"/>
            </w:pPr>
            <w:r>
              <w:rPr>
                <w:sz w:val="17"/>
              </w:rPr>
              <w:t>Cambios, motivo y efecto</w:t>
            </w:r>
          </w:p>
        </w:tc>
      </w:tr>
      <w:tr>
        <w:tc>
          <w:tcPr>
            <w:tcW w:type="dxa" w:w="3305"/>
            <w:vAlign w:val="top"/>
          </w:tcPr>
          <w:p>
            <w:pPr>
              <w:jc w:val="left"/>
            </w:pPr>
            <w:r>
              <w:rPr>
                <w:sz w:val="17"/>
              </w:rPr>
              <w:t>Informe de incidente</w:t>
            </w:r>
          </w:p>
        </w:tc>
        <w:tc>
          <w:tcPr>
            <w:tcW w:type="dxa" w:w="3305"/>
            <w:vAlign w:val="top"/>
          </w:tcPr>
          <w:p>
            <w:pPr>
              <w:jc w:val="left"/>
            </w:pPr>
            <w:r>
              <w:rPr>
                <w:sz w:val="17"/>
              </w:rPr>
              <w:t>Por caso relevante</w:t>
            </w:r>
          </w:p>
        </w:tc>
        <w:tc>
          <w:tcPr>
            <w:tcW w:type="dxa" w:w="3305"/>
            <w:vAlign w:val="top"/>
          </w:tcPr>
          <w:p>
            <w:pPr>
              <w:jc w:val="left"/>
            </w:pPr>
            <w:r>
              <w:rPr>
                <w:sz w:val="17"/>
              </w:rPr>
              <w:t>Cronología, evidencia y lecciones</w:t>
            </w:r>
          </w:p>
        </w:tc>
      </w:tr>
    </w:tbl>
    <w:p/>
    <w:p>
      <w:pPr>
        <w:pStyle w:val="Heading1"/>
      </w:pPr>
      <w:r>
        <w:t>11. Cierre y reapertura</w:t>
      </w:r>
    </w:p>
    <w:p>
      <w:r>
        <w:t>Un caso se resuelve cuando se ejecuta la acción definida, pero se cierra cuando se cumplen criterios de verificación y documentación. El cierre registra evidencia, responsable y conclusión. Si aparece nueva evidencia dentro de la política de reapertura, el sistema reabre o crea una nueva instancia según el tiempo transcurrido.</w:t>
      </w:r>
    </w:p>
    <w:p>
      <w:pPr>
        <w:pStyle w:val="Heading1"/>
      </w:pPr>
      <w:r>
        <w:t>12. Operación de la plataforma</w:t>
      </w:r>
    </w:p>
    <w:p>
      <w:r>
        <w:t>El MiniSOC también debe monitorearse a sí mismo. La operación revisa espacio del Indexer, salud de workers, atraso del cursor, backups, actualización de KEV, errores de correo, límites de proveedores y vencimiento de secretos. Estos eventos no se mezclan con casos de clientes, pero requieren una cola interna.</w:t>
      </w:r>
    </w:p>
    <w:p>
      <w:pPr>
        <w:pStyle w:val="ListBullet"/>
        <w:jc w:val="left"/>
      </w:pPr>
      <w:r>
        <w:t>Runbook de caída del Indexer y reanudación.</w:t>
      </w:r>
    </w:p>
    <w:p>
      <w:pPr>
        <w:pStyle w:val="ListBullet"/>
        <w:jc w:val="left"/>
      </w:pPr>
      <w:r>
        <w:t>Runbook de feed KEV desactualizado.</w:t>
      </w:r>
    </w:p>
    <w:p>
      <w:pPr>
        <w:pStyle w:val="ListBullet"/>
        <w:jc w:val="left"/>
      </w:pPr>
      <w:r>
        <w:t>Runbook de correo degradado.</w:t>
      </w:r>
    </w:p>
    <w:p>
      <w:pPr>
        <w:pStyle w:val="ListBullet"/>
        <w:jc w:val="left"/>
      </w:pPr>
      <w:r>
        <w:t>Runbook de tenant inconsistente.</w:t>
      </w:r>
    </w:p>
    <w:p>
      <w:pPr>
        <w:pStyle w:val="ListBullet"/>
        <w:jc w:val="left"/>
      </w:pPr>
      <w:r>
        <w:t>Runbook de restauración y rollback.</w:t>
      </w:r>
    </w:p>
    <w:p>
      <w:pPr>
        <w:pStyle w:val="Heading1"/>
      </w:pPr>
      <w:r>
        <w:t>13. Capacidad y costos humanos</w:t>
      </w:r>
    </w:p>
    <w:p>
      <w:r>
        <w:t>La viabilidad depende de medir tiempo de analista. Dos clientes con el mismo número de agentes pueden generar cargas distintas. Se debe registrar minutos por caso, revisiones, seguimientos y tuning. Esa información alimentará precios y límites del servicio. La IA puede reducir tiempo de redacción, pero no elimina investigación ni responsabilidad.</w:t>
      </w:r>
    </w:p>
    <w:p>
      <w:pPr>
        <w:pStyle w:val="Heading1"/>
      </w:pPr>
      <w:r>
        <w:t>Fuentes internas consultadas</w:t>
      </w:r>
    </w:p>
    <w:p>
      <w:r>
        <w:t>Este informe se elaboró utilizando los artefactos técnicos disponibles en el repositorio `franciscosdafas133/kriptome-minisoc`, principalmente en el commit ab772d198719. La relación siguiente permite rastrear las decisiones del documento hasta sus fuentes internas.</w:t>
      </w:r>
    </w:p>
    <w:p>
      <w:pPr>
        <w:pStyle w:val="ListBullet"/>
        <w:jc w:val="left"/>
      </w:pPr>
      <w:r>
        <w:rPr>
          <w:rFonts w:ascii="Liberation Mono" w:hAnsi="Liberation Mono"/>
          <w:sz w:val="17"/>
        </w:rPr>
        <w:t>REGLAS_TUNEADAS/routing/routing_matrix.csv</w:t>
      </w:r>
    </w:p>
    <w:p>
      <w:pPr>
        <w:pStyle w:val="ListBullet"/>
        <w:jc w:val="left"/>
      </w:pPr>
      <w:r>
        <w:rPr>
          <w:rFonts w:ascii="Liberation Mono" w:hAnsi="Liberation Mono"/>
          <w:sz w:val="17"/>
        </w:rPr>
        <w:t>specifications/client_notification.schema.json</w:t>
      </w:r>
    </w:p>
    <w:p>
      <w:pPr>
        <w:pStyle w:val="ListBullet"/>
        <w:jc w:val="left"/>
      </w:pPr>
      <w:r>
        <w:rPr>
          <w:rFonts w:ascii="Liberation Mono" w:hAnsi="Liberation Mono"/>
          <w:sz w:val="17"/>
        </w:rPr>
        <w:t>specifications/case.schema.json</w:t>
      </w:r>
    </w:p>
    <w:p>
      <w:pPr>
        <w:pStyle w:val="ListBullet"/>
        <w:jc w:val="left"/>
      </w:pPr>
      <w:r>
        <w:rPr>
          <w:rFonts w:ascii="Liberation Mono" w:hAnsi="Liberation Mono"/>
          <w:sz w:val="17"/>
        </w:rPr>
        <w:t>policies/case_types/*.yaml</w:t>
      </w:r>
    </w:p>
    <w:p>
      <w:pPr>
        <w:pStyle w:val="ListBullet"/>
        <w:jc w:val="left"/>
      </w:pPr>
      <w:r>
        <w:rPr>
          <w:rFonts w:ascii="Liberation Mono" w:hAnsi="Liberation Mono"/>
          <w:sz w:val="17"/>
        </w:rPr>
        <w:t>DOCUMENTOS/07_COMUNICACION_CON_EL_CLIENTE.docx (fuente histórica)</w:t>
      </w:r>
    </w:p>
    <w:p>
      <w:pPr>
        <w:pStyle w:val="Heading1"/>
      </w:pPr>
      <w:r>
        <w:t>14. Ejemplo operativo completo: posible compromiso de credenciales</w:t>
      </w:r>
    </w:p>
    <w:p>
      <w:pPr>
        <w:jc w:val="both"/>
      </w:pPr>
      <w:r>
        <w:t>A las 10:05, el sistema crea un caso candidate por fallos SSH contra un servidor. El operador no recibe todavía una tarea urgente; el caso acumula evidencia. A las 10:11 aparece un login exitoso desde la misma IP. El caso cambia a crítico, se añade el enriquecimiento de reputación y se selecciona el procedimiento de compromiso de credenciales.</w:t>
      </w:r>
    </w:p>
    <w:p>
      <w:pPr>
        <w:jc w:val="both"/>
      </w:pPr>
      <w:r>
        <w:t>La política exige revisión humana. El analista verifica que la IP no corresponde a un proveedor autorizado, revisa la cuenta y comprueba que el activo es crítico. Aprueba una comunicación que solicita confirmar el acceso, rotar credenciales y revisar sesiones. El mensaje se envía a las 10:18 y queda en estado NOTIFIED.</w:t>
      </w:r>
    </w:p>
    <w:p>
      <w:pPr>
        <w:jc w:val="both"/>
      </w:pPr>
      <w:r>
        <w:t>El responsable técnico selecciona NEED_HELP. El analista coordina la rotación de credenciales y la revisión. Después, el cliente confirma ACTION_COMPLETED. El caso pasa a RESOLVED y se mantiene abierto durante una ventana de verificación. Al no aparecer actividad nueva, se cierra con cronología y lecciones.</w:t>
      </w:r>
    </w:p>
    <w:p>
      <w:pPr>
        <w:pStyle w:val="Heading1"/>
      </w:pPr>
      <w:r>
        <w:t>15. Handover entre turnos</w:t>
      </w:r>
    </w:p>
    <w:p>
      <w:pPr>
        <w:jc w:val="both"/>
      </w:pPr>
      <w:r>
        <w:t>Cuando existe más de un turno, el handover debe registrar casos críticos abiertos, SLA próximos a vencer, comunicaciones pendientes, proveedores degradados, cambios de reglas y acciones esperadas del cliente. No basta con una conversación informal; el registro debe quedar asociado al turno.</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7"/>
              </w:rPr>
              <w:t>Elemento</w:t>
            </w:r>
          </w:p>
        </w:tc>
        <w:tc>
          <w:tcPr>
            <w:tcW w:type="dxa" w:w="4957"/>
            <w:shd w:fill="D9E2F3"/>
          </w:tcPr>
          <w:p>
            <w:r>
              <w:rPr>
                <w:b/>
                <w:sz w:val="17"/>
              </w:rPr>
              <w:t>Contenido del handover</w:t>
            </w:r>
          </w:p>
        </w:tc>
      </w:tr>
      <w:tr>
        <w:tc>
          <w:tcPr>
            <w:tcW w:type="dxa" w:w="4957"/>
          </w:tcPr>
          <w:p>
            <w:pPr>
              <w:jc w:val="left"/>
            </w:pPr>
            <w:r>
              <w:rPr>
                <w:sz w:val="17"/>
              </w:rPr>
              <w:t>Casos críticos</w:t>
            </w:r>
          </w:p>
        </w:tc>
        <w:tc>
          <w:tcPr>
            <w:tcW w:type="dxa" w:w="4957"/>
          </w:tcPr>
          <w:p>
            <w:pPr>
              <w:jc w:val="left"/>
            </w:pPr>
            <w:r>
              <w:rPr>
                <w:sz w:val="17"/>
              </w:rPr>
              <w:t>Case ID, estado, última acción y siguiente paso</w:t>
            </w:r>
          </w:p>
        </w:tc>
      </w:tr>
      <w:tr>
        <w:tc>
          <w:tcPr>
            <w:tcW w:type="dxa" w:w="4957"/>
          </w:tcPr>
          <w:p>
            <w:pPr>
              <w:jc w:val="left"/>
            </w:pPr>
            <w:r>
              <w:rPr>
                <w:sz w:val="17"/>
              </w:rPr>
              <w:t>Pendientes cliente</w:t>
            </w:r>
          </w:p>
        </w:tc>
        <w:tc>
          <w:tcPr>
            <w:tcW w:type="dxa" w:w="4957"/>
          </w:tcPr>
          <w:p>
            <w:pPr>
              <w:jc w:val="left"/>
            </w:pPr>
            <w:r>
              <w:rPr>
                <w:sz w:val="17"/>
              </w:rPr>
              <w:t>Contacto, fecha, recordatorio y escalamiento</w:t>
            </w:r>
          </w:p>
        </w:tc>
      </w:tr>
      <w:tr>
        <w:tc>
          <w:tcPr>
            <w:tcW w:type="dxa" w:w="4957"/>
          </w:tcPr>
          <w:p>
            <w:pPr>
              <w:jc w:val="left"/>
            </w:pPr>
            <w:r>
              <w:rPr>
                <w:sz w:val="17"/>
              </w:rPr>
              <w:t>Errores plataforma</w:t>
            </w:r>
          </w:p>
        </w:tc>
        <w:tc>
          <w:tcPr>
            <w:tcW w:type="dxa" w:w="4957"/>
          </w:tcPr>
          <w:p>
            <w:pPr>
              <w:jc w:val="left"/>
            </w:pPr>
            <w:r>
              <w:rPr>
                <w:sz w:val="17"/>
              </w:rPr>
              <w:t>Impacto, workaround y responsable</w:t>
            </w:r>
          </w:p>
        </w:tc>
      </w:tr>
      <w:tr>
        <w:tc>
          <w:tcPr>
            <w:tcW w:type="dxa" w:w="4957"/>
          </w:tcPr>
          <w:p>
            <w:pPr>
              <w:jc w:val="left"/>
            </w:pPr>
            <w:r>
              <w:rPr>
                <w:sz w:val="17"/>
              </w:rPr>
              <w:t>Cambios</w:t>
            </w:r>
          </w:p>
        </w:tc>
        <w:tc>
          <w:tcPr>
            <w:tcW w:type="dxa" w:w="4957"/>
          </w:tcPr>
          <w:p>
            <w:pPr>
              <w:jc w:val="left"/>
            </w:pPr>
            <w:r>
              <w:rPr>
                <w:sz w:val="17"/>
              </w:rPr>
              <w:t>Reglas, procedimientos o mantenimiento</w:t>
            </w:r>
          </w:p>
        </w:tc>
      </w:tr>
      <w:tr>
        <w:tc>
          <w:tcPr>
            <w:tcW w:type="dxa" w:w="4957"/>
          </w:tcPr>
          <w:p>
            <w:pPr>
              <w:jc w:val="left"/>
            </w:pPr>
            <w:r>
              <w:rPr>
                <w:sz w:val="17"/>
              </w:rPr>
              <w:t>Riesgos</w:t>
            </w:r>
          </w:p>
        </w:tc>
        <w:tc>
          <w:tcPr>
            <w:tcW w:type="dxa" w:w="4957"/>
          </w:tcPr>
          <w:p>
            <w:pPr>
              <w:jc w:val="left"/>
            </w:pPr>
            <w:r>
              <w:rPr>
                <w:sz w:val="17"/>
              </w:rPr>
              <w:t>SLA y situaciones que requieren vigilancia</w:t>
            </w:r>
          </w:p>
        </w:tc>
      </w:tr>
    </w:tbl>
    <w:p/>
    <w:p>
      <w:pPr>
        <w:pStyle w:val="Heading1"/>
      </w:pPr>
      <w:r>
        <w:t>16. Escenarios de escalamiento</w:t>
      </w:r>
    </w:p>
    <w:p>
      <w:pPr>
        <w:jc w:val="both"/>
      </w:pPr>
      <w:r>
        <w:t>El escalamiento técnico ocurre cuando falta evidencia, una regla parece incorrecta o se necesita investigar un artefacto. El escalamiento de servicio ocurre cuando la plataforma no puede procesar o comunicar. El escalamiento de negocio ocurre cuando la acción puede detener un servicio, cuando el cliente no responde o cuando el riesgo supera la autoridad del contacto técnico.</w:t>
      </w:r>
    </w:p>
    <w:p>
      <w:pPr>
        <w:pStyle w:val="ListBullet"/>
        <w:jc w:val="left"/>
      </w:pPr>
      <w:r>
        <w:t>Malware en activo crítico: analista senior y responsable técnico.</w:t>
      </w:r>
    </w:p>
    <w:p>
      <w:pPr>
        <w:pStyle w:val="ListBullet"/>
        <w:jc w:val="left"/>
      </w:pPr>
      <w:r>
        <w:t>Posible compromiso de administrador: responsable de seguridad y negocio.</w:t>
      </w:r>
    </w:p>
    <w:p>
      <w:pPr>
        <w:pStyle w:val="ListBullet"/>
        <w:jc w:val="left"/>
      </w:pPr>
      <w:r>
        <w:t>Falla general de agentes: infraestructura interna antes de notificar como ataque.</w:t>
      </w:r>
    </w:p>
    <w:p>
      <w:pPr>
        <w:pStyle w:val="ListBullet"/>
        <w:jc w:val="left"/>
      </w:pPr>
      <w:r>
        <w:t>CVE KEV sin parche: aceptación de riesgo y mitigación temporal.</w:t>
      </w:r>
    </w:p>
    <w:p>
      <w:pPr>
        <w:pStyle w:val="ListBullet"/>
        <w:jc w:val="left"/>
      </w:pPr>
      <w:r>
        <w:t>Cliente sin respuesta en caso crítico: contacto alterno y registro contractual.</w:t>
      </w:r>
    </w:p>
    <w:p>
      <w:pPr>
        <w:pStyle w:val="Heading1"/>
      </w:pPr>
      <w:r>
        <w:t>17. Checklist operativo mínimo</w:t>
      </w:r>
    </w:p>
    <w:p>
      <w:pPr>
        <w:pStyle w:val="ListBullet"/>
        <w:jc w:val="left"/>
      </w:pPr>
      <w:r>
        <w:t>Confirmar tenant, activo y destinatarios.</w:t>
      </w:r>
    </w:p>
    <w:p>
      <w:pPr>
        <w:pStyle w:val="ListBullet"/>
        <w:jc w:val="left"/>
      </w:pPr>
      <w:r>
        <w:t>Revisar evidencia y cronología.</w:t>
      </w:r>
    </w:p>
    <w:p>
      <w:pPr>
        <w:pStyle w:val="ListBullet"/>
        <w:jc w:val="left"/>
      </w:pPr>
      <w:r>
        <w:t>Comprobar enriquecimientos y su fecha.</w:t>
      </w:r>
    </w:p>
    <w:p>
      <w:pPr>
        <w:pStyle w:val="ListBullet"/>
        <w:jc w:val="left"/>
      </w:pPr>
      <w:r>
        <w:t>Validar prioridad y procedimiento.</w:t>
      </w:r>
    </w:p>
    <w:p>
      <w:pPr>
        <w:pStyle w:val="ListBullet"/>
        <w:jc w:val="left"/>
      </w:pPr>
      <w:r>
        <w:t>Eliminar datos sensibles.</w:t>
      </w:r>
    </w:p>
    <w:p>
      <w:pPr>
        <w:pStyle w:val="ListBullet"/>
        <w:jc w:val="left"/>
      </w:pPr>
      <w:r>
        <w:t>Registrar decisión y revisor.</w:t>
      </w:r>
    </w:p>
    <w:p>
      <w:pPr>
        <w:pStyle w:val="ListBullet"/>
        <w:jc w:val="left"/>
      </w:pPr>
      <w:r>
        <w:t>Verificar entrega y respuesta.</w:t>
      </w:r>
    </w:p>
    <w:p>
      <w:pPr>
        <w:pStyle w:val="ListBullet"/>
        <w:jc w:val="left"/>
      </w:pPr>
      <w:r>
        <w:t>Actualizar tuning cuando corresponda.</w:t>
      </w:r>
    </w:p>
    <w:p>
      <w:pPr>
        <w:pStyle w:val="Heading1"/>
      </w:pPr>
      <w:r>
        <w:t>18. Plantillas operativas de comunicación</w:t>
      </w:r>
    </w:p>
    <w:p>
      <w:pPr>
        <w:pStyle w:val="Heading2"/>
      </w:pPr>
      <w:r>
        <w:t>18.1 Aviso crítico</w:t>
      </w:r>
    </w:p>
    <w:p>
      <w:pPr>
        <w:jc w:val="both"/>
      </w:pPr>
      <w:r>
        <w:t>El aviso crítico debe abrir con el case ID y una frase que describa el riesgo. Después presenta la cronología, la evidencia y los factores de prioridad. Las acciones aparecen ordenadas y con plazo. El mensaje finaliza con las cuatro respuestas disponibles. La redacción evita absolutos como 'el equipo fue comprometido' cuando solo existe sospecha.</w:t>
      </w:r>
    </w:p>
    <w:p>
      <w:pPr>
        <w:pStyle w:val="Heading2"/>
      </w:pPr>
      <w:r>
        <w:t>18.2 Solicitud de confirmación</w:t>
      </w:r>
    </w:p>
    <w:p>
      <w:pPr>
        <w:jc w:val="both"/>
      </w:pPr>
      <w:r>
        <w:t>Cuando la evidencia puede corresponder a actividad legítima, el mensaje pregunta de manera específica: si la cuenta, la IP, el horario o el cambio estaban autorizados. La respuesta del cliente alimenta el caso y el tuning. Una pregunta genérica como '¿esto es normal?' no proporciona información suficiente.</w:t>
      </w:r>
    </w:p>
    <w:p>
      <w:pPr>
        <w:pStyle w:val="Heading2"/>
      </w:pPr>
      <w:r>
        <w:t>18.3 Cierre</w:t>
      </w:r>
    </w:p>
    <w:p>
      <w:pPr>
        <w:jc w:val="both"/>
      </w:pPr>
      <w:r>
        <w:t>La comunicación de cierre resume el incidente, acciones realizadas, periodo observado y motivo del cierre. Si existió un falso positivo, indica qué ajuste se efectuó. Si se aceptó un riesgo, registra responsable y fecha de revisión.</w:t>
      </w:r>
    </w:p>
    <w:p>
      <w:pPr>
        <w:pStyle w:val="Heading1"/>
      </w:pPr>
      <w:r>
        <w:t>19. Reuniones y gobierno del servicio</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6"/>
              </w:rPr>
              <w:t>Reunión</w:t>
            </w:r>
          </w:p>
        </w:tc>
        <w:tc>
          <w:tcPr>
            <w:tcW w:type="dxa" w:w="2479"/>
            <w:shd w:fill="D9E2F3"/>
          </w:tcPr>
          <w:p>
            <w:r>
              <w:rPr>
                <w:b/>
                <w:sz w:val="16"/>
              </w:rPr>
              <w:t>Frecuencia</w:t>
            </w:r>
          </w:p>
        </w:tc>
        <w:tc>
          <w:tcPr>
            <w:tcW w:type="dxa" w:w="2479"/>
            <w:shd w:fill="D9E2F3"/>
          </w:tcPr>
          <w:p>
            <w:r>
              <w:rPr>
                <w:b/>
                <w:sz w:val="16"/>
              </w:rPr>
              <w:t>Participantes</w:t>
            </w:r>
          </w:p>
        </w:tc>
        <w:tc>
          <w:tcPr>
            <w:tcW w:type="dxa" w:w="2479"/>
            <w:shd w:fill="D9E2F3"/>
          </w:tcPr>
          <w:p>
            <w:r>
              <w:rPr>
                <w:b/>
                <w:sz w:val="16"/>
              </w:rPr>
              <w:t>Objetivo</w:t>
            </w:r>
          </w:p>
        </w:tc>
      </w:tr>
      <w:tr>
        <w:tc>
          <w:tcPr>
            <w:tcW w:type="dxa" w:w="2479"/>
          </w:tcPr>
          <w:p>
            <w:pPr>
              <w:jc w:val="left"/>
            </w:pPr>
            <w:r>
              <w:rPr>
                <w:sz w:val="16"/>
              </w:rPr>
              <w:t>Revisión operativa</w:t>
            </w:r>
          </w:p>
        </w:tc>
        <w:tc>
          <w:tcPr>
            <w:tcW w:type="dxa" w:w="2479"/>
          </w:tcPr>
          <w:p>
            <w:pPr>
              <w:jc w:val="left"/>
            </w:pPr>
            <w:r>
              <w:rPr>
                <w:sz w:val="16"/>
              </w:rPr>
              <w:t>Semanal</w:t>
            </w:r>
          </w:p>
        </w:tc>
        <w:tc>
          <w:tcPr>
            <w:tcW w:type="dxa" w:w="2479"/>
          </w:tcPr>
          <w:p>
            <w:pPr>
              <w:jc w:val="left"/>
            </w:pPr>
            <w:r>
              <w:rPr>
                <w:sz w:val="16"/>
              </w:rPr>
              <w:t>SOC y producto</w:t>
            </w:r>
          </w:p>
        </w:tc>
        <w:tc>
          <w:tcPr>
            <w:tcW w:type="dxa" w:w="2479"/>
          </w:tcPr>
          <w:p>
            <w:pPr>
              <w:jc w:val="left"/>
            </w:pPr>
            <w:r>
              <w:rPr>
                <w:sz w:val="16"/>
              </w:rPr>
              <w:t>Casos, FP y bloqueos</w:t>
            </w:r>
          </w:p>
        </w:tc>
      </w:tr>
      <w:tr>
        <w:tc>
          <w:tcPr>
            <w:tcW w:type="dxa" w:w="2479"/>
          </w:tcPr>
          <w:p>
            <w:pPr>
              <w:jc w:val="left"/>
            </w:pPr>
            <w:r>
              <w:rPr>
                <w:sz w:val="16"/>
              </w:rPr>
              <w:t>Revisión cliente</w:t>
            </w:r>
          </w:p>
        </w:tc>
        <w:tc>
          <w:tcPr>
            <w:tcW w:type="dxa" w:w="2479"/>
          </w:tcPr>
          <w:p>
            <w:pPr>
              <w:jc w:val="left"/>
            </w:pPr>
            <w:r>
              <w:rPr>
                <w:sz w:val="16"/>
              </w:rPr>
              <w:t>Mensual</w:t>
            </w:r>
          </w:p>
        </w:tc>
        <w:tc>
          <w:tcPr>
            <w:tcW w:type="dxa" w:w="2479"/>
          </w:tcPr>
          <w:p>
            <w:pPr>
              <w:jc w:val="left"/>
            </w:pPr>
            <w:r>
              <w:rPr>
                <w:sz w:val="16"/>
              </w:rPr>
              <w:t>Cliente y servicio</w:t>
            </w:r>
          </w:p>
        </w:tc>
        <w:tc>
          <w:tcPr>
            <w:tcW w:type="dxa" w:w="2479"/>
          </w:tcPr>
          <w:p>
            <w:pPr>
              <w:jc w:val="left"/>
            </w:pPr>
            <w:r>
              <w:rPr>
                <w:sz w:val="16"/>
              </w:rPr>
              <w:t>SLA, tendencias y acciones</w:t>
            </w:r>
          </w:p>
        </w:tc>
      </w:tr>
      <w:tr>
        <w:tc>
          <w:tcPr>
            <w:tcW w:type="dxa" w:w="2479"/>
          </w:tcPr>
          <w:p>
            <w:pPr>
              <w:jc w:val="left"/>
            </w:pPr>
            <w:r>
              <w:rPr>
                <w:sz w:val="16"/>
              </w:rPr>
              <w:t>Tuning</w:t>
            </w:r>
          </w:p>
        </w:tc>
        <w:tc>
          <w:tcPr>
            <w:tcW w:type="dxa" w:w="2479"/>
          </w:tcPr>
          <w:p>
            <w:pPr>
              <w:jc w:val="left"/>
            </w:pPr>
            <w:r>
              <w:rPr>
                <w:sz w:val="16"/>
              </w:rPr>
              <w:t>Mensual o por necesidad</w:t>
            </w:r>
          </w:p>
        </w:tc>
        <w:tc>
          <w:tcPr>
            <w:tcW w:type="dxa" w:w="2479"/>
          </w:tcPr>
          <w:p>
            <w:pPr>
              <w:jc w:val="left"/>
            </w:pPr>
            <w:r>
              <w:rPr>
                <w:sz w:val="16"/>
              </w:rPr>
              <w:t>Wazuh/SOC</w:t>
            </w:r>
          </w:p>
        </w:tc>
        <w:tc>
          <w:tcPr>
            <w:tcW w:type="dxa" w:w="2479"/>
          </w:tcPr>
          <w:p>
            <w:pPr>
              <w:jc w:val="left"/>
            </w:pPr>
            <w:r>
              <w:rPr>
                <w:sz w:val="16"/>
              </w:rPr>
              <w:t>Cambios y validación</w:t>
            </w:r>
          </w:p>
        </w:tc>
      </w:tr>
      <w:tr>
        <w:tc>
          <w:tcPr>
            <w:tcW w:type="dxa" w:w="2479"/>
          </w:tcPr>
          <w:p>
            <w:pPr>
              <w:jc w:val="left"/>
            </w:pPr>
            <w:r>
              <w:rPr>
                <w:sz w:val="16"/>
              </w:rPr>
              <w:t>Riesgos</w:t>
            </w:r>
          </w:p>
        </w:tc>
        <w:tc>
          <w:tcPr>
            <w:tcW w:type="dxa" w:w="2479"/>
          </w:tcPr>
          <w:p>
            <w:pPr>
              <w:jc w:val="left"/>
            </w:pPr>
            <w:r>
              <w:rPr>
                <w:sz w:val="16"/>
              </w:rPr>
              <w:t>Trimestral</w:t>
            </w:r>
          </w:p>
        </w:tc>
        <w:tc>
          <w:tcPr>
            <w:tcW w:type="dxa" w:w="2479"/>
          </w:tcPr>
          <w:p>
            <w:pPr>
              <w:jc w:val="left"/>
            </w:pPr>
            <w:r>
              <w:rPr>
                <w:sz w:val="16"/>
              </w:rPr>
              <w:t>Jefatura y seguridad</w:t>
            </w:r>
          </w:p>
        </w:tc>
        <w:tc>
          <w:tcPr>
            <w:tcW w:type="dxa" w:w="2479"/>
          </w:tcPr>
          <w:p>
            <w:pPr>
              <w:jc w:val="left"/>
            </w:pPr>
            <w:r>
              <w:rPr>
                <w:sz w:val="16"/>
              </w:rPr>
              <w:t>Capacidad, proveedores y continuidad</w:t>
            </w:r>
          </w:p>
        </w:tc>
      </w:tr>
      <w:tr>
        <w:tc>
          <w:tcPr>
            <w:tcW w:type="dxa" w:w="2479"/>
          </w:tcPr>
          <w:p>
            <w:pPr>
              <w:jc w:val="left"/>
            </w:pPr>
            <w:r>
              <w:rPr>
                <w:sz w:val="16"/>
              </w:rPr>
              <w:t>Post-incidente</w:t>
            </w:r>
          </w:p>
        </w:tc>
        <w:tc>
          <w:tcPr>
            <w:tcW w:type="dxa" w:w="2479"/>
          </w:tcPr>
          <w:p>
            <w:pPr>
              <w:jc w:val="left"/>
            </w:pPr>
            <w:r>
              <w:rPr>
                <w:sz w:val="16"/>
              </w:rPr>
              <w:t>Por incidente</w:t>
            </w:r>
          </w:p>
        </w:tc>
        <w:tc>
          <w:tcPr>
            <w:tcW w:type="dxa" w:w="2479"/>
          </w:tcPr>
          <w:p>
            <w:pPr>
              <w:jc w:val="left"/>
            </w:pPr>
            <w:r>
              <w:rPr>
                <w:sz w:val="16"/>
              </w:rPr>
              <w:t>Partes involucradas</w:t>
            </w:r>
          </w:p>
        </w:tc>
        <w:tc>
          <w:tcPr>
            <w:tcW w:type="dxa" w:w="2479"/>
          </w:tcPr>
          <w:p>
            <w:pPr>
              <w:jc w:val="left"/>
            </w:pPr>
            <w:r>
              <w:rPr>
                <w:sz w:val="16"/>
              </w:rPr>
              <w:t>Lecciones y acciones</w:t>
            </w:r>
          </w:p>
        </w:tc>
      </w:tr>
    </w:tbl>
    <w:p/>
    <w:p>
      <w:pPr>
        <w:jc w:val="both"/>
      </w:pPr>
      <w:r>
        <w:t>Las reuniones deben utilizar métricas extraídas del sistema, no impresiones aisladas. Cada acuerdo produce responsable y fecha. El gobierno permite decidir cuándo una nueva familia está lista para incorporarse.</w:t>
      </w:r>
    </w:p>
    <w:p>
      <w:pPr>
        <w:pStyle w:val="Heading1"/>
      </w:pPr>
      <w:r>
        <w:t>20. Criterios de calidad de una comunicación</w:t>
      </w:r>
    </w:p>
    <w:p>
      <w:pPr>
        <w:pStyle w:val="ListBullet"/>
        <w:jc w:val="left"/>
      </w:pPr>
      <w:r>
        <w:t>Describe hechos y separa inferencias.</w:t>
      </w:r>
    </w:p>
    <w:p>
      <w:pPr>
        <w:pStyle w:val="ListBullet"/>
        <w:jc w:val="left"/>
      </w:pPr>
      <w:r>
        <w:t>Identifica el activo y el impacto de negocio.</w:t>
      </w:r>
    </w:p>
    <w:p>
      <w:pPr>
        <w:pStyle w:val="ListBullet"/>
        <w:jc w:val="left"/>
      </w:pPr>
      <w:r>
        <w:t>Utiliza evidencia necesaria y no expone datos excesivos.</w:t>
      </w:r>
    </w:p>
    <w:p>
      <w:pPr>
        <w:pStyle w:val="ListBullet"/>
        <w:jc w:val="left"/>
      </w:pPr>
      <w:r>
        <w:t>Explica por qué la prioridad es la indicada.</w:t>
      </w:r>
    </w:p>
    <w:p>
      <w:pPr>
        <w:pStyle w:val="ListBullet"/>
        <w:jc w:val="left"/>
      </w:pPr>
      <w:r>
        <w:t>Propone acciones aprobadas y realizables.</w:t>
      </w:r>
    </w:p>
    <w:p>
      <w:pPr>
        <w:pStyle w:val="ListBullet"/>
        <w:jc w:val="left"/>
      </w:pPr>
      <w:r>
        <w:t>Define plazo, responsable y canal de respuesta.</w:t>
      </w:r>
    </w:p>
    <w:p>
      <w:pPr>
        <w:pStyle w:val="ListBullet"/>
        <w:jc w:val="left"/>
      </w:pPr>
      <w:r>
        <w:t>Evita mensajes repetidos sin información nueva.</w:t>
      </w:r>
    </w:p>
    <w:p>
      <w:pPr>
        <w:pStyle w:val="Heading1"/>
      </w:pPr>
      <w:r>
        <w:t>21. Runbook resumido de atención de un caso crítico</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6"/>
              </w:rPr>
              <w:t>Paso</w:t>
            </w:r>
          </w:p>
        </w:tc>
        <w:tc>
          <w:tcPr>
            <w:tcW w:type="dxa" w:w="3305"/>
            <w:shd w:fill="D9E2F3"/>
          </w:tcPr>
          <w:p>
            <w:r>
              <w:rPr>
                <w:b/>
                <w:sz w:val="16"/>
              </w:rPr>
              <w:t>Acción del operador/analista</w:t>
            </w:r>
          </w:p>
        </w:tc>
        <w:tc>
          <w:tcPr>
            <w:tcW w:type="dxa" w:w="3305"/>
            <w:shd w:fill="D9E2F3"/>
          </w:tcPr>
          <w:p>
            <w:r>
              <w:rPr>
                <w:b/>
                <w:sz w:val="16"/>
              </w:rPr>
              <w:t>Evidencia</w:t>
            </w:r>
          </w:p>
        </w:tc>
      </w:tr>
      <w:tr>
        <w:tc>
          <w:tcPr>
            <w:tcW w:type="dxa" w:w="3305"/>
          </w:tcPr>
          <w:p>
            <w:pPr>
              <w:jc w:val="left"/>
            </w:pPr>
            <w:r>
              <w:rPr>
                <w:sz w:val="16"/>
              </w:rPr>
              <w:t>1</w:t>
            </w:r>
          </w:p>
        </w:tc>
        <w:tc>
          <w:tcPr>
            <w:tcW w:type="dxa" w:w="3305"/>
          </w:tcPr>
          <w:p>
            <w:pPr>
              <w:jc w:val="left"/>
            </w:pPr>
            <w:r>
              <w:rPr>
                <w:sz w:val="16"/>
              </w:rPr>
              <w:t>Confirmar tenant, activo y case type</w:t>
            </w:r>
          </w:p>
        </w:tc>
        <w:tc>
          <w:tcPr>
            <w:tcW w:type="dxa" w:w="3305"/>
          </w:tcPr>
          <w:p>
            <w:pPr>
              <w:jc w:val="left"/>
            </w:pPr>
            <w:r>
              <w:rPr>
                <w:sz w:val="16"/>
              </w:rPr>
              <w:t>Mapping y case ID</w:t>
            </w:r>
          </w:p>
        </w:tc>
      </w:tr>
      <w:tr>
        <w:tc>
          <w:tcPr>
            <w:tcW w:type="dxa" w:w="3305"/>
          </w:tcPr>
          <w:p>
            <w:pPr>
              <w:jc w:val="left"/>
            </w:pPr>
            <w:r>
              <w:rPr>
                <w:sz w:val="16"/>
              </w:rPr>
              <w:t>2</w:t>
            </w:r>
          </w:p>
        </w:tc>
        <w:tc>
          <w:tcPr>
            <w:tcW w:type="dxa" w:w="3305"/>
          </w:tcPr>
          <w:p>
            <w:pPr>
              <w:jc w:val="left"/>
            </w:pPr>
            <w:r>
              <w:rPr>
                <w:sz w:val="16"/>
              </w:rPr>
              <w:t>Leer cronología y evento original</w:t>
            </w:r>
          </w:p>
        </w:tc>
        <w:tc>
          <w:tcPr>
            <w:tcW w:type="dxa" w:w="3305"/>
          </w:tcPr>
          <w:p>
            <w:pPr>
              <w:jc w:val="left"/>
            </w:pPr>
            <w:r>
              <w:rPr>
                <w:sz w:val="16"/>
              </w:rPr>
              <w:t>Raw event/evidencias</w:t>
            </w:r>
          </w:p>
        </w:tc>
      </w:tr>
      <w:tr>
        <w:tc>
          <w:tcPr>
            <w:tcW w:type="dxa" w:w="3305"/>
          </w:tcPr>
          <w:p>
            <w:pPr>
              <w:jc w:val="left"/>
            </w:pPr>
            <w:r>
              <w:rPr>
                <w:sz w:val="16"/>
              </w:rPr>
              <w:t>3</w:t>
            </w:r>
          </w:p>
        </w:tc>
        <w:tc>
          <w:tcPr>
            <w:tcW w:type="dxa" w:w="3305"/>
          </w:tcPr>
          <w:p>
            <w:pPr>
              <w:jc w:val="left"/>
            </w:pPr>
            <w:r>
              <w:rPr>
                <w:sz w:val="16"/>
              </w:rPr>
              <w:t>Validar enriquecimientos y frescura</w:t>
            </w:r>
          </w:p>
        </w:tc>
        <w:tc>
          <w:tcPr>
            <w:tcW w:type="dxa" w:w="3305"/>
          </w:tcPr>
          <w:p>
            <w:pPr>
              <w:jc w:val="left"/>
            </w:pPr>
            <w:r>
              <w:rPr>
                <w:sz w:val="16"/>
              </w:rPr>
              <w:t>Provider y fetched_at</w:t>
            </w:r>
          </w:p>
        </w:tc>
      </w:tr>
      <w:tr>
        <w:tc>
          <w:tcPr>
            <w:tcW w:type="dxa" w:w="3305"/>
          </w:tcPr>
          <w:p>
            <w:pPr>
              <w:jc w:val="left"/>
            </w:pPr>
            <w:r>
              <w:rPr>
                <w:sz w:val="16"/>
              </w:rPr>
              <w:t>4</w:t>
            </w:r>
          </w:p>
        </w:tc>
        <w:tc>
          <w:tcPr>
            <w:tcW w:type="dxa" w:w="3305"/>
          </w:tcPr>
          <w:p>
            <w:pPr>
              <w:jc w:val="left"/>
            </w:pPr>
            <w:r>
              <w:rPr>
                <w:sz w:val="16"/>
              </w:rPr>
              <w:t>Revisar prioridad y factores</w:t>
            </w:r>
          </w:p>
        </w:tc>
        <w:tc>
          <w:tcPr>
            <w:tcW w:type="dxa" w:w="3305"/>
          </w:tcPr>
          <w:p>
            <w:pPr>
              <w:jc w:val="left"/>
            </w:pPr>
            <w:r>
              <w:rPr>
                <w:sz w:val="16"/>
              </w:rPr>
              <w:t>Risk result</w:t>
            </w:r>
          </w:p>
        </w:tc>
      </w:tr>
      <w:tr>
        <w:tc>
          <w:tcPr>
            <w:tcW w:type="dxa" w:w="3305"/>
          </w:tcPr>
          <w:p>
            <w:pPr>
              <w:jc w:val="left"/>
            </w:pPr>
            <w:r>
              <w:rPr>
                <w:sz w:val="16"/>
              </w:rPr>
              <w:t>5</w:t>
            </w:r>
          </w:p>
        </w:tc>
        <w:tc>
          <w:tcPr>
            <w:tcW w:type="dxa" w:w="3305"/>
          </w:tcPr>
          <w:p>
            <w:pPr>
              <w:jc w:val="left"/>
            </w:pPr>
            <w:r>
              <w:rPr>
                <w:sz w:val="16"/>
              </w:rPr>
              <w:t>Seleccionar/verificar procedimiento</w:t>
            </w:r>
          </w:p>
        </w:tc>
        <w:tc>
          <w:tcPr>
            <w:tcW w:type="dxa" w:w="3305"/>
          </w:tcPr>
          <w:p>
            <w:pPr>
              <w:jc w:val="left"/>
            </w:pPr>
            <w:r>
              <w:rPr>
                <w:sz w:val="16"/>
              </w:rPr>
              <w:t>Procedure version</w:t>
            </w:r>
          </w:p>
        </w:tc>
      </w:tr>
      <w:tr>
        <w:tc>
          <w:tcPr>
            <w:tcW w:type="dxa" w:w="3305"/>
          </w:tcPr>
          <w:p>
            <w:pPr>
              <w:jc w:val="left"/>
            </w:pPr>
            <w:r>
              <w:rPr>
                <w:sz w:val="16"/>
              </w:rPr>
              <w:t>6</w:t>
            </w:r>
          </w:p>
        </w:tc>
        <w:tc>
          <w:tcPr>
            <w:tcW w:type="dxa" w:w="3305"/>
          </w:tcPr>
          <w:p>
            <w:pPr>
              <w:jc w:val="left"/>
            </w:pPr>
            <w:r>
              <w:rPr>
                <w:sz w:val="16"/>
              </w:rPr>
              <w:t>Sanitizar comunicación</w:t>
            </w:r>
          </w:p>
        </w:tc>
        <w:tc>
          <w:tcPr>
            <w:tcW w:type="dxa" w:w="3305"/>
          </w:tcPr>
          <w:p>
            <w:pPr>
              <w:jc w:val="left"/>
            </w:pPr>
            <w:r>
              <w:rPr>
                <w:sz w:val="16"/>
              </w:rPr>
              <w:t>Checklist</w:t>
            </w:r>
          </w:p>
        </w:tc>
      </w:tr>
      <w:tr>
        <w:tc>
          <w:tcPr>
            <w:tcW w:type="dxa" w:w="3305"/>
          </w:tcPr>
          <w:p>
            <w:pPr>
              <w:jc w:val="left"/>
            </w:pPr>
            <w:r>
              <w:rPr>
                <w:sz w:val="16"/>
              </w:rPr>
              <w:t>7</w:t>
            </w:r>
          </w:p>
        </w:tc>
        <w:tc>
          <w:tcPr>
            <w:tcW w:type="dxa" w:w="3305"/>
          </w:tcPr>
          <w:p>
            <w:pPr>
              <w:jc w:val="left"/>
            </w:pPr>
            <w:r>
              <w:rPr>
                <w:sz w:val="16"/>
              </w:rPr>
              <w:t>Aprobar y enviar</w:t>
            </w:r>
          </w:p>
        </w:tc>
        <w:tc>
          <w:tcPr>
            <w:tcW w:type="dxa" w:w="3305"/>
          </w:tcPr>
          <w:p>
            <w:pPr>
              <w:jc w:val="left"/>
            </w:pPr>
            <w:r>
              <w:rPr>
                <w:sz w:val="16"/>
              </w:rPr>
              <w:t>Reviewer y message ID</w:t>
            </w:r>
          </w:p>
        </w:tc>
      </w:tr>
      <w:tr>
        <w:tc>
          <w:tcPr>
            <w:tcW w:type="dxa" w:w="3305"/>
          </w:tcPr>
          <w:p>
            <w:pPr>
              <w:jc w:val="left"/>
            </w:pPr>
            <w:r>
              <w:rPr>
                <w:sz w:val="16"/>
              </w:rPr>
              <w:t>8</w:t>
            </w:r>
          </w:p>
        </w:tc>
        <w:tc>
          <w:tcPr>
            <w:tcW w:type="dxa" w:w="3305"/>
          </w:tcPr>
          <w:p>
            <w:pPr>
              <w:jc w:val="left"/>
            </w:pPr>
            <w:r>
              <w:rPr>
                <w:sz w:val="16"/>
              </w:rPr>
              <w:t>Confirmar entrega</w:t>
            </w:r>
          </w:p>
        </w:tc>
        <w:tc>
          <w:tcPr>
            <w:tcW w:type="dxa" w:w="3305"/>
          </w:tcPr>
          <w:p>
            <w:pPr>
              <w:jc w:val="left"/>
            </w:pPr>
            <w:r>
              <w:rPr>
                <w:sz w:val="16"/>
              </w:rPr>
              <w:t>Provider status</w:t>
            </w:r>
          </w:p>
        </w:tc>
      </w:tr>
      <w:tr>
        <w:tc>
          <w:tcPr>
            <w:tcW w:type="dxa" w:w="3305"/>
          </w:tcPr>
          <w:p>
            <w:pPr>
              <w:jc w:val="left"/>
            </w:pPr>
            <w:r>
              <w:rPr>
                <w:sz w:val="16"/>
              </w:rPr>
              <w:t>9</w:t>
            </w:r>
          </w:p>
        </w:tc>
        <w:tc>
          <w:tcPr>
            <w:tcW w:type="dxa" w:w="3305"/>
          </w:tcPr>
          <w:p>
            <w:pPr>
              <w:jc w:val="left"/>
            </w:pPr>
            <w:r>
              <w:rPr>
                <w:sz w:val="16"/>
              </w:rPr>
              <w:t>Hacer seguimiento</w:t>
            </w:r>
          </w:p>
        </w:tc>
        <w:tc>
          <w:tcPr>
            <w:tcW w:type="dxa" w:w="3305"/>
          </w:tcPr>
          <w:p>
            <w:pPr>
              <w:jc w:val="left"/>
            </w:pPr>
            <w:r>
              <w:rPr>
                <w:sz w:val="16"/>
              </w:rPr>
              <w:t>Respuestas y notas</w:t>
            </w:r>
          </w:p>
        </w:tc>
      </w:tr>
      <w:tr>
        <w:tc>
          <w:tcPr>
            <w:tcW w:type="dxa" w:w="3305"/>
          </w:tcPr>
          <w:p>
            <w:pPr>
              <w:jc w:val="left"/>
            </w:pPr>
            <w:r>
              <w:rPr>
                <w:sz w:val="16"/>
              </w:rPr>
              <w:t>10</w:t>
            </w:r>
          </w:p>
        </w:tc>
        <w:tc>
          <w:tcPr>
            <w:tcW w:type="dxa" w:w="3305"/>
          </w:tcPr>
          <w:p>
            <w:pPr>
              <w:jc w:val="left"/>
            </w:pPr>
            <w:r>
              <w:rPr>
                <w:sz w:val="16"/>
              </w:rPr>
              <w:t>Resolver/cerrar o escalar</w:t>
            </w:r>
          </w:p>
        </w:tc>
        <w:tc>
          <w:tcPr>
            <w:tcW w:type="dxa" w:w="3305"/>
          </w:tcPr>
          <w:p>
            <w:pPr>
              <w:jc w:val="left"/>
            </w:pPr>
            <w:r>
              <w:rPr>
                <w:sz w:val="16"/>
              </w:rPr>
              <w:t>Estado y motivo</w:t>
            </w:r>
          </w:p>
        </w:tc>
      </w:tr>
    </w:tbl>
    <w:p/>
    <w:p>
      <w:pPr>
        <w:jc w:val="both"/>
      </w:pPr>
      <w:r>
        <w:t>Si en cualquiera de los pasos se detecta una inconsistencia de tenant, el caso se detiene y escala internamente. Si falta un enriquecimiento no obligatorio, se registra la limitación. Si la comunicación automática no cumple la política, se usa una plantilla. El runbook debe estar disponible para el turno y no depender de memoria.</w:t>
      </w:r>
    </w:p>
    <w:p>
      <w:pPr>
        <w:pStyle w:val="Heading1"/>
      </w:pPr>
      <w:r>
        <w:t>22. Ejemplos de mensajes según estado</w:t>
      </w:r>
    </w:p>
    <w:p>
      <w:pPr>
        <w:pStyle w:val="Heading2"/>
      </w:pPr>
      <w:r>
        <w:t>22.1 Actualización sin nueva acción</w:t>
      </w:r>
    </w:p>
    <w:p>
      <w:pPr>
        <w:jc w:val="both"/>
      </w:pPr>
      <w:r>
        <w:t>El caso continúa abierto y se detectaron intentos adicionales desde la misma IP. La prioridad y las acciones recomendadas no han cambiado. Esta actualización se registra en el caso, pero no requiere un nuevo correo salvo que el cliente haya solicitado notificaciones de progreso.</w:t>
      </w:r>
    </w:p>
    <w:p>
      <w:pPr>
        <w:pStyle w:val="Heading2"/>
      </w:pPr>
      <w:r>
        <w:t>22.2 Recordatorio por falta de respuesta</w:t>
      </w:r>
    </w:p>
    <w:p>
      <w:pPr>
        <w:jc w:val="both"/>
      </w:pPr>
      <w:r>
        <w:t>El caso KRP-XXXX permanece pendiente de confirmación. La acción solicitada fue validar si el acceso era autorizado. Si no se recibe respuesta antes del plazo, se contactará al responsable alterno definido en el SLA. El recordatorio utiliza el mismo case ID y no se presenta como un incidente nuevo.</w:t>
      </w:r>
    </w:p>
    <w:p>
      <w:pPr>
        <w:pStyle w:val="Heading2"/>
      </w:pPr>
      <w:r>
        <w:t>22.3 Actividad legítima</w:t>
      </w:r>
    </w:p>
    <w:p>
      <w:pPr>
        <w:jc w:val="both"/>
      </w:pPr>
      <w:r>
        <w:t>El cliente informó que la actividad correspondía a una tarea autorizada. El analista verificó el origen y la ventana. El caso se marca como actividad legítima y se evaluará una excepción temporal o ajuste de política. La evidencia se conserva para auditoría.</w:t>
      </w:r>
    </w:p>
    <w:p>
      <w:pPr>
        <w:pStyle w:val="Heading1"/>
      </w:pPr>
      <w:r>
        <w:t>23. Gestión de calidad del servicio</w:t>
      </w:r>
    </w:p>
    <w:p>
      <w:pPr>
        <w:jc w:val="both"/>
      </w:pPr>
      <w:r>
        <w:t>La calidad se revisa mediante una muestra de casos cerrados. Se evalúa si la prioridad fue correcta, si la comunicación contenía evidencia suficiente, si las acciones eran realizables y si el cierre estaba justificado. Los errores se clasifican como detección, contexto, operación o comunicación.</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6"/>
              </w:rPr>
              <w:t>Tipo de hallazgo</w:t>
            </w:r>
          </w:p>
        </w:tc>
        <w:tc>
          <w:tcPr>
            <w:tcW w:type="dxa" w:w="3305"/>
            <w:shd w:fill="D9E2F3"/>
          </w:tcPr>
          <w:p>
            <w:r>
              <w:rPr>
                <w:b/>
                <w:sz w:val="16"/>
              </w:rPr>
              <w:t>Ejemplo</w:t>
            </w:r>
          </w:p>
        </w:tc>
        <w:tc>
          <w:tcPr>
            <w:tcW w:type="dxa" w:w="3305"/>
            <w:shd w:fill="D9E2F3"/>
          </w:tcPr>
          <w:p>
            <w:r>
              <w:rPr>
                <w:b/>
                <w:sz w:val="16"/>
              </w:rPr>
              <w:t>Acción</w:t>
            </w:r>
          </w:p>
        </w:tc>
      </w:tr>
      <w:tr>
        <w:tc>
          <w:tcPr>
            <w:tcW w:type="dxa" w:w="3305"/>
          </w:tcPr>
          <w:p>
            <w:pPr>
              <w:jc w:val="left"/>
            </w:pPr>
            <w:r>
              <w:rPr>
                <w:sz w:val="16"/>
              </w:rPr>
              <w:t>Detección</w:t>
            </w:r>
          </w:p>
        </w:tc>
        <w:tc>
          <w:tcPr>
            <w:tcW w:type="dxa" w:w="3305"/>
          </w:tcPr>
          <w:p>
            <w:pPr>
              <w:jc w:val="left"/>
            </w:pPr>
            <w:r>
              <w:rPr>
                <w:sz w:val="16"/>
              </w:rPr>
              <w:t>Regla demasiado amplia</w:t>
            </w:r>
          </w:p>
        </w:tc>
        <w:tc>
          <w:tcPr>
            <w:tcW w:type="dxa" w:w="3305"/>
          </w:tcPr>
          <w:p>
            <w:pPr>
              <w:jc w:val="left"/>
            </w:pPr>
            <w:r>
              <w:rPr>
                <w:sz w:val="16"/>
              </w:rPr>
              <w:t>Tuning y shadow</w:t>
            </w:r>
          </w:p>
        </w:tc>
      </w:tr>
      <w:tr>
        <w:tc>
          <w:tcPr>
            <w:tcW w:type="dxa" w:w="3305"/>
          </w:tcPr>
          <w:p>
            <w:pPr>
              <w:jc w:val="left"/>
            </w:pPr>
            <w:r>
              <w:rPr>
                <w:sz w:val="16"/>
              </w:rPr>
              <w:t>Contexto</w:t>
            </w:r>
          </w:p>
        </w:tc>
        <w:tc>
          <w:tcPr>
            <w:tcW w:type="dxa" w:w="3305"/>
          </w:tcPr>
          <w:p>
            <w:pPr>
              <w:jc w:val="left"/>
            </w:pPr>
            <w:r>
              <w:rPr>
                <w:sz w:val="16"/>
              </w:rPr>
              <w:t>Activo mal clasificado</w:t>
            </w:r>
          </w:p>
        </w:tc>
        <w:tc>
          <w:tcPr>
            <w:tcW w:type="dxa" w:w="3305"/>
          </w:tcPr>
          <w:p>
            <w:pPr>
              <w:jc w:val="left"/>
            </w:pPr>
            <w:r>
              <w:rPr>
                <w:sz w:val="16"/>
              </w:rPr>
              <w:t>Corregir CMDB</w:t>
            </w:r>
          </w:p>
        </w:tc>
      </w:tr>
      <w:tr>
        <w:tc>
          <w:tcPr>
            <w:tcW w:type="dxa" w:w="3305"/>
          </w:tcPr>
          <w:p>
            <w:pPr>
              <w:jc w:val="left"/>
            </w:pPr>
            <w:r>
              <w:rPr>
                <w:sz w:val="16"/>
              </w:rPr>
              <w:t>Operación</w:t>
            </w:r>
          </w:p>
        </w:tc>
        <w:tc>
          <w:tcPr>
            <w:tcW w:type="dxa" w:w="3305"/>
          </w:tcPr>
          <w:p>
            <w:pPr>
              <w:jc w:val="left"/>
            </w:pPr>
            <w:r>
              <w:rPr>
                <w:sz w:val="16"/>
              </w:rPr>
              <w:t>SLA vencido</w:t>
            </w:r>
          </w:p>
        </w:tc>
        <w:tc>
          <w:tcPr>
            <w:tcW w:type="dxa" w:w="3305"/>
          </w:tcPr>
          <w:p>
            <w:pPr>
              <w:jc w:val="left"/>
            </w:pPr>
            <w:r>
              <w:rPr>
                <w:sz w:val="16"/>
              </w:rPr>
              <w:t>Capacidad/proceso</w:t>
            </w:r>
          </w:p>
        </w:tc>
      </w:tr>
      <w:tr>
        <w:tc>
          <w:tcPr>
            <w:tcW w:type="dxa" w:w="3305"/>
          </w:tcPr>
          <w:p>
            <w:pPr>
              <w:jc w:val="left"/>
            </w:pPr>
            <w:r>
              <w:rPr>
                <w:sz w:val="16"/>
              </w:rPr>
              <w:t>Comunicación</w:t>
            </w:r>
          </w:p>
        </w:tc>
        <w:tc>
          <w:tcPr>
            <w:tcW w:type="dxa" w:w="3305"/>
          </w:tcPr>
          <w:p>
            <w:pPr>
              <w:jc w:val="left"/>
            </w:pPr>
            <w:r>
              <w:rPr>
                <w:sz w:val="16"/>
              </w:rPr>
              <w:t>Mensaje ambiguo</w:t>
            </w:r>
          </w:p>
        </w:tc>
        <w:tc>
          <w:tcPr>
            <w:tcW w:type="dxa" w:w="3305"/>
          </w:tcPr>
          <w:p>
            <w:pPr>
              <w:jc w:val="left"/>
            </w:pPr>
            <w:r>
              <w:rPr>
                <w:sz w:val="16"/>
              </w:rPr>
              <w:t>Plantilla/prompt</w:t>
            </w:r>
          </w:p>
        </w:tc>
      </w:tr>
      <w:tr>
        <w:tc>
          <w:tcPr>
            <w:tcW w:type="dxa" w:w="3305"/>
          </w:tcPr>
          <w:p>
            <w:pPr>
              <w:jc w:val="left"/>
            </w:pPr>
            <w:r>
              <w:rPr>
                <w:sz w:val="16"/>
              </w:rPr>
              <w:t>Seguimiento</w:t>
            </w:r>
          </w:p>
        </w:tc>
        <w:tc>
          <w:tcPr>
            <w:tcW w:type="dxa" w:w="3305"/>
          </w:tcPr>
          <w:p>
            <w:pPr>
              <w:jc w:val="left"/>
            </w:pPr>
            <w:r>
              <w:rPr>
                <w:sz w:val="16"/>
              </w:rPr>
              <w:t>Cierre sin evidencia</w:t>
            </w:r>
          </w:p>
        </w:tc>
        <w:tc>
          <w:tcPr>
            <w:tcW w:type="dxa" w:w="3305"/>
          </w:tcPr>
          <w:p>
            <w:pPr>
              <w:jc w:val="left"/>
            </w:pPr>
            <w:r>
              <w:rPr>
                <w:sz w:val="16"/>
              </w:rPr>
              <w:t>Reabrir y capacitar</w:t>
            </w:r>
          </w:p>
        </w:tc>
      </w:tr>
    </w:tbl>
    <w:p/>
    <w:p>
      <w:pPr>
        <w:pStyle w:val="Heading1"/>
      </w:pPr>
      <w:r>
        <w:t>24. Indicadores operativos mínimos</w:t>
      </w:r>
    </w:p>
    <w:p>
      <w:pPr>
        <w:pStyle w:val="ListBullet"/>
        <w:jc w:val="left"/>
      </w:pPr>
      <w:r>
        <w:t>Casos por cola y prioridad.</w:t>
      </w:r>
    </w:p>
    <w:p>
      <w:pPr>
        <w:pStyle w:val="ListBullet"/>
        <w:jc w:val="left"/>
      </w:pPr>
      <w:r>
        <w:t>SLA vencidos y próximos a vencer.</w:t>
      </w:r>
    </w:p>
    <w:p>
      <w:pPr>
        <w:pStyle w:val="ListBullet"/>
        <w:jc w:val="left"/>
      </w:pPr>
      <w:r>
        <w:t>Tiempo de revisión y seguimiento.</w:t>
      </w:r>
    </w:p>
    <w:p>
      <w:pPr>
        <w:pStyle w:val="ListBullet"/>
        <w:jc w:val="left"/>
      </w:pPr>
      <w:r>
        <w:t>Casos sin respuesta del cliente.</w:t>
      </w:r>
    </w:p>
    <w:p>
      <w:pPr>
        <w:pStyle w:val="ListBullet"/>
        <w:jc w:val="left"/>
      </w:pPr>
      <w:r>
        <w:t>Falsos positivos por familia.</w:t>
      </w:r>
    </w:p>
    <w:p>
      <w:pPr>
        <w:pStyle w:val="ListBullet"/>
        <w:jc w:val="left"/>
      </w:pPr>
      <w:r>
        <w:t>Comunicaciones fallidas o duplicadas.</w:t>
      </w:r>
    </w:p>
    <w:p>
      <w:pPr>
        <w:pStyle w:val="ListBullet"/>
        <w:jc w:val="left"/>
      </w:pPr>
      <w:r>
        <w:t>Minutos de analista por case type.</w:t>
      </w:r>
    </w:p>
    <w:p>
      <w:pPr>
        <w:pStyle w:val="ListBullet"/>
        <w:jc w:val="left"/>
      </w:pPr>
      <w:r>
        <w:t>Errores de plataforma que afectaron el servicio.</w:t>
      </w:r>
    </w:p>
    <w:sectPr w:rsidR="00FC693F" w:rsidRPr="0006063C" w:rsidSect="00034616">
      <w:headerReference w:type="default" r:id="rId9"/>
      <w:footerReference w:type="default" r:id="rId10"/>
      <w:pgSz w:w="12240" w:h="15840"/>
      <w:pgMar w:top="1020" w:right="1134"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Versión documental 2.0 | 22 de julio de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KRIPTOME MINISOC | OPERACIÓN Y CLIENTE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3854"/>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54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38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iberation Sans" w:hAnsi="Liberation Sans"/>
      <w:b w:val="0"/>
      <w:i/>
      <w:iCs/>
      <w:color w:val="5555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