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854"/>
          <w:sz w:val="38"/>
        </w:rPr>
        <w:br/>
        <w:t>KRIPTOME MINISOC</w:t>
        <w:br/>
      </w:r>
    </w:p>
    <w:p>
      <w:pPr>
        <w:jc w:val="center"/>
      </w:pPr>
      <w:r>
        <w:rPr>
          <w:b/>
          <w:color w:val="1F3854"/>
          <w:sz w:val="50"/>
        </w:rPr>
        <w:t>Seguridad, Pruebas, Implementación y Puesta en Marcha</w:t>
      </w:r>
    </w:p>
    <w:p>
      <w:pPr>
        <w:jc w:val="center"/>
      </w:pPr>
      <w:r>
        <w:rPr>
          <w:i/>
          <w:sz w:val="24"/>
        </w:rPr>
        <w:t>Controles, validación, roadmap técnico y criterios del piloto</w:t>
      </w:r>
    </w:p>
    <w:p/>
    <w:tbl>
      <w:tblPr>
        <w:tblStyle w:val="TableGrid"/>
        <w:tblW w:type="auto" w:w="0"/>
        <w:jc w:val="center"/>
        <w:tblLook w:firstColumn="1" w:firstRow="1" w:lastColumn="0" w:lastRow="0" w:noHBand="0" w:noVBand="1" w:val="04A0"/>
      </w:tblPr>
      <w:tblGrid>
        <w:gridCol w:w="4957"/>
        <w:gridCol w:w="4957"/>
      </w:tblGrid>
      <w:tr>
        <w:tc>
          <w:tcPr>
            <w:tcW w:type="dxa" w:w="4957"/>
            <w:shd w:fill="D9E2F3"/>
            <w:vAlign w:val="center"/>
          </w:tcPr>
          <w:p>
            <w:r>
              <w:rPr>
                <w:b/>
              </w:rPr>
              <w:t>Proyecto</w:t>
            </w:r>
          </w:p>
        </w:tc>
        <w:tc>
          <w:tcPr>
            <w:tcW w:type="dxa" w:w="4957"/>
            <w:vAlign w:val="center"/>
          </w:tcPr>
          <w:p>
            <w:r>
              <w:t>Kriptome MiniSOC</w:t>
            </w:r>
          </w:p>
        </w:tc>
      </w:tr>
      <w:tr>
        <w:tc>
          <w:tcPr>
            <w:tcW w:type="dxa" w:w="4957"/>
            <w:shd w:fill="D9E2F3"/>
            <w:vAlign w:val="center"/>
          </w:tcPr>
          <w:p>
            <w:r>
              <w:rPr>
                <w:b/>
              </w:rPr>
              <w:t>Repositorio base</w:t>
            </w:r>
          </w:p>
        </w:tc>
        <w:tc>
          <w:tcPr>
            <w:tcW w:type="dxa" w:w="4957"/>
            <w:vAlign w:val="center"/>
          </w:tcPr>
          <w:p>
            <w:r>
              <w:t>Repositorio v1.2.0 — commit ab772d198719</w:t>
            </w:r>
          </w:p>
        </w:tc>
      </w:tr>
      <w:tr>
        <w:tc>
          <w:tcPr>
            <w:tcW w:type="dxa" w:w="4957"/>
            <w:shd w:fill="D9E2F3"/>
            <w:vAlign w:val="center"/>
          </w:tcPr>
          <w:p>
            <w:r>
              <w:rPr>
                <w:b/>
              </w:rPr>
              <w:t>Estado</w:t>
            </w:r>
          </w:p>
        </w:tc>
        <w:tc>
          <w:tcPr>
            <w:tcW w:type="dxa" w:w="4957"/>
            <w:vAlign w:val="center"/>
          </w:tcPr>
          <w:p>
            <w:r>
              <w:t>Diseño técnico consolidado; implementación de la aplicación pendiente</w:t>
            </w:r>
          </w:p>
        </w:tc>
      </w:tr>
      <w:tr>
        <w:tc>
          <w:tcPr>
            <w:tcW w:type="dxa" w:w="4957"/>
            <w:shd w:fill="D9E2F3"/>
            <w:vAlign w:val="center"/>
          </w:tcPr>
          <w:p>
            <w:r>
              <w:rPr>
                <w:b/>
              </w:rPr>
              <w:t>Audiencia</w:t>
            </w:r>
          </w:p>
        </w:tc>
        <w:tc>
          <w:tcPr>
            <w:tcW w:type="dxa" w:w="4957"/>
            <w:vAlign w:val="center"/>
          </w:tcPr>
          <w:p>
            <w:r>
              <w:t>Seguridad, QA, desarrollo, infraestructura, SOC y jefatura</w:t>
            </w:r>
          </w:p>
        </w:tc>
      </w:tr>
      <w:tr>
        <w:tc>
          <w:tcPr>
            <w:tcW w:type="dxa" w:w="4957"/>
            <w:shd w:fill="D9E2F3"/>
            <w:vAlign w:val="center"/>
          </w:tcPr>
          <w:p>
            <w:r>
              <w:rPr>
                <w:b/>
              </w:rPr>
              <w:t>Versión</w:t>
            </w:r>
          </w:p>
        </w:tc>
        <w:tc>
          <w:tcPr>
            <w:tcW w:type="dxa" w:w="4957"/>
            <w:vAlign w:val="center"/>
          </w:tcPr>
          <w:p>
            <w:r>
              <w:t>Versión documental 2.0</w:t>
            </w:r>
          </w:p>
        </w:tc>
      </w:tr>
      <w:tr>
        <w:tc>
          <w:tcPr>
            <w:tcW w:type="dxa" w:w="4957"/>
            <w:shd w:fill="D9E2F3"/>
            <w:vAlign w:val="center"/>
          </w:tcPr>
          <w:p>
            <w:r>
              <w:rPr>
                <w:b/>
              </w:rPr>
              <w:t>Fecha</w:t>
            </w:r>
          </w:p>
        </w:tc>
        <w:tc>
          <w:tcPr>
            <w:tcW w:type="dxa" w:w="4957"/>
            <w:vAlign w:val="center"/>
          </w:tcPr>
          <w:p>
            <w:r>
              <w:t>22 de julio de 2026</w:t>
            </w:r>
          </w:p>
        </w:tc>
      </w:tr>
    </w:tbl>
    <w:p>
      <w:pPr>
        <w:jc w:val="center"/>
      </w:pPr>
      <w:r>
        <w:rPr>
          <w:i/>
        </w:rPr>
        <w:br/>
        <w:t>Documento elaborado a partir de los artefactos existentes en el repositorio. Las capacidades no implementadas se identifican expresamente como diseño o pendiente.</w:t>
      </w:r>
    </w:p>
    <w:p>
      <w:r>
        <w:br w:type="page"/>
      </w:r>
    </w:p>
    <w:p>
      <w:pPr>
        <w:pStyle w:val="Heading1"/>
      </w:pPr>
      <w:r>
        <w:t>Contenido</w:t>
      </w:r>
    </w:p>
    <w:p>
      <w:pPr>
        <w:spacing w:after="40"/>
      </w:pPr>
      <w:r>
        <w:rPr>
          <w:b/>
        </w:rPr>
        <w:t>1. Objetivo</w:t>
      </w:r>
    </w:p>
    <w:p>
      <w:pPr>
        <w:spacing w:after="40"/>
      </w:pPr>
      <w:r>
        <w:rPr>
          <w:b/>
        </w:rPr>
        <w:t>2. Modelo de amenazas</w:t>
      </w:r>
    </w:p>
    <w:p>
      <w:pPr>
        <w:spacing w:after="40"/>
      </w:pPr>
      <w:r>
        <w:rPr>
          <w:b/>
        </w:rPr>
        <w:t>3. Aislamiento multi-tenant</w:t>
      </w:r>
    </w:p>
    <w:p>
      <w:pPr>
        <w:spacing w:after="40"/>
      </w:pPr>
      <w:r>
        <w:rPr>
          <w:b/>
        </w:rPr>
        <w:t>4. Identidad y acceso</w:t>
      </w:r>
    </w:p>
    <w:p>
      <w:pPr>
        <w:spacing w:after="40"/>
      </w:pPr>
      <w:r>
        <w:rPr>
          <w:b/>
        </w:rPr>
        <w:t>5. Protección de datos y secretos</w:t>
      </w:r>
    </w:p>
    <w:p>
      <w:pPr>
        <w:spacing w:after="40"/>
      </w:pPr>
      <w:r>
        <w:rPr>
          <w:b/>
        </w:rPr>
        <w:t>6. Seguridad de IA y proveedores</w:t>
      </w:r>
    </w:p>
    <w:p>
      <w:pPr>
        <w:spacing w:after="40"/>
      </w:pPr>
      <w:r>
        <w:rPr>
          <w:b/>
        </w:rPr>
        <w:t>7. Continuidad</w:t>
      </w:r>
    </w:p>
    <w:p>
      <w:pPr>
        <w:spacing w:after="40"/>
      </w:pPr>
      <w:r>
        <w:rPr>
          <w:b/>
        </w:rPr>
        <w:t>8. Estrategia de pruebas</w:t>
      </w:r>
    </w:p>
    <w:p>
      <w:pPr>
        <w:spacing w:after="40"/>
      </w:pPr>
      <w:r>
        <w:rPr>
          <w:b/>
        </w:rPr>
        <w:t>9. Casos de prueba obligatorios</w:t>
      </w:r>
    </w:p>
    <w:p>
      <w:pPr>
        <w:spacing w:after="40"/>
      </w:pPr>
      <w:r>
        <w:rPr>
          <w:b/>
        </w:rPr>
        <w:t>10. Plan de implementación</w:t>
      </w:r>
    </w:p>
    <w:p>
      <w:pPr>
        <w:spacing w:after="40"/>
      </w:pPr>
      <w:r>
        <w:rPr>
          <w:b/>
        </w:rPr>
        <w:t>11. Infraestructura del piloto</w:t>
      </w:r>
    </w:p>
    <w:p>
      <w:pPr>
        <w:spacing w:after="40"/>
      </w:pPr>
      <w:r>
        <w:rPr>
          <w:b/>
        </w:rPr>
        <w:t>12. Go/No-Go</w:t>
      </w:r>
    </w:p>
    <w:p>
      <w:pPr>
        <w:spacing w:after="40"/>
      </w:pPr>
      <w:r>
        <w:rPr>
          <w:b/>
        </w:rPr>
        <w:t>13. Puesta en marcha y soporte</w:t>
      </w:r>
    </w:p>
    <w:p>
      <w:r>
        <w:br w:type="page"/>
      </w:r>
    </w:p>
    <w:p>
      <w:pPr>
        <w:pStyle w:val="Heading1"/>
      </w:pPr>
      <w:r>
        <w:t>1. Objetivo</w:t>
      </w:r>
    </w:p>
    <w:p>
      <w:r>
        <w:t>Este documento define las condiciones necesarias para construir y habilitar Kriptome sin presentar como probado lo que todavía es diseño. La seguridad y las pruebas no se dejan para el final: condicionan la estructura de datos, la ingesta, los casos y las comunicaciones.</w:t>
      </w:r>
    </w:p>
    <w:p>
      <w:pPr>
        <w:pStyle w:val="Heading1"/>
      </w:pPr>
      <w:r>
        <w:t>2. Modelo de amenazas</w:t>
      </w:r>
    </w:p>
    <w:p>
      <w:r>
        <w:t>Kriptome procesará información sensible de varios clientes. Las amenazas incluyen acceso cruzado, manipulación de labels, pérdida de eventos, envío al destinatario equivocado, exposición de logs, abuso de credenciales de proveedores, prompt injection y decisiones incorrectas por datos desactualizados.</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Amenaza</w:t>
            </w:r>
          </w:p>
        </w:tc>
        <w:tc>
          <w:tcPr>
            <w:tcW w:type="dxa" w:w="3305"/>
            <w:shd w:fill="D9E2F3"/>
          </w:tcPr>
          <w:p>
            <w:r>
              <w:rPr>
                <w:b/>
                <w:sz w:val="17"/>
              </w:rPr>
              <w:t>Activo</w:t>
            </w:r>
          </w:p>
        </w:tc>
        <w:tc>
          <w:tcPr>
            <w:tcW w:type="dxa" w:w="3305"/>
            <w:shd w:fill="D9E2F3"/>
          </w:tcPr>
          <w:p>
            <w:r>
              <w:rPr>
                <w:b/>
                <w:sz w:val="17"/>
              </w:rPr>
              <w:t>Control principal</w:t>
            </w:r>
          </w:p>
        </w:tc>
      </w:tr>
      <w:tr>
        <w:tc>
          <w:tcPr>
            <w:tcW w:type="dxa" w:w="3305"/>
            <w:vAlign w:val="top"/>
          </w:tcPr>
          <w:p>
            <w:pPr>
              <w:jc w:val="left"/>
            </w:pPr>
            <w:r>
              <w:rPr>
                <w:sz w:val="17"/>
              </w:rPr>
              <w:t>Fuga entre tenants</w:t>
            </w:r>
          </w:p>
        </w:tc>
        <w:tc>
          <w:tcPr>
            <w:tcW w:type="dxa" w:w="3305"/>
            <w:vAlign w:val="top"/>
          </w:tcPr>
          <w:p>
            <w:pPr>
              <w:jc w:val="left"/>
            </w:pPr>
            <w:r>
              <w:rPr>
                <w:sz w:val="17"/>
              </w:rPr>
              <w:t>Eventos y casos</w:t>
            </w:r>
          </w:p>
        </w:tc>
        <w:tc>
          <w:tcPr>
            <w:tcW w:type="dxa" w:w="3305"/>
            <w:vAlign w:val="top"/>
          </w:tcPr>
          <w:p>
            <w:pPr>
              <w:jc w:val="left"/>
            </w:pPr>
            <w:r>
              <w:rPr>
                <w:sz w:val="17"/>
              </w:rPr>
              <w:t>Resolución interna + filtros + pruebas</w:t>
            </w:r>
          </w:p>
        </w:tc>
      </w:tr>
      <w:tr>
        <w:tc>
          <w:tcPr>
            <w:tcW w:type="dxa" w:w="3305"/>
            <w:vAlign w:val="top"/>
          </w:tcPr>
          <w:p>
            <w:pPr>
              <w:jc w:val="left"/>
            </w:pPr>
            <w:r>
              <w:rPr>
                <w:sz w:val="17"/>
              </w:rPr>
              <w:t>Label manipulado</w:t>
            </w:r>
          </w:p>
        </w:tc>
        <w:tc>
          <w:tcPr>
            <w:tcW w:type="dxa" w:w="3305"/>
            <w:vAlign w:val="top"/>
          </w:tcPr>
          <w:p>
            <w:pPr>
              <w:jc w:val="left"/>
            </w:pPr>
            <w:r>
              <w:rPr>
                <w:sz w:val="17"/>
              </w:rPr>
              <w:t>Asignación de cliente</w:t>
            </w:r>
          </w:p>
        </w:tc>
        <w:tc>
          <w:tcPr>
            <w:tcW w:type="dxa" w:w="3305"/>
            <w:vAlign w:val="top"/>
          </w:tcPr>
          <w:p>
            <w:pPr>
              <w:jc w:val="left"/>
            </w:pPr>
            <w:r>
              <w:rPr>
                <w:sz w:val="17"/>
              </w:rPr>
              <w:t>Comparación y cuarentena</w:t>
            </w:r>
          </w:p>
        </w:tc>
      </w:tr>
      <w:tr>
        <w:tc>
          <w:tcPr>
            <w:tcW w:type="dxa" w:w="3305"/>
            <w:vAlign w:val="top"/>
          </w:tcPr>
          <w:p>
            <w:pPr>
              <w:jc w:val="left"/>
            </w:pPr>
            <w:r>
              <w:rPr>
                <w:sz w:val="17"/>
              </w:rPr>
              <w:t>Correo equivocado</w:t>
            </w:r>
          </w:p>
        </w:tc>
        <w:tc>
          <w:tcPr>
            <w:tcW w:type="dxa" w:w="3305"/>
            <w:vAlign w:val="top"/>
          </w:tcPr>
          <w:p>
            <w:pPr>
              <w:jc w:val="left"/>
            </w:pPr>
            <w:r>
              <w:rPr>
                <w:sz w:val="17"/>
              </w:rPr>
              <w:t>Información del cliente</w:t>
            </w:r>
          </w:p>
        </w:tc>
        <w:tc>
          <w:tcPr>
            <w:tcW w:type="dxa" w:w="3305"/>
            <w:vAlign w:val="top"/>
          </w:tcPr>
          <w:p>
            <w:pPr>
              <w:jc w:val="left"/>
            </w:pPr>
            <w:r>
              <w:rPr>
                <w:sz w:val="17"/>
              </w:rPr>
              <w:t>Destinatarios por tenant y doble validación</w:t>
            </w:r>
          </w:p>
        </w:tc>
      </w:tr>
      <w:tr>
        <w:tc>
          <w:tcPr>
            <w:tcW w:type="dxa" w:w="3305"/>
            <w:vAlign w:val="top"/>
          </w:tcPr>
          <w:p>
            <w:pPr>
              <w:jc w:val="left"/>
            </w:pPr>
            <w:r>
              <w:rPr>
                <w:sz w:val="17"/>
              </w:rPr>
              <w:t>Secretos en logs/prompts</w:t>
            </w:r>
          </w:p>
        </w:tc>
        <w:tc>
          <w:tcPr>
            <w:tcW w:type="dxa" w:w="3305"/>
            <w:vAlign w:val="top"/>
          </w:tcPr>
          <w:p>
            <w:pPr>
              <w:jc w:val="left"/>
            </w:pPr>
            <w:r>
              <w:rPr>
                <w:sz w:val="17"/>
              </w:rPr>
              <w:t>Credenciales</w:t>
            </w:r>
          </w:p>
        </w:tc>
        <w:tc>
          <w:tcPr>
            <w:tcW w:type="dxa" w:w="3305"/>
            <w:vAlign w:val="top"/>
          </w:tcPr>
          <w:p>
            <w:pPr>
              <w:jc w:val="left"/>
            </w:pPr>
            <w:r>
              <w:rPr>
                <w:sz w:val="17"/>
              </w:rPr>
              <w:t>Sanitización y mínimo dato</w:t>
            </w:r>
          </w:p>
        </w:tc>
      </w:tr>
      <w:tr>
        <w:tc>
          <w:tcPr>
            <w:tcW w:type="dxa" w:w="3305"/>
            <w:vAlign w:val="top"/>
          </w:tcPr>
          <w:p>
            <w:pPr>
              <w:jc w:val="left"/>
            </w:pPr>
            <w:r>
              <w:rPr>
                <w:sz w:val="17"/>
              </w:rPr>
              <w:t>Evento perdido</w:t>
            </w:r>
          </w:p>
        </w:tc>
        <w:tc>
          <w:tcPr>
            <w:tcW w:type="dxa" w:w="3305"/>
            <w:vAlign w:val="top"/>
          </w:tcPr>
          <w:p>
            <w:pPr>
              <w:jc w:val="left"/>
            </w:pPr>
            <w:r>
              <w:rPr>
                <w:sz w:val="17"/>
              </w:rPr>
              <w:t>Evidencia</w:t>
            </w:r>
          </w:p>
        </w:tc>
        <w:tc>
          <w:tcPr>
            <w:tcW w:type="dxa" w:w="3305"/>
            <w:vAlign w:val="top"/>
          </w:tcPr>
          <w:p>
            <w:pPr>
              <w:jc w:val="left"/>
            </w:pPr>
            <w:r>
              <w:rPr>
                <w:sz w:val="17"/>
              </w:rPr>
              <w:t>Cursor, persistencia y reconciliación</w:t>
            </w:r>
          </w:p>
        </w:tc>
      </w:tr>
      <w:tr>
        <w:tc>
          <w:tcPr>
            <w:tcW w:type="dxa" w:w="3305"/>
            <w:vAlign w:val="top"/>
          </w:tcPr>
          <w:p>
            <w:pPr>
              <w:jc w:val="left"/>
            </w:pPr>
            <w:r>
              <w:rPr>
                <w:sz w:val="17"/>
              </w:rPr>
              <w:t>Caso duplicado</w:t>
            </w:r>
          </w:p>
        </w:tc>
        <w:tc>
          <w:tcPr>
            <w:tcW w:type="dxa" w:w="3305"/>
            <w:vAlign w:val="top"/>
          </w:tcPr>
          <w:p>
            <w:pPr>
              <w:jc w:val="left"/>
            </w:pPr>
            <w:r>
              <w:rPr>
                <w:sz w:val="17"/>
              </w:rPr>
              <w:t>Operación</w:t>
            </w:r>
          </w:p>
        </w:tc>
        <w:tc>
          <w:tcPr>
            <w:tcW w:type="dxa" w:w="3305"/>
            <w:vAlign w:val="top"/>
          </w:tcPr>
          <w:p>
            <w:pPr>
              <w:jc w:val="left"/>
            </w:pPr>
            <w:r>
              <w:rPr>
                <w:sz w:val="17"/>
              </w:rPr>
              <w:t>Restricciones e idempotencia</w:t>
            </w:r>
          </w:p>
        </w:tc>
      </w:tr>
      <w:tr>
        <w:tc>
          <w:tcPr>
            <w:tcW w:type="dxa" w:w="3305"/>
            <w:vAlign w:val="top"/>
          </w:tcPr>
          <w:p>
            <w:pPr>
              <w:jc w:val="left"/>
            </w:pPr>
            <w:r>
              <w:rPr>
                <w:sz w:val="17"/>
              </w:rPr>
              <w:t>Prompt injection</w:t>
            </w:r>
          </w:p>
        </w:tc>
        <w:tc>
          <w:tcPr>
            <w:tcW w:type="dxa" w:w="3305"/>
            <w:vAlign w:val="top"/>
          </w:tcPr>
          <w:p>
            <w:pPr>
              <w:jc w:val="left"/>
            </w:pPr>
            <w:r>
              <w:rPr>
                <w:sz w:val="17"/>
              </w:rPr>
              <w:t>Salida IA</w:t>
            </w:r>
          </w:p>
        </w:tc>
        <w:tc>
          <w:tcPr>
            <w:tcW w:type="dxa" w:w="3305"/>
            <w:vAlign w:val="top"/>
          </w:tcPr>
          <w:p>
            <w:pPr>
              <w:jc w:val="left"/>
            </w:pPr>
            <w:r>
              <w:rPr>
                <w:sz w:val="17"/>
              </w:rPr>
              <w:t>Logs como datos + esquema y procedimientos</w:t>
            </w:r>
          </w:p>
        </w:tc>
      </w:tr>
      <w:tr>
        <w:tc>
          <w:tcPr>
            <w:tcW w:type="dxa" w:w="3305"/>
            <w:vAlign w:val="top"/>
          </w:tcPr>
          <w:p>
            <w:pPr>
              <w:jc w:val="left"/>
            </w:pPr>
            <w:r>
              <w:rPr>
                <w:sz w:val="17"/>
              </w:rPr>
              <w:t>Feed viejo</w:t>
            </w:r>
          </w:p>
        </w:tc>
        <w:tc>
          <w:tcPr>
            <w:tcW w:type="dxa" w:w="3305"/>
            <w:vAlign w:val="top"/>
          </w:tcPr>
          <w:p>
            <w:pPr>
              <w:jc w:val="left"/>
            </w:pPr>
            <w:r>
              <w:rPr>
                <w:sz w:val="17"/>
              </w:rPr>
              <w:t>Prioridad</w:t>
            </w:r>
          </w:p>
        </w:tc>
        <w:tc>
          <w:tcPr>
            <w:tcW w:type="dxa" w:w="3305"/>
            <w:vAlign w:val="top"/>
          </w:tcPr>
          <w:p>
            <w:pPr>
              <w:jc w:val="left"/>
            </w:pPr>
            <w:r>
              <w:rPr>
                <w:sz w:val="17"/>
              </w:rPr>
              <w:t>Frescura y alerta operativa</w:t>
            </w:r>
          </w:p>
        </w:tc>
      </w:tr>
    </w:tbl>
    <w:p/>
    <w:p>
      <w:pPr>
        <w:pStyle w:val="Heading1"/>
      </w:pPr>
      <w:r>
        <w:t>3. Aislamiento multi-tenant</w:t>
      </w:r>
    </w:p>
    <w:p>
      <w:r>
        <w:t>El aislamiento se aplica en profundidad. La resolución agent_id-tenant_id-asset_id ocurre en el backend. Todas las tablas incluyen tenant_id y todas las consultas de aplicación lo aplican. Los roles de Indexer y Dashboard pueden aportar controles adicionales, pero no reemplazan la lógica del backend.</w:t>
      </w:r>
    </w:p>
    <w:p>
      <w:r>
        <w:t>Las pruebas deben utilizar el mismo indicador en dos tenants y comprobar que se crean casos distintos. También deben intentar leer un case_id de otro tenant. Los logs de auditoría registran el tenant resuelto, no solo el valor recibido.</w:t>
      </w:r>
    </w:p>
    <w:p>
      <w:pPr>
        <w:pStyle w:val="Heading1"/>
      </w:pPr>
      <w:r>
        <w:t>4. Identidad y acceso</w:t>
      </w:r>
    </w:p>
    <w:p>
      <w:r>
        <w:t>Los usuarios internos y clientes deben utilizar autenticación robusta. Los roles separan administración, revisión y lectura. Las cuentas de servicio tienen permisos mínimos y credenciales distintas por entorno. Las acciones críticas exigen auditoría y, cuando corresponda, aprobación.</w:t>
      </w:r>
    </w:p>
    <w:tbl>
      <w:tblPr>
        <w:tblStyle w:val="TableGrid"/>
        <w:tblW w:type="auto" w:w="0"/>
        <w:jc w:val="center"/>
        <w:tblLook w:firstColumn="1" w:firstRow="1" w:lastColumn="0" w:lastRow="0" w:noHBand="0" w:noVBand="1" w:val="04A0"/>
      </w:tblPr>
      <w:tblGrid>
        <w:gridCol w:w="4957"/>
        <w:gridCol w:w="4957"/>
      </w:tblGrid>
      <w:tr>
        <w:trPr>
          <w:tblHeader w:val="true"/>
        </w:trPr>
        <w:tc>
          <w:tcPr>
            <w:tcW w:type="dxa" w:w="4957"/>
            <w:shd w:fill="D9E2F3"/>
          </w:tcPr>
          <w:p>
            <w:r>
              <w:rPr>
                <w:b/>
                <w:sz w:val="17"/>
              </w:rPr>
              <w:t>Rol técnico</w:t>
            </w:r>
          </w:p>
        </w:tc>
        <w:tc>
          <w:tcPr>
            <w:tcW w:type="dxa" w:w="4957"/>
            <w:shd w:fill="D9E2F3"/>
          </w:tcPr>
          <w:p>
            <w:r>
              <w:rPr>
                <w:b/>
                <w:sz w:val="17"/>
              </w:rPr>
              <w:t>Permisos</w:t>
            </w:r>
          </w:p>
        </w:tc>
      </w:tr>
      <w:tr>
        <w:tc>
          <w:tcPr>
            <w:tcW w:type="dxa" w:w="4957"/>
            <w:vAlign w:val="top"/>
          </w:tcPr>
          <w:p>
            <w:pPr>
              <w:jc w:val="left"/>
            </w:pPr>
            <w:r>
              <w:rPr>
                <w:sz w:val="17"/>
              </w:rPr>
              <w:t>Ingesta</w:t>
            </w:r>
          </w:p>
        </w:tc>
        <w:tc>
          <w:tcPr>
            <w:tcW w:type="dxa" w:w="4957"/>
            <w:vAlign w:val="top"/>
          </w:tcPr>
          <w:p>
            <w:pPr>
              <w:jc w:val="left"/>
            </w:pPr>
            <w:r>
              <w:rPr>
                <w:sz w:val="17"/>
              </w:rPr>
              <w:t>Leer alertas; insertar raw events</w:t>
            </w:r>
          </w:p>
        </w:tc>
      </w:tr>
      <w:tr>
        <w:tc>
          <w:tcPr>
            <w:tcW w:type="dxa" w:w="4957"/>
            <w:vAlign w:val="top"/>
          </w:tcPr>
          <w:p>
            <w:pPr>
              <w:jc w:val="left"/>
            </w:pPr>
            <w:r>
              <w:rPr>
                <w:sz w:val="17"/>
              </w:rPr>
              <w:t>Worker de casos</w:t>
            </w:r>
          </w:p>
        </w:tc>
        <w:tc>
          <w:tcPr>
            <w:tcW w:type="dxa" w:w="4957"/>
            <w:vAlign w:val="top"/>
          </w:tcPr>
          <w:p>
            <w:pPr>
              <w:jc w:val="left"/>
            </w:pPr>
            <w:r>
              <w:rPr>
                <w:sz w:val="17"/>
              </w:rPr>
              <w:t>Leer eventos y gestionar casos del contexto autorizado</w:t>
            </w:r>
          </w:p>
        </w:tc>
      </w:tr>
      <w:tr>
        <w:tc>
          <w:tcPr>
            <w:tcW w:type="dxa" w:w="4957"/>
            <w:vAlign w:val="top"/>
          </w:tcPr>
          <w:p>
            <w:pPr>
              <w:jc w:val="left"/>
            </w:pPr>
            <w:r>
              <w:rPr>
                <w:sz w:val="17"/>
              </w:rPr>
              <w:t>Enriquecimiento</w:t>
            </w:r>
          </w:p>
        </w:tc>
        <w:tc>
          <w:tcPr>
            <w:tcW w:type="dxa" w:w="4957"/>
            <w:vAlign w:val="top"/>
          </w:tcPr>
          <w:p>
            <w:pPr>
              <w:jc w:val="left"/>
            </w:pPr>
            <w:r>
              <w:rPr>
                <w:sz w:val="17"/>
              </w:rPr>
              <w:t>Leer indicadores; escribir resultados</w:t>
            </w:r>
          </w:p>
        </w:tc>
      </w:tr>
      <w:tr>
        <w:tc>
          <w:tcPr>
            <w:tcW w:type="dxa" w:w="4957"/>
            <w:vAlign w:val="top"/>
          </w:tcPr>
          <w:p>
            <w:pPr>
              <w:jc w:val="left"/>
            </w:pPr>
            <w:r>
              <w:rPr>
                <w:sz w:val="17"/>
              </w:rPr>
              <w:t>Comunicación</w:t>
            </w:r>
          </w:p>
        </w:tc>
        <w:tc>
          <w:tcPr>
            <w:tcW w:type="dxa" w:w="4957"/>
            <w:vAlign w:val="top"/>
          </w:tcPr>
          <w:p>
            <w:pPr>
              <w:jc w:val="left"/>
            </w:pPr>
            <w:r>
              <w:rPr>
                <w:sz w:val="17"/>
              </w:rPr>
              <w:t>Leer payload aprobado; enviar y registrar</w:t>
            </w:r>
          </w:p>
        </w:tc>
      </w:tr>
      <w:tr>
        <w:tc>
          <w:tcPr>
            <w:tcW w:type="dxa" w:w="4957"/>
            <w:vAlign w:val="top"/>
          </w:tcPr>
          <w:p>
            <w:pPr>
              <w:jc w:val="left"/>
            </w:pPr>
            <w:r>
              <w:rPr>
                <w:sz w:val="17"/>
              </w:rPr>
              <w:t>Analista</w:t>
            </w:r>
          </w:p>
        </w:tc>
        <w:tc>
          <w:tcPr>
            <w:tcW w:type="dxa" w:w="4957"/>
            <w:vAlign w:val="top"/>
          </w:tcPr>
          <w:p>
            <w:pPr>
              <w:jc w:val="left"/>
            </w:pPr>
            <w:r>
              <w:rPr>
                <w:sz w:val="17"/>
              </w:rPr>
              <w:t>Revisar casos de tenants asignados</w:t>
            </w:r>
          </w:p>
        </w:tc>
      </w:tr>
      <w:tr>
        <w:tc>
          <w:tcPr>
            <w:tcW w:type="dxa" w:w="4957"/>
            <w:vAlign w:val="top"/>
          </w:tcPr>
          <w:p>
            <w:pPr>
              <w:jc w:val="left"/>
            </w:pPr>
            <w:r>
              <w:rPr>
                <w:sz w:val="17"/>
              </w:rPr>
              <w:t>Administrador</w:t>
            </w:r>
          </w:p>
        </w:tc>
        <w:tc>
          <w:tcPr>
            <w:tcW w:type="dxa" w:w="4957"/>
            <w:vAlign w:val="top"/>
          </w:tcPr>
          <w:p>
            <w:pPr>
              <w:jc w:val="left"/>
            </w:pPr>
            <w:r>
              <w:rPr>
                <w:sz w:val="17"/>
              </w:rPr>
              <w:t>Configurar tenants y procedimientos</w:t>
            </w:r>
          </w:p>
        </w:tc>
      </w:tr>
    </w:tbl>
    <w:p/>
    <w:p>
      <w:pPr>
        <w:pStyle w:val="Heading1"/>
      </w:pPr>
      <w:r>
        <w:t>5. Protección de datos y secretos</w:t>
      </w:r>
    </w:p>
    <w:p>
      <w:r>
        <w:t>Los secretos deben almacenarse en un gestor o variables protegidas, nunca en Git. Se requiere cifrado en tránsito, backups protegidos y política de retención. Los payloads originales se conservan por necesidad forense, pero su retención debe equilibrar costo, privacidad y regulación.</w:t>
      </w:r>
    </w:p>
    <w:p>
      <w:r>
        <w:t>Antes de enviar datos a IA se eliminan tokens, contraseñas, cookies, claves, diffs sensibles y datos no necesarios. La minimización debe ser verificable mediante pruebas.</w:t>
      </w:r>
    </w:p>
    <w:p>
      <w:pPr>
        <w:pStyle w:val="Heading1"/>
      </w:pPr>
      <w:r>
        <w:t>6. Seguridad de IA y proveedores</w:t>
      </w:r>
    </w:p>
    <w:p>
      <w:r>
        <w:t>Los logs pueden contener texto controlado por un atacante. El prompt debe separar instrucciones del sistema y datos del evento. La IA no puede ejecutar herramientas ni elegir libremente acciones. La salida se valida contra `client_notification.schema.json` y un catálogo de procedimientos.</w:t>
      </w:r>
    </w:p>
    <w:p>
      <w:r>
        <w:t>Cada proveedor externo debe evaluarse por privacidad, retención, residencia, disponibilidad, costo y límites. Los timeouts y circuit breakers evitan que un proveedor bloquee el pipeline.</w:t>
      </w:r>
    </w:p>
    <w:p>
      <w:pPr>
        <w:pStyle w:val="Heading1"/>
      </w:pPr>
      <w:r>
        <w:t>7. Continuidad</w:t>
      </w:r>
    </w:p>
    <w:p>
      <w:r>
        <w:t>El diseño debe tolerar fallos de workers, Indexer, correo, IA y feeds. Los backups no son suficientes si nunca se restauran; el piloto requiere una prueba documentada de restauración. Las reglas y configuraciones necesitan rollback. El cursor de ingesta y el ledger permiten reanudar.</w:t>
      </w:r>
    </w:p>
    <w:tbl>
      <w:tblPr>
        <w:tblStyle w:val="TableGrid"/>
        <w:tblW w:type="auto" w:w="0"/>
        <w:jc w:val="center"/>
        <w:tblLook w:firstColumn="1" w:firstRow="1" w:lastColumn="0" w:lastRow="0" w:noHBand="0" w:noVBand="1" w:val="04A0"/>
      </w:tblPr>
      <w:tblGrid>
        <w:gridCol w:w="4957"/>
        <w:gridCol w:w="4957"/>
      </w:tblGrid>
      <w:tr>
        <w:trPr>
          <w:tblHeader w:val="true"/>
        </w:trPr>
        <w:tc>
          <w:tcPr>
            <w:tcW w:type="dxa" w:w="4957"/>
            <w:shd w:fill="D9E2F3"/>
          </w:tcPr>
          <w:p>
            <w:r>
              <w:rPr>
                <w:b/>
                <w:sz w:val="17"/>
              </w:rPr>
              <w:t>Falla</w:t>
            </w:r>
          </w:p>
        </w:tc>
        <w:tc>
          <w:tcPr>
            <w:tcW w:type="dxa" w:w="4957"/>
            <w:shd w:fill="D9E2F3"/>
          </w:tcPr>
          <w:p>
            <w:r>
              <w:rPr>
                <w:b/>
                <w:sz w:val="17"/>
              </w:rPr>
              <w:t>Comportamiento esperado</w:t>
            </w:r>
          </w:p>
        </w:tc>
      </w:tr>
      <w:tr>
        <w:tc>
          <w:tcPr>
            <w:tcW w:type="dxa" w:w="4957"/>
            <w:vAlign w:val="top"/>
          </w:tcPr>
          <w:p>
            <w:pPr>
              <w:jc w:val="left"/>
            </w:pPr>
            <w:r>
              <w:rPr>
                <w:sz w:val="17"/>
              </w:rPr>
              <w:t>Worker</w:t>
            </w:r>
          </w:p>
        </w:tc>
        <w:tc>
          <w:tcPr>
            <w:tcW w:type="dxa" w:w="4957"/>
            <w:vAlign w:val="top"/>
          </w:tcPr>
          <w:p>
            <w:pPr>
              <w:jc w:val="left"/>
            </w:pPr>
            <w:r>
              <w:rPr>
                <w:sz w:val="17"/>
              </w:rPr>
              <w:t>Otro worker o reinicio procesa pendientes</w:t>
            </w:r>
          </w:p>
        </w:tc>
      </w:tr>
      <w:tr>
        <w:tc>
          <w:tcPr>
            <w:tcW w:type="dxa" w:w="4957"/>
            <w:vAlign w:val="top"/>
          </w:tcPr>
          <w:p>
            <w:pPr>
              <w:jc w:val="left"/>
            </w:pPr>
            <w:r>
              <w:rPr>
                <w:sz w:val="17"/>
              </w:rPr>
              <w:t>Indexer</w:t>
            </w:r>
          </w:p>
        </w:tc>
        <w:tc>
          <w:tcPr>
            <w:tcW w:type="dxa" w:w="4957"/>
            <w:vAlign w:val="top"/>
          </w:tcPr>
          <w:p>
            <w:pPr>
              <w:jc w:val="left"/>
            </w:pPr>
            <w:r>
              <w:rPr>
                <w:sz w:val="17"/>
              </w:rPr>
              <w:t>Ingesta se pausa y reanuda desde cursor</w:t>
            </w:r>
          </w:p>
        </w:tc>
      </w:tr>
      <w:tr>
        <w:tc>
          <w:tcPr>
            <w:tcW w:type="dxa" w:w="4957"/>
            <w:vAlign w:val="top"/>
          </w:tcPr>
          <w:p>
            <w:pPr>
              <w:jc w:val="left"/>
            </w:pPr>
            <w:r>
              <w:rPr>
                <w:sz w:val="17"/>
              </w:rPr>
              <w:t>PostgreSQL</w:t>
            </w:r>
          </w:p>
        </w:tc>
        <w:tc>
          <w:tcPr>
            <w:tcW w:type="dxa" w:w="4957"/>
            <w:vAlign w:val="top"/>
          </w:tcPr>
          <w:p>
            <w:pPr>
              <w:jc w:val="left"/>
            </w:pPr>
            <w:r>
              <w:rPr>
                <w:sz w:val="17"/>
              </w:rPr>
              <w:t>No se procesan efectos parciales</w:t>
            </w:r>
          </w:p>
        </w:tc>
      </w:tr>
      <w:tr>
        <w:tc>
          <w:tcPr>
            <w:tcW w:type="dxa" w:w="4957"/>
            <w:vAlign w:val="top"/>
          </w:tcPr>
          <w:p>
            <w:pPr>
              <w:jc w:val="left"/>
            </w:pPr>
            <w:r>
              <w:rPr>
                <w:sz w:val="17"/>
              </w:rPr>
              <w:t>IA</w:t>
            </w:r>
          </w:p>
        </w:tc>
        <w:tc>
          <w:tcPr>
            <w:tcW w:type="dxa" w:w="4957"/>
            <w:vAlign w:val="top"/>
          </w:tcPr>
          <w:p>
            <w:pPr>
              <w:jc w:val="left"/>
            </w:pPr>
            <w:r>
              <w:rPr>
                <w:sz w:val="17"/>
              </w:rPr>
              <w:t>Plantilla determinística</w:t>
            </w:r>
          </w:p>
        </w:tc>
      </w:tr>
      <w:tr>
        <w:tc>
          <w:tcPr>
            <w:tcW w:type="dxa" w:w="4957"/>
            <w:vAlign w:val="top"/>
          </w:tcPr>
          <w:p>
            <w:pPr>
              <w:jc w:val="left"/>
            </w:pPr>
            <w:r>
              <w:rPr>
                <w:sz w:val="17"/>
              </w:rPr>
              <w:t>Correo</w:t>
            </w:r>
          </w:p>
        </w:tc>
        <w:tc>
          <w:tcPr>
            <w:tcW w:type="dxa" w:w="4957"/>
            <w:vAlign w:val="top"/>
          </w:tcPr>
          <w:p>
            <w:pPr>
              <w:jc w:val="left"/>
            </w:pPr>
            <w:r>
              <w:rPr>
                <w:sz w:val="17"/>
              </w:rPr>
              <w:t>Cola y retry idempotente</w:t>
            </w:r>
          </w:p>
        </w:tc>
      </w:tr>
      <w:tr>
        <w:tc>
          <w:tcPr>
            <w:tcW w:type="dxa" w:w="4957"/>
            <w:vAlign w:val="top"/>
          </w:tcPr>
          <w:p>
            <w:pPr>
              <w:jc w:val="left"/>
            </w:pPr>
            <w:r>
              <w:rPr>
                <w:sz w:val="17"/>
              </w:rPr>
              <w:t>KEV/reputación</w:t>
            </w:r>
          </w:p>
        </w:tc>
        <w:tc>
          <w:tcPr>
            <w:tcW w:type="dxa" w:w="4957"/>
            <w:vAlign w:val="top"/>
          </w:tcPr>
          <w:p>
            <w:pPr>
              <w:jc w:val="left"/>
            </w:pPr>
            <w:r>
              <w:rPr>
                <w:sz w:val="17"/>
              </w:rPr>
              <w:t>Estado degraded y fallback</w:t>
            </w:r>
          </w:p>
        </w:tc>
      </w:tr>
    </w:tbl>
    <w:p/>
    <w:p>
      <w:pPr>
        <w:pStyle w:val="Heading1"/>
      </w:pPr>
      <w:r>
        <w:t>8. Estrategia de pruebas</w:t>
      </w:r>
    </w:p>
    <w:p>
      <w:r>
        <w:t>La validación se realiza en capas. Las reglas utilizan XML y logtest cuando el evento es reproducible. Los módulos como FIM y Vulnerability Detector requieren pruebas end-to-end. El backend necesita unitarias para políticas, integración para base de datos y pruebas de concurrencia. El sistema completo requiere shadow mode.</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Capa</w:t>
            </w:r>
          </w:p>
        </w:tc>
        <w:tc>
          <w:tcPr>
            <w:tcW w:type="dxa" w:w="3305"/>
            <w:shd w:fill="D9E2F3"/>
          </w:tcPr>
          <w:p>
            <w:r>
              <w:rPr>
                <w:b/>
                <w:sz w:val="17"/>
              </w:rPr>
              <w:t>Objetivo</w:t>
            </w:r>
          </w:p>
        </w:tc>
        <w:tc>
          <w:tcPr>
            <w:tcW w:type="dxa" w:w="3305"/>
            <w:shd w:fill="D9E2F3"/>
          </w:tcPr>
          <w:p>
            <w:r>
              <w:rPr>
                <w:b/>
                <w:sz w:val="17"/>
              </w:rPr>
              <w:t>Evidencia</w:t>
            </w:r>
          </w:p>
        </w:tc>
      </w:tr>
      <w:tr>
        <w:tc>
          <w:tcPr>
            <w:tcW w:type="dxa" w:w="3305"/>
            <w:vAlign w:val="top"/>
          </w:tcPr>
          <w:p>
            <w:pPr>
              <w:jc w:val="left"/>
            </w:pPr>
            <w:r>
              <w:rPr>
                <w:sz w:val="17"/>
              </w:rPr>
              <w:t>Estática</w:t>
            </w:r>
          </w:p>
        </w:tc>
        <w:tc>
          <w:tcPr>
            <w:tcW w:type="dxa" w:w="3305"/>
            <w:vAlign w:val="top"/>
          </w:tcPr>
          <w:p>
            <w:pPr>
              <w:jc w:val="left"/>
            </w:pPr>
            <w:r>
              <w:rPr>
                <w:sz w:val="17"/>
              </w:rPr>
              <w:t>Schemas, XML y configuración</w:t>
            </w:r>
          </w:p>
        </w:tc>
        <w:tc>
          <w:tcPr>
            <w:tcW w:type="dxa" w:w="3305"/>
            <w:vAlign w:val="top"/>
          </w:tcPr>
          <w:p>
            <w:pPr>
              <w:jc w:val="left"/>
            </w:pPr>
            <w:r>
              <w:rPr>
                <w:sz w:val="17"/>
              </w:rPr>
              <w:t>Validadores</w:t>
            </w:r>
          </w:p>
        </w:tc>
      </w:tr>
      <w:tr>
        <w:tc>
          <w:tcPr>
            <w:tcW w:type="dxa" w:w="3305"/>
            <w:vAlign w:val="top"/>
          </w:tcPr>
          <w:p>
            <w:pPr>
              <w:jc w:val="left"/>
            </w:pPr>
            <w:r>
              <w:rPr>
                <w:sz w:val="17"/>
              </w:rPr>
              <w:t>Unitaria</w:t>
            </w:r>
          </w:p>
        </w:tc>
        <w:tc>
          <w:tcPr>
            <w:tcW w:type="dxa" w:w="3305"/>
            <w:vAlign w:val="top"/>
          </w:tcPr>
          <w:p>
            <w:pPr>
              <w:jc w:val="left"/>
            </w:pPr>
            <w:r>
              <w:rPr>
                <w:sz w:val="17"/>
              </w:rPr>
              <w:t>Funciones y políticas</w:t>
            </w:r>
          </w:p>
        </w:tc>
        <w:tc>
          <w:tcPr>
            <w:tcW w:type="dxa" w:w="3305"/>
            <w:vAlign w:val="top"/>
          </w:tcPr>
          <w:p>
            <w:pPr>
              <w:jc w:val="left"/>
            </w:pPr>
            <w:r>
              <w:rPr>
                <w:sz w:val="17"/>
              </w:rPr>
              <w:t>Reporte de tests</w:t>
            </w:r>
          </w:p>
        </w:tc>
      </w:tr>
      <w:tr>
        <w:tc>
          <w:tcPr>
            <w:tcW w:type="dxa" w:w="3305"/>
            <w:vAlign w:val="top"/>
          </w:tcPr>
          <w:p>
            <w:pPr>
              <w:jc w:val="left"/>
            </w:pPr>
            <w:r>
              <w:rPr>
                <w:sz w:val="17"/>
              </w:rPr>
              <w:t>Reglas</w:t>
            </w:r>
          </w:p>
        </w:tc>
        <w:tc>
          <w:tcPr>
            <w:tcW w:type="dxa" w:w="3305"/>
            <w:vAlign w:val="top"/>
          </w:tcPr>
          <w:p>
            <w:pPr>
              <w:jc w:val="left"/>
            </w:pPr>
            <w:r>
              <w:rPr>
                <w:sz w:val="17"/>
              </w:rPr>
              <w:t>Decoder y rule_id</w:t>
            </w:r>
          </w:p>
        </w:tc>
        <w:tc>
          <w:tcPr>
            <w:tcW w:type="dxa" w:w="3305"/>
            <w:vAlign w:val="top"/>
          </w:tcPr>
          <w:p>
            <w:pPr>
              <w:jc w:val="left"/>
            </w:pPr>
            <w:r>
              <w:rPr>
                <w:sz w:val="17"/>
              </w:rPr>
              <w:t>Logtest/fixture</w:t>
            </w:r>
          </w:p>
        </w:tc>
      </w:tr>
      <w:tr>
        <w:tc>
          <w:tcPr>
            <w:tcW w:type="dxa" w:w="3305"/>
            <w:vAlign w:val="top"/>
          </w:tcPr>
          <w:p>
            <w:pPr>
              <w:jc w:val="left"/>
            </w:pPr>
            <w:r>
              <w:rPr>
                <w:sz w:val="17"/>
              </w:rPr>
              <w:t>Integración</w:t>
            </w:r>
          </w:p>
        </w:tc>
        <w:tc>
          <w:tcPr>
            <w:tcW w:type="dxa" w:w="3305"/>
            <w:vAlign w:val="top"/>
          </w:tcPr>
          <w:p>
            <w:pPr>
              <w:jc w:val="left"/>
            </w:pPr>
            <w:r>
              <w:rPr>
                <w:sz w:val="17"/>
              </w:rPr>
              <w:t>DB, Indexer, proveedores</w:t>
            </w:r>
          </w:p>
        </w:tc>
        <w:tc>
          <w:tcPr>
            <w:tcW w:type="dxa" w:w="3305"/>
            <w:vAlign w:val="top"/>
          </w:tcPr>
          <w:p>
            <w:pPr>
              <w:jc w:val="left"/>
            </w:pPr>
            <w:r>
              <w:rPr>
                <w:sz w:val="17"/>
              </w:rPr>
              <w:t>Resultados reproducibles</w:t>
            </w:r>
          </w:p>
        </w:tc>
      </w:tr>
      <w:tr>
        <w:tc>
          <w:tcPr>
            <w:tcW w:type="dxa" w:w="3305"/>
            <w:vAlign w:val="top"/>
          </w:tcPr>
          <w:p>
            <w:pPr>
              <w:jc w:val="left"/>
            </w:pPr>
            <w:r>
              <w:rPr>
                <w:sz w:val="17"/>
              </w:rPr>
              <w:t>End-to-end</w:t>
            </w:r>
          </w:p>
        </w:tc>
        <w:tc>
          <w:tcPr>
            <w:tcW w:type="dxa" w:w="3305"/>
            <w:vAlign w:val="top"/>
          </w:tcPr>
          <w:p>
            <w:pPr>
              <w:jc w:val="left"/>
            </w:pPr>
            <w:r>
              <w:rPr>
                <w:sz w:val="17"/>
              </w:rPr>
              <w:t>Alerta a comunicación</w:t>
            </w:r>
          </w:p>
        </w:tc>
        <w:tc>
          <w:tcPr>
            <w:tcW w:type="dxa" w:w="3305"/>
            <w:vAlign w:val="top"/>
          </w:tcPr>
          <w:p>
            <w:pPr>
              <w:jc w:val="left"/>
            </w:pPr>
            <w:r>
              <w:rPr>
                <w:sz w:val="17"/>
              </w:rPr>
              <w:t>Caso y auditoría</w:t>
            </w:r>
          </w:p>
        </w:tc>
      </w:tr>
      <w:tr>
        <w:tc>
          <w:tcPr>
            <w:tcW w:type="dxa" w:w="3305"/>
            <w:vAlign w:val="top"/>
          </w:tcPr>
          <w:p>
            <w:pPr>
              <w:jc w:val="left"/>
            </w:pPr>
            <w:r>
              <w:rPr>
                <w:sz w:val="17"/>
              </w:rPr>
              <w:t>Carga</w:t>
            </w:r>
          </w:p>
        </w:tc>
        <w:tc>
          <w:tcPr>
            <w:tcW w:type="dxa" w:w="3305"/>
            <w:vAlign w:val="top"/>
          </w:tcPr>
          <w:p>
            <w:pPr>
              <w:jc w:val="left"/>
            </w:pPr>
            <w:r>
              <w:rPr>
                <w:sz w:val="17"/>
              </w:rPr>
              <w:t>Picos y tormentas</w:t>
            </w:r>
          </w:p>
        </w:tc>
        <w:tc>
          <w:tcPr>
            <w:tcW w:type="dxa" w:w="3305"/>
            <w:vAlign w:val="top"/>
          </w:tcPr>
          <w:p>
            <w:pPr>
              <w:jc w:val="left"/>
            </w:pPr>
            <w:r>
              <w:rPr>
                <w:sz w:val="17"/>
              </w:rPr>
              <w:t>Latencia y pérdidas</w:t>
            </w:r>
          </w:p>
        </w:tc>
      </w:tr>
      <w:tr>
        <w:tc>
          <w:tcPr>
            <w:tcW w:type="dxa" w:w="3305"/>
            <w:vAlign w:val="top"/>
          </w:tcPr>
          <w:p>
            <w:pPr>
              <w:jc w:val="left"/>
            </w:pPr>
            <w:r>
              <w:rPr>
                <w:sz w:val="17"/>
              </w:rPr>
              <w:t>Seguridad</w:t>
            </w:r>
          </w:p>
        </w:tc>
        <w:tc>
          <w:tcPr>
            <w:tcW w:type="dxa" w:w="3305"/>
            <w:vAlign w:val="top"/>
          </w:tcPr>
          <w:p>
            <w:pPr>
              <w:jc w:val="left"/>
            </w:pPr>
            <w:r>
              <w:rPr>
                <w:sz w:val="17"/>
              </w:rPr>
              <w:t>Tenant, roles y secretos</w:t>
            </w:r>
          </w:p>
        </w:tc>
        <w:tc>
          <w:tcPr>
            <w:tcW w:type="dxa" w:w="3305"/>
            <w:vAlign w:val="top"/>
          </w:tcPr>
          <w:p>
            <w:pPr>
              <w:jc w:val="left"/>
            </w:pPr>
            <w:r>
              <w:rPr>
                <w:sz w:val="17"/>
              </w:rPr>
              <w:t>Pruebas negativas</w:t>
            </w:r>
          </w:p>
        </w:tc>
      </w:tr>
      <w:tr>
        <w:tc>
          <w:tcPr>
            <w:tcW w:type="dxa" w:w="3305"/>
            <w:vAlign w:val="top"/>
          </w:tcPr>
          <w:p>
            <w:pPr>
              <w:jc w:val="left"/>
            </w:pPr>
            <w:r>
              <w:rPr>
                <w:sz w:val="17"/>
              </w:rPr>
              <w:t>Shadow</w:t>
            </w:r>
          </w:p>
        </w:tc>
        <w:tc>
          <w:tcPr>
            <w:tcW w:type="dxa" w:w="3305"/>
            <w:vAlign w:val="top"/>
          </w:tcPr>
          <w:p>
            <w:pPr>
              <w:jc w:val="left"/>
            </w:pPr>
            <w:r>
              <w:rPr>
                <w:sz w:val="17"/>
              </w:rPr>
              <w:t>Calidad sin notificar</w:t>
            </w:r>
          </w:p>
        </w:tc>
        <w:tc>
          <w:tcPr>
            <w:tcW w:type="dxa" w:w="3305"/>
            <w:vAlign w:val="top"/>
          </w:tcPr>
          <w:p>
            <w:pPr>
              <w:jc w:val="left"/>
            </w:pPr>
            <w:r>
              <w:rPr>
                <w:sz w:val="17"/>
              </w:rPr>
              <w:t>FP y volumen</w:t>
            </w:r>
          </w:p>
        </w:tc>
      </w:tr>
      <w:tr>
        <w:tc>
          <w:tcPr>
            <w:tcW w:type="dxa" w:w="3305"/>
            <w:vAlign w:val="top"/>
          </w:tcPr>
          <w:p>
            <w:pPr>
              <w:jc w:val="left"/>
            </w:pPr>
            <w:r>
              <w:rPr>
                <w:sz w:val="17"/>
              </w:rPr>
              <w:t>Piloto</w:t>
            </w:r>
          </w:p>
        </w:tc>
        <w:tc>
          <w:tcPr>
            <w:tcW w:type="dxa" w:w="3305"/>
            <w:vAlign w:val="top"/>
          </w:tcPr>
          <w:p>
            <w:pPr>
              <w:jc w:val="left"/>
            </w:pPr>
            <w:r>
              <w:rPr>
                <w:sz w:val="17"/>
              </w:rPr>
              <w:t>Valor operativo</w:t>
            </w:r>
          </w:p>
        </w:tc>
        <w:tc>
          <w:tcPr>
            <w:tcW w:type="dxa" w:w="3305"/>
            <w:vAlign w:val="top"/>
          </w:tcPr>
          <w:p>
            <w:pPr>
              <w:jc w:val="left"/>
            </w:pPr>
            <w:r>
              <w:rPr>
                <w:sz w:val="17"/>
              </w:rPr>
              <w:t>KPIs y aceptación</w:t>
            </w:r>
          </w:p>
        </w:tc>
      </w:tr>
    </w:tbl>
    <w:p/>
    <w:p>
      <w:pPr>
        <w:pStyle w:val="Heading1"/>
      </w:pPr>
      <w:r>
        <w:t>9. Casos de prueba obligatorios</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ID</w:t>
            </w:r>
          </w:p>
        </w:tc>
        <w:tc>
          <w:tcPr>
            <w:tcW w:type="dxa" w:w="3305"/>
            <w:shd w:fill="D9E2F3"/>
          </w:tcPr>
          <w:p>
            <w:r>
              <w:rPr>
                <w:b/>
                <w:sz w:val="17"/>
              </w:rPr>
              <w:t>Escenario</w:t>
            </w:r>
          </w:p>
        </w:tc>
        <w:tc>
          <w:tcPr>
            <w:tcW w:type="dxa" w:w="3305"/>
            <w:shd w:fill="D9E2F3"/>
          </w:tcPr>
          <w:p>
            <w:r>
              <w:rPr>
                <w:b/>
                <w:sz w:val="17"/>
              </w:rPr>
              <w:t>Resultado esperado</w:t>
            </w:r>
          </w:p>
        </w:tc>
      </w:tr>
      <w:tr>
        <w:tc>
          <w:tcPr>
            <w:tcW w:type="dxa" w:w="3305"/>
            <w:vAlign w:val="top"/>
          </w:tcPr>
          <w:p>
            <w:pPr>
              <w:jc w:val="left"/>
            </w:pPr>
            <w:r>
              <w:rPr>
                <w:sz w:val="17"/>
              </w:rPr>
              <w:t>T-001</w:t>
            </w:r>
          </w:p>
        </w:tc>
        <w:tc>
          <w:tcPr>
            <w:tcW w:type="dxa" w:w="3305"/>
            <w:vAlign w:val="top"/>
          </w:tcPr>
          <w:p>
            <w:pPr>
              <w:jc w:val="left"/>
            </w:pPr>
            <w:r>
              <w:rPr>
                <w:sz w:val="17"/>
              </w:rPr>
              <w:t>Mismo evento dos veces</w:t>
            </w:r>
          </w:p>
        </w:tc>
        <w:tc>
          <w:tcPr>
            <w:tcW w:type="dxa" w:w="3305"/>
            <w:vAlign w:val="top"/>
          </w:tcPr>
          <w:p>
            <w:pPr>
              <w:jc w:val="left"/>
            </w:pPr>
            <w:r>
              <w:rPr>
                <w:sz w:val="17"/>
              </w:rPr>
              <w:t>Una evidencia y ningún efecto duplicado</w:t>
            </w:r>
          </w:p>
        </w:tc>
      </w:tr>
      <w:tr>
        <w:tc>
          <w:tcPr>
            <w:tcW w:type="dxa" w:w="3305"/>
            <w:vAlign w:val="top"/>
          </w:tcPr>
          <w:p>
            <w:pPr>
              <w:jc w:val="left"/>
            </w:pPr>
            <w:r>
              <w:rPr>
                <w:sz w:val="17"/>
              </w:rPr>
              <w:t>T-002</w:t>
            </w:r>
          </w:p>
        </w:tc>
        <w:tc>
          <w:tcPr>
            <w:tcW w:type="dxa" w:w="3305"/>
            <w:vAlign w:val="top"/>
          </w:tcPr>
          <w:p>
            <w:pPr>
              <w:jc w:val="left"/>
            </w:pPr>
            <w:r>
              <w:rPr>
                <w:sz w:val="17"/>
              </w:rPr>
              <w:t>Dos workers simultáneos</w:t>
            </w:r>
          </w:p>
        </w:tc>
        <w:tc>
          <w:tcPr>
            <w:tcW w:type="dxa" w:w="3305"/>
            <w:vAlign w:val="top"/>
          </w:tcPr>
          <w:p>
            <w:pPr>
              <w:jc w:val="left"/>
            </w:pPr>
            <w:r>
              <w:rPr>
                <w:sz w:val="17"/>
              </w:rPr>
              <w:t>Un caso</w:t>
            </w:r>
          </w:p>
        </w:tc>
      </w:tr>
      <w:tr>
        <w:tc>
          <w:tcPr>
            <w:tcW w:type="dxa" w:w="3305"/>
            <w:vAlign w:val="top"/>
          </w:tcPr>
          <w:p>
            <w:pPr>
              <w:jc w:val="left"/>
            </w:pPr>
            <w:r>
              <w:rPr>
                <w:sz w:val="17"/>
              </w:rPr>
              <w:t>T-003</w:t>
            </w:r>
          </w:p>
        </w:tc>
        <w:tc>
          <w:tcPr>
            <w:tcW w:type="dxa" w:w="3305"/>
            <w:vAlign w:val="top"/>
          </w:tcPr>
          <w:p>
            <w:pPr>
              <w:jc w:val="left"/>
            </w:pPr>
            <w:r>
              <w:rPr>
                <w:sz w:val="17"/>
              </w:rPr>
              <w:t>Caída después de almacenar</w:t>
            </w:r>
          </w:p>
        </w:tc>
        <w:tc>
          <w:tcPr>
            <w:tcW w:type="dxa" w:w="3305"/>
            <w:vAlign w:val="top"/>
          </w:tcPr>
          <w:p>
            <w:pPr>
              <w:jc w:val="left"/>
            </w:pPr>
            <w:r>
              <w:rPr>
                <w:sz w:val="17"/>
              </w:rPr>
              <w:t>Reanudación sin pérdida</w:t>
            </w:r>
          </w:p>
        </w:tc>
      </w:tr>
      <w:tr>
        <w:tc>
          <w:tcPr>
            <w:tcW w:type="dxa" w:w="3305"/>
            <w:vAlign w:val="top"/>
          </w:tcPr>
          <w:p>
            <w:pPr>
              <w:jc w:val="left"/>
            </w:pPr>
            <w:r>
              <w:rPr>
                <w:sz w:val="17"/>
              </w:rPr>
              <w:t>T-004</w:t>
            </w:r>
          </w:p>
        </w:tc>
        <w:tc>
          <w:tcPr>
            <w:tcW w:type="dxa" w:w="3305"/>
            <w:vAlign w:val="top"/>
          </w:tcPr>
          <w:p>
            <w:pPr>
              <w:jc w:val="left"/>
            </w:pPr>
            <w:r>
              <w:rPr>
                <w:sz w:val="17"/>
              </w:rPr>
              <w:t>Misma IP en dos tenants</w:t>
            </w:r>
          </w:p>
        </w:tc>
        <w:tc>
          <w:tcPr>
            <w:tcW w:type="dxa" w:w="3305"/>
            <w:vAlign w:val="top"/>
          </w:tcPr>
          <w:p>
            <w:pPr>
              <w:jc w:val="left"/>
            </w:pPr>
            <w:r>
              <w:rPr>
                <w:sz w:val="17"/>
              </w:rPr>
              <w:t>Casos aislados</w:t>
            </w:r>
          </w:p>
        </w:tc>
      </w:tr>
      <w:tr>
        <w:tc>
          <w:tcPr>
            <w:tcW w:type="dxa" w:w="3305"/>
            <w:vAlign w:val="top"/>
          </w:tcPr>
          <w:p>
            <w:pPr>
              <w:jc w:val="left"/>
            </w:pPr>
            <w:r>
              <w:rPr>
                <w:sz w:val="17"/>
              </w:rPr>
              <w:t>T-005</w:t>
            </w:r>
          </w:p>
        </w:tc>
        <w:tc>
          <w:tcPr>
            <w:tcW w:type="dxa" w:w="3305"/>
            <w:vAlign w:val="top"/>
          </w:tcPr>
          <w:p>
            <w:pPr>
              <w:jc w:val="left"/>
            </w:pPr>
            <w:r>
              <w:rPr>
                <w:sz w:val="17"/>
              </w:rPr>
              <w:t>Label incorrecto</w:t>
            </w:r>
          </w:p>
        </w:tc>
        <w:tc>
          <w:tcPr>
            <w:tcW w:type="dxa" w:w="3305"/>
            <w:vAlign w:val="top"/>
          </w:tcPr>
          <w:p>
            <w:pPr>
              <w:jc w:val="left"/>
            </w:pPr>
            <w:r>
              <w:rPr>
                <w:sz w:val="17"/>
              </w:rPr>
              <w:t>Cuarentena</w:t>
            </w:r>
          </w:p>
        </w:tc>
      </w:tr>
      <w:tr>
        <w:tc>
          <w:tcPr>
            <w:tcW w:type="dxa" w:w="3305"/>
            <w:vAlign w:val="top"/>
          </w:tcPr>
          <w:p>
            <w:pPr>
              <w:jc w:val="left"/>
            </w:pPr>
            <w:r>
              <w:rPr>
                <w:sz w:val="17"/>
              </w:rPr>
              <w:t>T-006</w:t>
            </w:r>
          </w:p>
        </w:tc>
        <w:tc>
          <w:tcPr>
            <w:tcW w:type="dxa" w:w="3305"/>
            <w:vAlign w:val="top"/>
          </w:tcPr>
          <w:p>
            <w:pPr>
              <w:jc w:val="left"/>
            </w:pPr>
            <w:r>
              <w:rPr>
                <w:sz w:val="17"/>
              </w:rPr>
              <w:t>Brute force distribuido</w:t>
            </w:r>
          </w:p>
        </w:tc>
        <w:tc>
          <w:tcPr>
            <w:tcW w:type="dxa" w:w="3305"/>
            <w:vAlign w:val="top"/>
          </w:tcPr>
          <w:p>
            <w:pPr>
              <w:jc w:val="left"/>
            </w:pPr>
            <w:r>
              <w:rPr>
                <w:sz w:val="17"/>
              </w:rPr>
              <w:t>Correlación cross-host</w:t>
            </w:r>
          </w:p>
        </w:tc>
      </w:tr>
      <w:tr>
        <w:tc>
          <w:tcPr>
            <w:tcW w:type="dxa" w:w="3305"/>
            <w:vAlign w:val="top"/>
          </w:tcPr>
          <w:p>
            <w:pPr>
              <w:jc w:val="left"/>
            </w:pPr>
            <w:r>
              <w:rPr>
                <w:sz w:val="17"/>
              </w:rPr>
              <w:t>T-007</w:t>
            </w:r>
          </w:p>
        </w:tc>
        <w:tc>
          <w:tcPr>
            <w:tcW w:type="dxa" w:w="3305"/>
            <w:vAlign w:val="top"/>
          </w:tcPr>
          <w:p>
            <w:pPr>
              <w:jc w:val="left"/>
            </w:pPr>
            <w:r>
              <w:rPr>
                <w:sz w:val="17"/>
              </w:rPr>
              <w:t>Login exitoso posterior</w:t>
            </w:r>
          </w:p>
        </w:tc>
        <w:tc>
          <w:tcPr>
            <w:tcW w:type="dxa" w:w="3305"/>
            <w:vAlign w:val="top"/>
          </w:tcPr>
          <w:p>
            <w:pPr>
              <w:jc w:val="left"/>
            </w:pPr>
            <w:r>
              <w:rPr>
                <w:sz w:val="17"/>
              </w:rPr>
              <w:t>Cambio material y escalamiento</w:t>
            </w:r>
          </w:p>
        </w:tc>
      </w:tr>
      <w:tr>
        <w:tc>
          <w:tcPr>
            <w:tcW w:type="dxa" w:w="3305"/>
            <w:vAlign w:val="top"/>
          </w:tcPr>
          <w:p>
            <w:pPr>
              <w:jc w:val="left"/>
            </w:pPr>
            <w:r>
              <w:rPr>
                <w:sz w:val="17"/>
              </w:rPr>
              <w:t>T-008</w:t>
            </w:r>
          </w:p>
        </w:tc>
        <w:tc>
          <w:tcPr>
            <w:tcW w:type="dxa" w:w="3305"/>
            <w:vAlign w:val="top"/>
          </w:tcPr>
          <w:p>
            <w:pPr>
              <w:jc w:val="left"/>
            </w:pPr>
            <w:r>
              <w:rPr>
                <w:sz w:val="17"/>
              </w:rPr>
              <w:t>IA no disponible</w:t>
            </w:r>
          </w:p>
        </w:tc>
        <w:tc>
          <w:tcPr>
            <w:tcW w:type="dxa" w:w="3305"/>
            <w:vAlign w:val="top"/>
          </w:tcPr>
          <w:p>
            <w:pPr>
              <w:jc w:val="left"/>
            </w:pPr>
            <w:r>
              <w:rPr>
                <w:sz w:val="17"/>
              </w:rPr>
              <w:t>Plantilla</w:t>
            </w:r>
          </w:p>
        </w:tc>
      </w:tr>
      <w:tr>
        <w:tc>
          <w:tcPr>
            <w:tcW w:type="dxa" w:w="3305"/>
            <w:vAlign w:val="top"/>
          </w:tcPr>
          <w:p>
            <w:pPr>
              <w:jc w:val="left"/>
            </w:pPr>
            <w:r>
              <w:rPr>
                <w:sz w:val="17"/>
              </w:rPr>
              <w:t>T-009</w:t>
            </w:r>
          </w:p>
        </w:tc>
        <w:tc>
          <w:tcPr>
            <w:tcW w:type="dxa" w:w="3305"/>
            <w:vAlign w:val="top"/>
          </w:tcPr>
          <w:p>
            <w:pPr>
              <w:jc w:val="left"/>
            </w:pPr>
            <w:r>
              <w:rPr>
                <w:sz w:val="17"/>
              </w:rPr>
              <w:t>Correo falla</w:t>
            </w:r>
          </w:p>
        </w:tc>
        <w:tc>
          <w:tcPr>
            <w:tcW w:type="dxa" w:w="3305"/>
            <w:vAlign w:val="top"/>
          </w:tcPr>
          <w:p>
            <w:pPr>
              <w:jc w:val="left"/>
            </w:pPr>
            <w:r>
              <w:rPr>
                <w:sz w:val="17"/>
              </w:rPr>
              <w:t>Retry sin segundo correo</w:t>
            </w:r>
          </w:p>
        </w:tc>
      </w:tr>
      <w:tr>
        <w:tc>
          <w:tcPr>
            <w:tcW w:type="dxa" w:w="3305"/>
            <w:vAlign w:val="top"/>
          </w:tcPr>
          <w:p>
            <w:pPr>
              <w:jc w:val="left"/>
            </w:pPr>
            <w:r>
              <w:rPr>
                <w:sz w:val="17"/>
              </w:rPr>
              <w:t>T-010</w:t>
            </w:r>
          </w:p>
        </w:tc>
        <w:tc>
          <w:tcPr>
            <w:tcW w:type="dxa" w:w="3305"/>
            <w:vAlign w:val="top"/>
          </w:tcPr>
          <w:p>
            <w:pPr>
              <w:jc w:val="left"/>
            </w:pPr>
            <w:r>
              <w:rPr>
                <w:sz w:val="17"/>
              </w:rPr>
              <w:t>Indexer reinicia</w:t>
            </w:r>
          </w:p>
        </w:tc>
        <w:tc>
          <w:tcPr>
            <w:tcW w:type="dxa" w:w="3305"/>
            <w:vAlign w:val="top"/>
          </w:tcPr>
          <w:p>
            <w:pPr>
              <w:jc w:val="left"/>
            </w:pPr>
            <w:r>
              <w:rPr>
                <w:sz w:val="17"/>
              </w:rPr>
              <w:t>Cursor correcto</w:t>
            </w:r>
          </w:p>
        </w:tc>
      </w:tr>
      <w:tr>
        <w:tc>
          <w:tcPr>
            <w:tcW w:type="dxa" w:w="3305"/>
            <w:vAlign w:val="top"/>
          </w:tcPr>
          <w:p>
            <w:pPr>
              <w:jc w:val="left"/>
            </w:pPr>
            <w:r>
              <w:rPr>
                <w:sz w:val="17"/>
              </w:rPr>
              <w:t>T-011</w:t>
            </w:r>
          </w:p>
        </w:tc>
        <w:tc>
          <w:tcPr>
            <w:tcW w:type="dxa" w:w="3305"/>
            <w:vAlign w:val="top"/>
          </w:tcPr>
          <w:p>
            <w:pPr>
              <w:jc w:val="left"/>
            </w:pPr>
            <w:r>
              <w:rPr>
                <w:sz w:val="17"/>
              </w:rPr>
              <w:t>KEV desactualizado</w:t>
            </w:r>
          </w:p>
        </w:tc>
        <w:tc>
          <w:tcPr>
            <w:tcW w:type="dxa" w:w="3305"/>
            <w:vAlign w:val="top"/>
          </w:tcPr>
          <w:p>
            <w:pPr>
              <w:jc w:val="left"/>
            </w:pPr>
            <w:r>
              <w:rPr>
                <w:sz w:val="17"/>
              </w:rPr>
              <w:t>Alerta operativa</w:t>
            </w:r>
          </w:p>
        </w:tc>
      </w:tr>
      <w:tr>
        <w:tc>
          <w:tcPr>
            <w:tcW w:type="dxa" w:w="3305"/>
            <w:vAlign w:val="top"/>
          </w:tcPr>
          <w:p>
            <w:pPr>
              <w:jc w:val="left"/>
            </w:pPr>
            <w:r>
              <w:rPr>
                <w:sz w:val="17"/>
              </w:rPr>
              <w:t>T-012</w:t>
            </w:r>
          </w:p>
        </w:tc>
        <w:tc>
          <w:tcPr>
            <w:tcW w:type="dxa" w:w="3305"/>
            <w:vAlign w:val="top"/>
          </w:tcPr>
          <w:p>
            <w:pPr>
              <w:jc w:val="left"/>
            </w:pPr>
            <w:r>
              <w:rPr>
                <w:sz w:val="17"/>
              </w:rPr>
              <w:t>Caso cerrado con evidencia</w:t>
            </w:r>
          </w:p>
        </w:tc>
        <w:tc>
          <w:tcPr>
            <w:tcW w:type="dxa" w:w="3305"/>
            <w:vAlign w:val="top"/>
          </w:tcPr>
          <w:p>
            <w:pPr>
              <w:jc w:val="left"/>
            </w:pPr>
            <w:r>
              <w:rPr>
                <w:sz w:val="17"/>
              </w:rPr>
              <w:t>Reapertura según política</w:t>
            </w:r>
          </w:p>
        </w:tc>
      </w:tr>
      <w:tr>
        <w:tc>
          <w:tcPr>
            <w:tcW w:type="dxa" w:w="3305"/>
            <w:vAlign w:val="top"/>
          </w:tcPr>
          <w:p>
            <w:pPr>
              <w:jc w:val="left"/>
            </w:pPr>
            <w:r>
              <w:rPr>
                <w:sz w:val="17"/>
              </w:rPr>
              <w:t>T-013</w:t>
            </w:r>
          </w:p>
        </w:tc>
        <w:tc>
          <w:tcPr>
            <w:tcW w:type="dxa" w:w="3305"/>
            <w:vAlign w:val="top"/>
          </w:tcPr>
          <w:p>
            <w:pPr>
              <w:jc w:val="left"/>
            </w:pPr>
            <w:r>
              <w:rPr>
                <w:sz w:val="17"/>
              </w:rPr>
              <w:t>Tormenta de 10 000 alertas</w:t>
            </w:r>
          </w:p>
        </w:tc>
        <w:tc>
          <w:tcPr>
            <w:tcW w:type="dxa" w:w="3305"/>
            <w:vAlign w:val="top"/>
          </w:tcPr>
          <w:p>
            <w:pPr>
              <w:jc w:val="left"/>
            </w:pPr>
            <w:r>
              <w:rPr>
                <w:sz w:val="17"/>
              </w:rPr>
              <w:t>Control de casos/correos</w:t>
            </w:r>
          </w:p>
        </w:tc>
      </w:tr>
      <w:tr>
        <w:tc>
          <w:tcPr>
            <w:tcW w:type="dxa" w:w="3305"/>
            <w:vAlign w:val="top"/>
          </w:tcPr>
          <w:p>
            <w:pPr>
              <w:jc w:val="left"/>
            </w:pPr>
            <w:r>
              <w:rPr>
                <w:sz w:val="17"/>
              </w:rPr>
              <w:t>T-014</w:t>
            </w:r>
          </w:p>
        </w:tc>
        <w:tc>
          <w:tcPr>
            <w:tcW w:type="dxa" w:w="3305"/>
            <w:vAlign w:val="top"/>
          </w:tcPr>
          <w:p>
            <w:pPr>
              <w:jc w:val="left"/>
            </w:pPr>
            <w:r>
              <w:rPr>
                <w:sz w:val="17"/>
              </w:rPr>
              <w:t>Acceso cruzado</w:t>
            </w:r>
          </w:p>
        </w:tc>
        <w:tc>
          <w:tcPr>
            <w:tcW w:type="dxa" w:w="3305"/>
            <w:vAlign w:val="top"/>
          </w:tcPr>
          <w:p>
            <w:pPr>
              <w:jc w:val="left"/>
            </w:pPr>
            <w:r>
              <w:rPr>
                <w:sz w:val="17"/>
              </w:rPr>
              <w:t>Denegado y auditado</w:t>
            </w:r>
          </w:p>
        </w:tc>
      </w:tr>
    </w:tbl>
    <w:p/>
    <w:p>
      <w:r>
        <w:t>Cada ejecución debe registrar precondiciones, datos, pasos, resultado obtenido, evidencia y versión. No debe promoverse un estado de validación sin esos elementos.</w:t>
      </w:r>
    </w:p>
    <w:p>
      <w:pPr>
        <w:pStyle w:val="Heading1"/>
      </w:pPr>
      <w:r>
        <w:t>10. Plan de implementación</w:t>
      </w:r>
    </w:p>
    <w:p>
      <w:r>
        <w:t>La implementación se divide en entregables verificables. El primer caso end-to-end debe completarse antes de ampliar las familias. Se recomienda iniciar con autenticación porque utiliza fixtures existentes y demuestra deduplicación y cambio material.</w:t>
      </w:r>
    </w:p>
    <w:tbl>
      <w:tblPr>
        <w:tblStyle w:val="TableGrid"/>
        <w:tblW w:type="auto" w:w="0"/>
        <w:jc w:val="center"/>
        <w:tblLook w:firstColumn="1" w:firstRow="1" w:lastColumn="0" w:lastRow="0" w:noHBand="0" w:noVBand="1" w:val="04A0"/>
      </w:tblPr>
      <w:tblGrid>
        <w:gridCol w:w="3305"/>
        <w:gridCol w:w="3305"/>
        <w:gridCol w:w="3305"/>
      </w:tblGrid>
      <w:tr>
        <w:trPr>
          <w:tblHeader w:val="true"/>
        </w:trPr>
        <w:tc>
          <w:tcPr>
            <w:tcW w:type="dxa" w:w="3305"/>
            <w:shd w:fill="D9E2F3"/>
          </w:tcPr>
          <w:p>
            <w:r>
              <w:rPr>
                <w:b/>
                <w:sz w:val="17"/>
              </w:rPr>
              <w:t>Fase</w:t>
            </w:r>
          </w:p>
        </w:tc>
        <w:tc>
          <w:tcPr>
            <w:tcW w:type="dxa" w:w="3305"/>
            <w:shd w:fill="D9E2F3"/>
          </w:tcPr>
          <w:p>
            <w:r>
              <w:rPr>
                <w:b/>
                <w:sz w:val="17"/>
              </w:rPr>
              <w:t>Trabajo</w:t>
            </w:r>
          </w:p>
        </w:tc>
        <w:tc>
          <w:tcPr>
            <w:tcW w:type="dxa" w:w="3305"/>
            <w:shd w:fill="D9E2F3"/>
          </w:tcPr>
          <w:p>
            <w:r>
              <w:rPr>
                <w:b/>
                <w:sz w:val="17"/>
              </w:rPr>
              <w:t>Criterio de salida</w:t>
            </w:r>
          </w:p>
        </w:tc>
      </w:tr>
      <w:tr>
        <w:tc>
          <w:tcPr>
            <w:tcW w:type="dxa" w:w="3305"/>
            <w:vAlign w:val="top"/>
          </w:tcPr>
          <w:p>
            <w:pPr>
              <w:jc w:val="left"/>
            </w:pPr>
            <w:r>
              <w:rPr>
                <w:sz w:val="17"/>
              </w:rPr>
              <w:t>0</w:t>
            </w:r>
          </w:p>
        </w:tc>
        <w:tc>
          <w:tcPr>
            <w:tcW w:type="dxa" w:w="3305"/>
            <w:vAlign w:val="top"/>
          </w:tcPr>
          <w:p>
            <w:pPr>
              <w:jc w:val="left"/>
            </w:pPr>
            <w:r>
              <w:rPr>
                <w:sz w:val="17"/>
              </w:rPr>
              <w:t>Aprobar documentos y alcance</w:t>
            </w:r>
          </w:p>
        </w:tc>
        <w:tc>
          <w:tcPr>
            <w:tcW w:type="dxa" w:w="3305"/>
            <w:vAlign w:val="top"/>
          </w:tcPr>
          <w:p>
            <w:pPr>
              <w:jc w:val="left"/>
            </w:pPr>
            <w:r>
              <w:rPr>
                <w:sz w:val="17"/>
              </w:rPr>
              <w:t>Decisión y responsables</w:t>
            </w:r>
          </w:p>
        </w:tc>
      </w:tr>
      <w:tr>
        <w:tc>
          <w:tcPr>
            <w:tcW w:type="dxa" w:w="3305"/>
            <w:vAlign w:val="top"/>
          </w:tcPr>
          <w:p>
            <w:pPr>
              <w:jc w:val="left"/>
            </w:pPr>
            <w:r>
              <w:rPr>
                <w:sz w:val="17"/>
              </w:rPr>
              <w:t>1</w:t>
            </w:r>
          </w:p>
        </w:tc>
        <w:tc>
          <w:tcPr>
            <w:tcW w:type="dxa" w:w="3305"/>
            <w:vAlign w:val="top"/>
          </w:tcPr>
          <w:p>
            <w:pPr>
              <w:jc w:val="left"/>
            </w:pPr>
            <w:r>
              <w:rPr>
                <w:sz w:val="17"/>
              </w:rPr>
              <w:t>Modelo de datos y tenant</w:t>
            </w:r>
          </w:p>
        </w:tc>
        <w:tc>
          <w:tcPr>
            <w:tcW w:type="dxa" w:w="3305"/>
            <w:vAlign w:val="top"/>
          </w:tcPr>
          <w:p>
            <w:pPr>
              <w:jc w:val="left"/>
            </w:pPr>
            <w:r>
              <w:rPr>
                <w:sz w:val="17"/>
              </w:rPr>
              <w:t>Migraciones y pruebas de aislamiento</w:t>
            </w:r>
          </w:p>
        </w:tc>
      </w:tr>
      <w:tr>
        <w:tc>
          <w:tcPr>
            <w:tcW w:type="dxa" w:w="3305"/>
            <w:vAlign w:val="top"/>
          </w:tcPr>
          <w:p>
            <w:pPr>
              <w:jc w:val="left"/>
            </w:pPr>
            <w:r>
              <w:rPr>
                <w:sz w:val="17"/>
              </w:rPr>
              <w:t>2</w:t>
            </w:r>
          </w:p>
        </w:tc>
        <w:tc>
          <w:tcPr>
            <w:tcW w:type="dxa" w:w="3305"/>
            <w:vAlign w:val="top"/>
          </w:tcPr>
          <w:p>
            <w:pPr>
              <w:jc w:val="left"/>
            </w:pPr>
            <w:r>
              <w:rPr>
                <w:sz w:val="17"/>
              </w:rPr>
              <w:t>Ingesta y raw events</w:t>
            </w:r>
          </w:p>
        </w:tc>
        <w:tc>
          <w:tcPr>
            <w:tcW w:type="dxa" w:w="3305"/>
            <w:vAlign w:val="top"/>
          </w:tcPr>
          <w:p>
            <w:pPr>
              <w:jc w:val="left"/>
            </w:pPr>
            <w:r>
              <w:rPr>
                <w:sz w:val="17"/>
              </w:rPr>
              <w:t>Reinicio sin pérdida/duplicado</w:t>
            </w:r>
          </w:p>
        </w:tc>
      </w:tr>
      <w:tr>
        <w:tc>
          <w:tcPr>
            <w:tcW w:type="dxa" w:w="3305"/>
            <w:vAlign w:val="top"/>
          </w:tcPr>
          <w:p>
            <w:pPr>
              <w:jc w:val="left"/>
            </w:pPr>
            <w:r>
              <w:rPr>
                <w:sz w:val="17"/>
              </w:rPr>
              <w:t>3</w:t>
            </w:r>
          </w:p>
        </w:tc>
        <w:tc>
          <w:tcPr>
            <w:tcW w:type="dxa" w:w="3305"/>
            <w:vAlign w:val="top"/>
          </w:tcPr>
          <w:p>
            <w:pPr>
              <w:jc w:val="left"/>
            </w:pPr>
            <w:r>
              <w:rPr>
                <w:sz w:val="17"/>
              </w:rPr>
              <w:t>Normalización</w:t>
            </w:r>
          </w:p>
        </w:tc>
        <w:tc>
          <w:tcPr>
            <w:tcW w:type="dxa" w:w="3305"/>
            <w:vAlign w:val="top"/>
          </w:tcPr>
          <w:p>
            <w:pPr>
              <w:jc w:val="left"/>
            </w:pPr>
            <w:r>
              <w:rPr>
                <w:sz w:val="17"/>
              </w:rPr>
              <w:t>Schema validado</w:t>
            </w:r>
          </w:p>
        </w:tc>
      </w:tr>
      <w:tr>
        <w:tc>
          <w:tcPr>
            <w:tcW w:type="dxa" w:w="3305"/>
            <w:vAlign w:val="top"/>
          </w:tcPr>
          <w:p>
            <w:pPr>
              <w:jc w:val="left"/>
            </w:pPr>
            <w:r>
              <w:rPr>
                <w:sz w:val="17"/>
              </w:rPr>
              <w:t>4</w:t>
            </w:r>
          </w:p>
        </w:tc>
        <w:tc>
          <w:tcPr>
            <w:tcW w:type="dxa" w:w="3305"/>
            <w:vAlign w:val="top"/>
          </w:tcPr>
          <w:p>
            <w:pPr>
              <w:jc w:val="left"/>
            </w:pPr>
            <w:r>
              <w:rPr>
                <w:sz w:val="17"/>
              </w:rPr>
              <w:t>Motor de casos</w:t>
            </w:r>
          </w:p>
        </w:tc>
        <w:tc>
          <w:tcPr>
            <w:tcW w:type="dxa" w:w="3305"/>
            <w:vAlign w:val="top"/>
          </w:tcPr>
          <w:p>
            <w:pPr>
              <w:jc w:val="left"/>
            </w:pPr>
            <w:r>
              <w:rPr>
                <w:sz w:val="17"/>
              </w:rPr>
              <w:t>Concurrencia y estados</w:t>
            </w:r>
          </w:p>
        </w:tc>
      </w:tr>
      <w:tr>
        <w:tc>
          <w:tcPr>
            <w:tcW w:type="dxa" w:w="3305"/>
            <w:vAlign w:val="top"/>
          </w:tcPr>
          <w:p>
            <w:pPr>
              <w:jc w:val="left"/>
            </w:pPr>
            <w:r>
              <w:rPr>
                <w:sz w:val="17"/>
              </w:rPr>
              <w:t>5</w:t>
            </w:r>
          </w:p>
        </w:tc>
        <w:tc>
          <w:tcPr>
            <w:tcW w:type="dxa" w:w="3305"/>
            <w:vAlign w:val="top"/>
          </w:tcPr>
          <w:p>
            <w:pPr>
              <w:jc w:val="left"/>
            </w:pPr>
            <w:r>
              <w:rPr>
                <w:sz w:val="17"/>
              </w:rPr>
              <w:t>AUTH end-to-end</w:t>
            </w:r>
          </w:p>
        </w:tc>
        <w:tc>
          <w:tcPr>
            <w:tcW w:type="dxa" w:w="3305"/>
            <w:vAlign w:val="top"/>
          </w:tcPr>
          <w:p>
            <w:pPr>
              <w:jc w:val="left"/>
            </w:pPr>
            <w:r>
              <w:rPr>
                <w:sz w:val="17"/>
              </w:rPr>
              <w:t>Alerta a comunicación simulada</w:t>
            </w:r>
          </w:p>
        </w:tc>
      </w:tr>
      <w:tr>
        <w:tc>
          <w:tcPr>
            <w:tcW w:type="dxa" w:w="3305"/>
            <w:vAlign w:val="top"/>
          </w:tcPr>
          <w:p>
            <w:pPr>
              <w:jc w:val="left"/>
            </w:pPr>
            <w:r>
              <w:rPr>
                <w:sz w:val="17"/>
              </w:rPr>
              <w:t>6</w:t>
            </w:r>
          </w:p>
        </w:tc>
        <w:tc>
          <w:tcPr>
            <w:tcW w:type="dxa" w:w="3305"/>
            <w:vAlign w:val="top"/>
          </w:tcPr>
          <w:p>
            <w:pPr>
              <w:jc w:val="left"/>
            </w:pPr>
            <w:r>
              <w:rPr>
                <w:sz w:val="17"/>
              </w:rPr>
              <w:t>Enriquecimiento</w:t>
            </w:r>
          </w:p>
        </w:tc>
        <w:tc>
          <w:tcPr>
            <w:tcW w:type="dxa" w:w="3305"/>
            <w:vAlign w:val="top"/>
          </w:tcPr>
          <w:p>
            <w:pPr>
              <w:jc w:val="left"/>
            </w:pPr>
            <w:r>
              <w:rPr>
                <w:sz w:val="17"/>
              </w:rPr>
              <w:t>Cache, timeout y KEV</w:t>
            </w:r>
          </w:p>
        </w:tc>
      </w:tr>
      <w:tr>
        <w:tc>
          <w:tcPr>
            <w:tcW w:type="dxa" w:w="3305"/>
            <w:vAlign w:val="top"/>
          </w:tcPr>
          <w:p>
            <w:pPr>
              <w:jc w:val="left"/>
            </w:pPr>
            <w:r>
              <w:rPr>
                <w:sz w:val="17"/>
              </w:rPr>
              <w:t>7</w:t>
            </w:r>
          </w:p>
        </w:tc>
        <w:tc>
          <w:tcPr>
            <w:tcW w:type="dxa" w:w="3305"/>
            <w:vAlign w:val="top"/>
          </w:tcPr>
          <w:p>
            <w:pPr>
              <w:jc w:val="left"/>
            </w:pPr>
            <w:r>
              <w:rPr>
                <w:sz w:val="17"/>
              </w:rPr>
              <w:t>Procedimientos e IA</w:t>
            </w:r>
          </w:p>
        </w:tc>
        <w:tc>
          <w:tcPr>
            <w:tcW w:type="dxa" w:w="3305"/>
            <w:vAlign w:val="top"/>
          </w:tcPr>
          <w:p>
            <w:pPr>
              <w:jc w:val="left"/>
            </w:pPr>
            <w:r>
              <w:rPr>
                <w:sz w:val="17"/>
              </w:rPr>
              <w:t>Fallback probado</w:t>
            </w:r>
          </w:p>
        </w:tc>
      </w:tr>
      <w:tr>
        <w:tc>
          <w:tcPr>
            <w:tcW w:type="dxa" w:w="3305"/>
            <w:vAlign w:val="top"/>
          </w:tcPr>
          <w:p>
            <w:pPr>
              <w:jc w:val="left"/>
            </w:pPr>
            <w:r>
              <w:rPr>
                <w:sz w:val="17"/>
              </w:rPr>
              <w:t>8</w:t>
            </w:r>
          </w:p>
        </w:tc>
        <w:tc>
          <w:tcPr>
            <w:tcW w:type="dxa" w:w="3305"/>
            <w:vAlign w:val="top"/>
          </w:tcPr>
          <w:p>
            <w:pPr>
              <w:jc w:val="left"/>
            </w:pPr>
            <w:r>
              <w:rPr>
                <w:sz w:val="17"/>
              </w:rPr>
              <w:t>Correo/confirmación</w:t>
            </w:r>
          </w:p>
        </w:tc>
        <w:tc>
          <w:tcPr>
            <w:tcW w:type="dxa" w:w="3305"/>
            <w:vAlign w:val="top"/>
          </w:tcPr>
          <w:p>
            <w:pPr>
              <w:jc w:val="left"/>
            </w:pPr>
            <w:r>
              <w:rPr>
                <w:sz w:val="17"/>
              </w:rPr>
              <w:t>Ledger idempotente</w:t>
            </w:r>
          </w:p>
        </w:tc>
      </w:tr>
      <w:tr>
        <w:tc>
          <w:tcPr>
            <w:tcW w:type="dxa" w:w="3305"/>
            <w:vAlign w:val="top"/>
          </w:tcPr>
          <w:p>
            <w:pPr>
              <w:jc w:val="left"/>
            </w:pPr>
            <w:r>
              <w:rPr>
                <w:sz w:val="17"/>
              </w:rPr>
              <w:t>9</w:t>
            </w:r>
          </w:p>
        </w:tc>
        <w:tc>
          <w:tcPr>
            <w:tcW w:type="dxa" w:w="3305"/>
            <w:vAlign w:val="top"/>
          </w:tcPr>
          <w:p>
            <w:pPr>
              <w:jc w:val="left"/>
            </w:pPr>
            <w:r>
              <w:rPr>
                <w:sz w:val="17"/>
              </w:rPr>
              <w:t>Shadow mode</w:t>
            </w:r>
          </w:p>
        </w:tc>
        <w:tc>
          <w:tcPr>
            <w:tcW w:type="dxa" w:w="3305"/>
            <w:vAlign w:val="top"/>
          </w:tcPr>
          <w:p>
            <w:pPr>
              <w:jc w:val="left"/>
            </w:pPr>
            <w:r>
              <w:rPr>
                <w:sz w:val="17"/>
              </w:rPr>
              <w:t>Métricas y tuning</w:t>
            </w:r>
          </w:p>
        </w:tc>
      </w:tr>
      <w:tr>
        <w:tc>
          <w:tcPr>
            <w:tcW w:type="dxa" w:w="3305"/>
            <w:vAlign w:val="top"/>
          </w:tcPr>
          <w:p>
            <w:pPr>
              <w:jc w:val="left"/>
            </w:pPr>
            <w:r>
              <w:rPr>
                <w:sz w:val="17"/>
              </w:rPr>
              <w:t>10</w:t>
            </w:r>
          </w:p>
        </w:tc>
        <w:tc>
          <w:tcPr>
            <w:tcW w:type="dxa" w:w="3305"/>
            <w:vAlign w:val="top"/>
          </w:tcPr>
          <w:p>
            <w:pPr>
              <w:jc w:val="left"/>
            </w:pPr>
            <w:r>
              <w:rPr>
                <w:sz w:val="17"/>
              </w:rPr>
              <w:t>Piloto</w:t>
            </w:r>
          </w:p>
        </w:tc>
        <w:tc>
          <w:tcPr>
            <w:tcW w:type="dxa" w:w="3305"/>
            <w:vAlign w:val="top"/>
          </w:tcPr>
          <w:p>
            <w:pPr>
              <w:jc w:val="left"/>
            </w:pPr>
            <w:r>
              <w:rPr>
                <w:sz w:val="17"/>
              </w:rPr>
              <w:t>Go/No-Go</w:t>
            </w:r>
          </w:p>
        </w:tc>
      </w:tr>
    </w:tbl>
    <w:p/>
    <w:p>
      <w:pPr>
        <w:pStyle w:val="Heading1"/>
      </w:pPr>
      <w:r>
        <w:t>11. Infraestructura del piloto</w:t>
      </w:r>
    </w:p>
    <w:p>
      <w:r>
        <w:t>El piloto puede utilizar un despliegue simple: Wazuh existente, PostgreSQL, aplicación, uno o dos workers, servicio de correo, cache y monitoreo. Debe existir separación de entornos, backups diarios y registros. No se declara alta disponibilidad; se documentan tiempos de recuperación.</w:t>
      </w:r>
    </w:p>
    <w:p>
      <w:pPr>
        <w:pStyle w:val="ListBullet"/>
        <w:jc w:val="left"/>
      </w:pPr>
      <w:r>
        <w:t>Uno a tres clientes.</w:t>
      </w:r>
    </w:p>
    <w:p>
      <w:pPr>
        <w:pStyle w:val="ListBullet"/>
        <w:jc w:val="left"/>
      </w:pPr>
      <w:r>
        <w:t>Retención limitada y dimensionada por volumen.</w:t>
      </w:r>
    </w:p>
    <w:p>
      <w:pPr>
        <w:pStyle w:val="ListBullet"/>
        <w:jc w:val="left"/>
      </w:pPr>
      <w:r>
        <w:t>Secretos separados por entorno.</w:t>
      </w:r>
    </w:p>
    <w:p>
      <w:pPr>
        <w:pStyle w:val="ListBullet"/>
        <w:jc w:val="left"/>
      </w:pPr>
      <w:r>
        <w:t>Métricas de cursor, workers, DB, correo y feeds.</w:t>
      </w:r>
    </w:p>
    <w:p>
      <w:pPr>
        <w:pStyle w:val="ListBullet"/>
        <w:jc w:val="left"/>
      </w:pPr>
      <w:r>
        <w:t>Runbooks y rollback antes de clientes.</w:t>
      </w:r>
    </w:p>
    <w:p>
      <w:pPr>
        <w:pStyle w:val="Heading1"/>
      </w:pPr>
      <w:r>
        <w:t>12. Go/No-Go</w:t>
      </w:r>
    </w:p>
    <w:tbl>
      <w:tblPr>
        <w:tblStyle w:val="TableGrid"/>
        <w:tblW w:type="auto" w:w="0"/>
        <w:jc w:val="center"/>
        <w:tblLook w:firstColumn="1" w:firstRow="1" w:lastColumn="0" w:lastRow="0" w:noHBand="0" w:noVBand="1" w:val="04A0"/>
      </w:tblPr>
      <w:tblGrid>
        <w:gridCol w:w="4957"/>
        <w:gridCol w:w="4957"/>
      </w:tblGrid>
      <w:tr>
        <w:trPr>
          <w:tblHeader w:val="true"/>
        </w:trPr>
        <w:tc>
          <w:tcPr>
            <w:tcW w:type="dxa" w:w="4957"/>
            <w:shd w:fill="D9E2F3"/>
          </w:tcPr>
          <w:p>
            <w:r>
              <w:rPr>
                <w:b/>
                <w:sz w:val="17"/>
              </w:rPr>
              <w:t>Go</w:t>
            </w:r>
          </w:p>
        </w:tc>
        <w:tc>
          <w:tcPr>
            <w:tcW w:type="dxa" w:w="4957"/>
            <w:shd w:fill="D9E2F3"/>
          </w:tcPr>
          <w:p>
            <w:r>
              <w:rPr>
                <w:b/>
                <w:sz w:val="17"/>
              </w:rPr>
              <w:t>No-Go</w:t>
            </w:r>
          </w:p>
        </w:tc>
      </w:tr>
      <w:tr>
        <w:tc>
          <w:tcPr>
            <w:tcW w:type="dxa" w:w="4957"/>
            <w:vAlign w:val="top"/>
          </w:tcPr>
          <w:p>
            <w:pPr>
              <w:jc w:val="left"/>
            </w:pPr>
            <w:r>
              <w:rPr>
                <w:sz w:val="17"/>
              </w:rPr>
              <w:t>Cero fugas en pruebas</w:t>
            </w:r>
          </w:p>
        </w:tc>
        <w:tc>
          <w:tcPr>
            <w:tcW w:type="dxa" w:w="4957"/>
            <w:vAlign w:val="top"/>
          </w:tcPr>
          <w:p>
            <w:pPr>
              <w:jc w:val="left"/>
            </w:pPr>
            <w:r>
              <w:rPr>
                <w:sz w:val="17"/>
              </w:rPr>
              <w:t>Tenant basado solo en labels</w:t>
            </w:r>
          </w:p>
        </w:tc>
      </w:tr>
      <w:tr>
        <w:tc>
          <w:tcPr>
            <w:tcW w:type="dxa" w:w="4957"/>
            <w:vAlign w:val="top"/>
          </w:tcPr>
          <w:p>
            <w:pPr>
              <w:jc w:val="left"/>
            </w:pPr>
            <w:r>
              <w:rPr>
                <w:sz w:val="17"/>
              </w:rPr>
              <w:t>Cero efectos duplicados</w:t>
            </w:r>
          </w:p>
        </w:tc>
        <w:tc>
          <w:tcPr>
            <w:tcW w:type="dxa" w:w="4957"/>
            <w:vAlign w:val="top"/>
          </w:tcPr>
          <w:p>
            <w:pPr>
              <w:jc w:val="left"/>
            </w:pPr>
            <w:r>
              <w:rPr>
                <w:sz w:val="17"/>
              </w:rPr>
              <w:t>Casos o correos duplicados</w:t>
            </w:r>
          </w:p>
        </w:tc>
      </w:tr>
      <w:tr>
        <w:tc>
          <w:tcPr>
            <w:tcW w:type="dxa" w:w="4957"/>
            <w:vAlign w:val="top"/>
          </w:tcPr>
          <w:p>
            <w:pPr>
              <w:jc w:val="left"/>
            </w:pPr>
            <w:r>
              <w:rPr>
                <w:sz w:val="17"/>
              </w:rPr>
              <w:t>Fallback IA probado</w:t>
            </w:r>
          </w:p>
        </w:tc>
        <w:tc>
          <w:tcPr>
            <w:tcW w:type="dxa" w:w="4957"/>
            <w:vAlign w:val="top"/>
          </w:tcPr>
          <w:p>
            <w:pPr>
              <w:jc w:val="left"/>
            </w:pPr>
            <w:r>
              <w:rPr>
                <w:sz w:val="17"/>
              </w:rPr>
              <w:t>Caso crítico bloqueado por IA</w:t>
            </w:r>
          </w:p>
        </w:tc>
      </w:tr>
      <w:tr>
        <w:tc>
          <w:tcPr>
            <w:tcW w:type="dxa" w:w="4957"/>
            <w:vAlign w:val="top"/>
          </w:tcPr>
          <w:p>
            <w:pPr>
              <w:jc w:val="left"/>
            </w:pPr>
            <w:r>
              <w:rPr>
                <w:sz w:val="17"/>
              </w:rPr>
              <w:t>Reglas con evidencia</w:t>
            </w:r>
          </w:p>
        </w:tc>
        <w:tc>
          <w:tcPr>
            <w:tcW w:type="dxa" w:w="4957"/>
            <w:vAlign w:val="top"/>
          </w:tcPr>
          <w:p>
            <w:pPr>
              <w:jc w:val="left"/>
            </w:pPr>
            <w:r>
              <w:rPr>
                <w:sz w:val="17"/>
              </w:rPr>
              <w:t>Reglas críticas sin logtest/shadow</w:t>
            </w:r>
          </w:p>
        </w:tc>
      </w:tr>
      <w:tr>
        <w:tc>
          <w:tcPr>
            <w:tcW w:type="dxa" w:w="4957"/>
            <w:vAlign w:val="top"/>
          </w:tcPr>
          <w:p>
            <w:pPr>
              <w:jc w:val="left"/>
            </w:pPr>
            <w:r>
              <w:rPr>
                <w:sz w:val="17"/>
              </w:rPr>
              <w:t>Restauración y rollback</w:t>
            </w:r>
          </w:p>
        </w:tc>
        <w:tc>
          <w:tcPr>
            <w:tcW w:type="dxa" w:w="4957"/>
            <w:vAlign w:val="top"/>
          </w:tcPr>
          <w:p>
            <w:pPr>
              <w:jc w:val="left"/>
            </w:pPr>
            <w:r>
              <w:rPr>
                <w:sz w:val="17"/>
              </w:rPr>
              <w:t>Backups no probados</w:t>
            </w:r>
          </w:p>
        </w:tc>
      </w:tr>
      <w:tr>
        <w:tc>
          <w:tcPr>
            <w:tcW w:type="dxa" w:w="4957"/>
            <w:vAlign w:val="top"/>
          </w:tcPr>
          <w:p>
            <w:pPr>
              <w:jc w:val="left"/>
            </w:pPr>
            <w:r>
              <w:rPr>
                <w:sz w:val="17"/>
              </w:rPr>
              <w:t>SLA y personal aprobados</w:t>
            </w:r>
          </w:p>
        </w:tc>
        <w:tc>
          <w:tcPr>
            <w:tcW w:type="dxa" w:w="4957"/>
            <w:vAlign w:val="top"/>
          </w:tcPr>
          <w:p>
            <w:pPr>
              <w:jc w:val="left"/>
            </w:pPr>
            <w:r>
              <w:rPr>
                <w:sz w:val="17"/>
              </w:rPr>
              <w:t>Promesa 24/7 sin guardia</w:t>
            </w:r>
          </w:p>
        </w:tc>
      </w:tr>
      <w:tr>
        <w:tc>
          <w:tcPr>
            <w:tcW w:type="dxa" w:w="4957"/>
            <w:vAlign w:val="top"/>
          </w:tcPr>
          <w:p>
            <w:pPr>
              <w:jc w:val="left"/>
            </w:pPr>
            <w:r>
              <w:rPr>
                <w:sz w:val="17"/>
              </w:rPr>
              <w:t>FP aceptable</w:t>
            </w:r>
          </w:p>
        </w:tc>
        <w:tc>
          <w:tcPr>
            <w:tcW w:type="dxa" w:w="4957"/>
            <w:vAlign w:val="top"/>
          </w:tcPr>
          <w:p>
            <w:pPr>
              <w:jc w:val="left"/>
            </w:pPr>
            <w:r>
              <w:rPr>
                <w:sz w:val="17"/>
              </w:rPr>
              <w:t>Cliente saturado</w:t>
            </w:r>
          </w:p>
        </w:tc>
      </w:tr>
    </w:tbl>
    <w:p/>
    <w:p>
      <w:pPr>
        <w:pStyle w:val="Heading1"/>
      </w:pPr>
      <w:r>
        <w:t>13. Puesta en marcha y soporte</w:t>
      </w:r>
    </w:p>
    <w:p>
      <w:r>
        <w:t>La puesta en marcha incluye onboarding de activos, validación de labels, clasificación de criticidad, instalación de agentes, prueba de telemetría y simulación controlada. Durante los primeros días se utiliza seguimiento reforzado. Los cambios de reglas pasan por control y rollback.</w:t>
      </w:r>
    </w:p>
    <w:p>
      <w:r>
        <w:t>El soporte debe distinguir incidencias de plataforma, detección y operación del cliente. Cada una tiene un canal y responsable. El informe de piloto debe recoger métricas, incidentes y recomendación de continuidad.</w:t>
      </w:r>
    </w:p>
    <w:p>
      <w:pPr>
        <w:pStyle w:val="Heading1"/>
      </w:pPr>
      <w:r>
        <w:t>Fuentes internas consultadas</w:t>
      </w:r>
    </w:p>
    <w:p>
      <w:r>
        <w:t>Este informe se elaboró utilizando los artefactos técnicos disponibles en el repositorio `franciscosdafas133/kriptome-minisoc`, principalmente en el commit ab772d198719. La relación siguiente permite rastrear las decisiones del documento hasta sus fuentes internas.</w:t>
      </w:r>
    </w:p>
    <w:p>
      <w:pPr>
        <w:pStyle w:val="ListBullet"/>
        <w:jc w:val="left"/>
      </w:pPr>
      <w:r>
        <w:rPr>
          <w:rFonts w:ascii="Liberation Mono" w:hAnsi="Liberation Mono"/>
          <w:sz w:val="17"/>
        </w:rPr>
        <w:t>specifications/tenant_resolution.md</w:t>
      </w:r>
    </w:p>
    <w:p>
      <w:pPr>
        <w:pStyle w:val="ListBullet"/>
        <w:jc w:val="left"/>
      </w:pPr>
      <w:r>
        <w:rPr>
          <w:rFonts w:ascii="Liberation Mono" w:hAnsi="Liberation Mono"/>
          <w:sz w:val="17"/>
        </w:rPr>
        <w:t>specifications/validation_statuses.md</w:t>
      </w:r>
    </w:p>
    <w:p>
      <w:pPr>
        <w:pStyle w:val="ListBullet"/>
        <w:jc w:val="left"/>
      </w:pPr>
      <w:r>
        <w:rPr>
          <w:rFonts w:ascii="Liberation Mono" w:hAnsi="Liberation Mono"/>
          <w:sz w:val="17"/>
        </w:rPr>
        <w:t>specifications/*.schema.json</w:t>
      </w:r>
    </w:p>
    <w:p>
      <w:pPr>
        <w:pStyle w:val="ListBullet"/>
        <w:jc w:val="left"/>
      </w:pPr>
      <w:r>
        <w:rPr>
          <w:rFonts w:ascii="Liberation Mono" w:hAnsi="Liberation Mono"/>
          <w:sz w:val="17"/>
        </w:rPr>
        <w:t>REGLAS_TUNEADAS/expected_results/</w:t>
      </w:r>
    </w:p>
    <w:p>
      <w:pPr>
        <w:pStyle w:val="ListBullet"/>
        <w:jc w:val="left"/>
      </w:pPr>
      <w:r>
        <w:rPr>
          <w:rFonts w:ascii="Liberation Mono" w:hAnsi="Liberation Mono"/>
          <w:sz w:val="17"/>
        </w:rPr>
        <w:t>REGLAS_TUNEADAS/test_data/</w:t>
      </w:r>
    </w:p>
    <w:p>
      <w:pPr>
        <w:pStyle w:val="ListBullet"/>
        <w:jc w:val="left"/>
      </w:pPr>
      <w:r>
        <w:rPr>
          <w:rFonts w:ascii="Liberation Mono" w:hAnsi="Liberation Mono"/>
          <w:sz w:val="17"/>
        </w:rPr>
        <w:t>REGLAS_TUNEADAS/CHANGELOG.md</w:t>
      </w:r>
    </w:p>
    <w:p>
      <w:pPr>
        <w:pStyle w:val="ListBullet"/>
        <w:jc w:val="left"/>
      </w:pPr>
      <w:r>
        <w:rPr>
          <w:rFonts w:ascii="Liberation Mono" w:hAnsi="Liberation Mono"/>
          <w:sz w:val="17"/>
        </w:rPr>
        <w:t>policies/case_types/*.yaml</w:t>
      </w:r>
    </w:p>
    <w:p>
      <w:pPr>
        <w:pStyle w:val="Heading1"/>
      </w:pPr>
      <w:r>
        <w:t>14. Matriz ampliada de pruebas por componente</w:t>
      </w:r>
    </w:p>
    <w:tbl>
      <w:tblPr>
        <w:tblStyle w:val="TableGrid"/>
        <w:tblW w:type="auto" w:w="0"/>
        <w:jc w:val="center"/>
        <w:tblLook w:firstColumn="1" w:firstRow="1" w:lastColumn="0" w:lastRow="0" w:noHBand="0" w:noVBand="1" w:val="04A0"/>
      </w:tblPr>
      <w:tblGrid>
        <w:gridCol w:w="2479"/>
        <w:gridCol w:w="2479"/>
        <w:gridCol w:w="2479"/>
        <w:gridCol w:w="2479"/>
      </w:tblGrid>
      <w:tr>
        <w:trPr>
          <w:tblHeader w:val="true"/>
        </w:trPr>
        <w:tc>
          <w:tcPr>
            <w:tcW w:type="dxa" w:w="2479"/>
            <w:shd w:fill="D9E2F3"/>
          </w:tcPr>
          <w:p>
            <w:r>
              <w:rPr>
                <w:b/>
                <w:sz w:val="17"/>
              </w:rPr>
              <w:t>Componente</w:t>
            </w:r>
          </w:p>
        </w:tc>
        <w:tc>
          <w:tcPr>
            <w:tcW w:type="dxa" w:w="2479"/>
            <w:shd w:fill="D9E2F3"/>
          </w:tcPr>
          <w:p>
            <w:r>
              <w:rPr>
                <w:b/>
                <w:sz w:val="17"/>
              </w:rPr>
              <w:t>Prueba positiva</w:t>
            </w:r>
          </w:p>
        </w:tc>
        <w:tc>
          <w:tcPr>
            <w:tcW w:type="dxa" w:w="2479"/>
            <w:shd w:fill="D9E2F3"/>
          </w:tcPr>
          <w:p>
            <w:r>
              <w:rPr>
                <w:b/>
                <w:sz w:val="17"/>
              </w:rPr>
              <w:t>Prueba negativa</w:t>
            </w:r>
          </w:p>
        </w:tc>
        <w:tc>
          <w:tcPr>
            <w:tcW w:type="dxa" w:w="2479"/>
            <w:shd w:fill="D9E2F3"/>
          </w:tcPr>
          <w:p>
            <w:r>
              <w:rPr>
                <w:b/>
                <w:sz w:val="17"/>
              </w:rPr>
              <w:t>Prueba de falla</w:t>
            </w:r>
          </w:p>
        </w:tc>
      </w:tr>
      <w:tr>
        <w:tc>
          <w:tcPr>
            <w:tcW w:type="dxa" w:w="2479"/>
          </w:tcPr>
          <w:p>
            <w:pPr>
              <w:jc w:val="left"/>
            </w:pPr>
            <w:r>
              <w:rPr>
                <w:sz w:val="17"/>
              </w:rPr>
              <w:t>Ingesta</w:t>
            </w:r>
          </w:p>
        </w:tc>
        <w:tc>
          <w:tcPr>
            <w:tcW w:type="dxa" w:w="2479"/>
          </w:tcPr>
          <w:p>
            <w:pPr>
              <w:jc w:val="left"/>
            </w:pPr>
            <w:r>
              <w:rPr>
                <w:sz w:val="17"/>
              </w:rPr>
              <w:t>Lee y guarda evento</w:t>
            </w:r>
          </w:p>
        </w:tc>
        <w:tc>
          <w:tcPr>
            <w:tcW w:type="dxa" w:w="2479"/>
          </w:tcPr>
          <w:p>
            <w:pPr>
              <w:jc w:val="left"/>
            </w:pPr>
            <w:r>
              <w:rPr>
                <w:sz w:val="17"/>
              </w:rPr>
              <w:t>Rechaza ID inválido</w:t>
            </w:r>
          </w:p>
        </w:tc>
        <w:tc>
          <w:tcPr>
            <w:tcW w:type="dxa" w:w="2479"/>
          </w:tcPr>
          <w:p>
            <w:pPr>
              <w:jc w:val="left"/>
            </w:pPr>
            <w:r>
              <w:rPr>
                <w:sz w:val="17"/>
              </w:rPr>
              <w:t>Reanuda cursor</w:t>
            </w:r>
          </w:p>
        </w:tc>
      </w:tr>
      <w:tr>
        <w:tc>
          <w:tcPr>
            <w:tcW w:type="dxa" w:w="2479"/>
          </w:tcPr>
          <w:p>
            <w:pPr>
              <w:jc w:val="left"/>
            </w:pPr>
            <w:r>
              <w:rPr>
                <w:sz w:val="17"/>
              </w:rPr>
              <w:t>Tenant</w:t>
            </w:r>
          </w:p>
        </w:tc>
        <w:tc>
          <w:tcPr>
            <w:tcW w:type="dxa" w:w="2479"/>
          </w:tcPr>
          <w:p>
            <w:pPr>
              <w:jc w:val="left"/>
            </w:pPr>
            <w:r>
              <w:rPr>
                <w:sz w:val="17"/>
              </w:rPr>
              <w:t>Mapping correcto</w:t>
            </w:r>
          </w:p>
        </w:tc>
        <w:tc>
          <w:tcPr>
            <w:tcW w:type="dxa" w:w="2479"/>
          </w:tcPr>
          <w:p>
            <w:pPr>
              <w:jc w:val="left"/>
            </w:pPr>
            <w:r>
              <w:rPr>
                <w:sz w:val="17"/>
              </w:rPr>
              <w:t>Acceso cruzado denegado</w:t>
            </w:r>
          </w:p>
        </w:tc>
        <w:tc>
          <w:tcPr>
            <w:tcW w:type="dxa" w:w="2479"/>
          </w:tcPr>
          <w:p>
            <w:pPr>
              <w:jc w:val="left"/>
            </w:pPr>
            <w:r>
              <w:rPr>
                <w:sz w:val="17"/>
              </w:rPr>
              <w:t>Label inconsistente</w:t>
            </w:r>
          </w:p>
        </w:tc>
      </w:tr>
      <w:tr>
        <w:tc>
          <w:tcPr>
            <w:tcW w:type="dxa" w:w="2479"/>
          </w:tcPr>
          <w:p>
            <w:pPr>
              <w:jc w:val="left"/>
            </w:pPr>
            <w:r>
              <w:rPr>
                <w:sz w:val="17"/>
              </w:rPr>
              <w:t>Normalización</w:t>
            </w:r>
          </w:p>
        </w:tc>
        <w:tc>
          <w:tcPr>
            <w:tcW w:type="dxa" w:w="2479"/>
          </w:tcPr>
          <w:p>
            <w:pPr>
              <w:jc w:val="left"/>
            </w:pPr>
            <w:r>
              <w:rPr>
                <w:sz w:val="17"/>
              </w:rPr>
              <w:t>Campos válidos</w:t>
            </w:r>
          </w:p>
        </w:tc>
        <w:tc>
          <w:tcPr>
            <w:tcW w:type="dxa" w:w="2479"/>
          </w:tcPr>
          <w:p>
            <w:pPr>
              <w:jc w:val="left"/>
            </w:pPr>
            <w:r>
              <w:rPr>
                <w:sz w:val="17"/>
              </w:rPr>
              <w:t>Campo obligatorio ausente</w:t>
            </w:r>
          </w:p>
        </w:tc>
        <w:tc>
          <w:tcPr>
            <w:tcW w:type="dxa" w:w="2479"/>
          </w:tcPr>
          <w:p>
            <w:pPr>
              <w:jc w:val="left"/>
            </w:pPr>
            <w:r>
              <w:rPr>
                <w:sz w:val="17"/>
              </w:rPr>
              <w:t>Evento inesperado</w:t>
            </w:r>
          </w:p>
        </w:tc>
      </w:tr>
      <w:tr>
        <w:tc>
          <w:tcPr>
            <w:tcW w:type="dxa" w:w="2479"/>
          </w:tcPr>
          <w:p>
            <w:pPr>
              <w:jc w:val="left"/>
            </w:pPr>
            <w:r>
              <w:rPr>
                <w:sz w:val="17"/>
              </w:rPr>
              <w:t>Casos</w:t>
            </w:r>
          </w:p>
        </w:tc>
        <w:tc>
          <w:tcPr>
            <w:tcW w:type="dxa" w:w="2479"/>
          </w:tcPr>
          <w:p>
            <w:pPr>
              <w:jc w:val="left"/>
            </w:pPr>
            <w:r>
              <w:rPr>
                <w:sz w:val="17"/>
              </w:rPr>
              <w:t>Crea/actualiza</w:t>
            </w:r>
          </w:p>
        </w:tc>
        <w:tc>
          <w:tcPr>
            <w:tcW w:type="dxa" w:w="2479"/>
          </w:tcPr>
          <w:p>
            <w:pPr>
              <w:jc w:val="left"/>
            </w:pPr>
            <w:r>
              <w:rPr>
                <w:sz w:val="17"/>
              </w:rPr>
              <w:t>Transición inválida</w:t>
            </w:r>
          </w:p>
        </w:tc>
        <w:tc>
          <w:tcPr>
            <w:tcW w:type="dxa" w:w="2479"/>
          </w:tcPr>
          <w:p>
            <w:pPr>
              <w:jc w:val="left"/>
            </w:pPr>
            <w:r>
              <w:rPr>
                <w:sz w:val="17"/>
              </w:rPr>
              <w:t>Concurrencia</w:t>
            </w:r>
          </w:p>
        </w:tc>
      </w:tr>
      <w:tr>
        <w:tc>
          <w:tcPr>
            <w:tcW w:type="dxa" w:w="2479"/>
          </w:tcPr>
          <w:p>
            <w:pPr>
              <w:jc w:val="left"/>
            </w:pPr>
            <w:r>
              <w:rPr>
                <w:sz w:val="17"/>
              </w:rPr>
              <w:t>Enriquecimiento</w:t>
            </w:r>
          </w:p>
        </w:tc>
        <w:tc>
          <w:tcPr>
            <w:tcW w:type="dxa" w:w="2479"/>
          </w:tcPr>
          <w:p>
            <w:pPr>
              <w:jc w:val="left"/>
            </w:pPr>
            <w:r>
              <w:rPr>
                <w:sz w:val="17"/>
              </w:rPr>
              <w:t>Resultado válido</w:t>
            </w:r>
          </w:p>
        </w:tc>
        <w:tc>
          <w:tcPr>
            <w:tcW w:type="dxa" w:w="2479"/>
          </w:tcPr>
          <w:p>
            <w:pPr>
              <w:jc w:val="left"/>
            </w:pPr>
            <w:r>
              <w:rPr>
                <w:sz w:val="17"/>
              </w:rPr>
              <w:t>Indicador no encontrado</w:t>
            </w:r>
          </w:p>
        </w:tc>
        <w:tc>
          <w:tcPr>
            <w:tcW w:type="dxa" w:w="2479"/>
          </w:tcPr>
          <w:p>
            <w:pPr>
              <w:jc w:val="left"/>
            </w:pPr>
            <w:r>
              <w:rPr>
                <w:sz w:val="17"/>
              </w:rPr>
              <w:t>Timeout/feed viejo</w:t>
            </w:r>
          </w:p>
        </w:tc>
      </w:tr>
      <w:tr>
        <w:tc>
          <w:tcPr>
            <w:tcW w:type="dxa" w:w="2479"/>
          </w:tcPr>
          <w:p>
            <w:pPr>
              <w:jc w:val="left"/>
            </w:pPr>
            <w:r>
              <w:rPr>
                <w:sz w:val="17"/>
              </w:rPr>
              <w:t>Riesgo</w:t>
            </w:r>
          </w:p>
        </w:tc>
        <w:tc>
          <w:tcPr>
            <w:tcW w:type="dxa" w:w="2479"/>
          </w:tcPr>
          <w:p>
            <w:pPr>
              <w:jc w:val="left"/>
            </w:pPr>
            <w:r>
              <w:rPr>
                <w:sz w:val="17"/>
              </w:rPr>
              <w:t>Score esperado</w:t>
            </w:r>
          </w:p>
        </w:tc>
        <w:tc>
          <w:tcPr>
            <w:tcW w:type="dxa" w:w="2479"/>
          </w:tcPr>
          <w:p>
            <w:pPr>
              <w:jc w:val="left"/>
            </w:pPr>
            <w:r>
              <w:rPr>
                <w:sz w:val="17"/>
              </w:rPr>
              <w:t>Factores incompatibles</w:t>
            </w:r>
          </w:p>
        </w:tc>
        <w:tc>
          <w:tcPr>
            <w:tcW w:type="dxa" w:w="2479"/>
          </w:tcPr>
          <w:p>
            <w:pPr>
              <w:jc w:val="left"/>
            </w:pPr>
            <w:r>
              <w:rPr>
                <w:sz w:val="17"/>
              </w:rPr>
              <w:t>Política ausente</w:t>
            </w:r>
          </w:p>
        </w:tc>
      </w:tr>
      <w:tr>
        <w:tc>
          <w:tcPr>
            <w:tcW w:type="dxa" w:w="2479"/>
          </w:tcPr>
          <w:p>
            <w:pPr>
              <w:jc w:val="left"/>
            </w:pPr>
            <w:r>
              <w:rPr>
                <w:sz w:val="17"/>
              </w:rPr>
              <w:t>IA</w:t>
            </w:r>
          </w:p>
        </w:tc>
        <w:tc>
          <w:tcPr>
            <w:tcW w:type="dxa" w:w="2479"/>
          </w:tcPr>
          <w:p>
            <w:pPr>
              <w:jc w:val="left"/>
            </w:pPr>
            <w:r>
              <w:rPr>
                <w:sz w:val="17"/>
              </w:rPr>
              <w:t>Salida válida</w:t>
            </w:r>
          </w:p>
        </w:tc>
        <w:tc>
          <w:tcPr>
            <w:tcW w:type="dxa" w:w="2479"/>
          </w:tcPr>
          <w:p>
            <w:pPr>
              <w:jc w:val="left"/>
            </w:pPr>
            <w:r>
              <w:rPr>
                <w:sz w:val="17"/>
              </w:rPr>
              <w:t>Prompt injection</w:t>
            </w:r>
          </w:p>
        </w:tc>
        <w:tc>
          <w:tcPr>
            <w:tcW w:type="dxa" w:w="2479"/>
          </w:tcPr>
          <w:p>
            <w:pPr>
              <w:jc w:val="left"/>
            </w:pPr>
            <w:r>
              <w:rPr>
                <w:sz w:val="17"/>
              </w:rPr>
              <w:t>Proveedor caído</w:t>
            </w:r>
          </w:p>
        </w:tc>
      </w:tr>
      <w:tr>
        <w:tc>
          <w:tcPr>
            <w:tcW w:type="dxa" w:w="2479"/>
          </w:tcPr>
          <w:p>
            <w:pPr>
              <w:jc w:val="left"/>
            </w:pPr>
            <w:r>
              <w:rPr>
                <w:sz w:val="17"/>
              </w:rPr>
              <w:t>Correo</w:t>
            </w:r>
          </w:p>
        </w:tc>
        <w:tc>
          <w:tcPr>
            <w:tcW w:type="dxa" w:w="2479"/>
          </w:tcPr>
          <w:p>
            <w:pPr>
              <w:jc w:val="left"/>
            </w:pPr>
            <w:r>
              <w:rPr>
                <w:sz w:val="17"/>
              </w:rPr>
              <w:t>Entrega registrada</w:t>
            </w:r>
          </w:p>
        </w:tc>
        <w:tc>
          <w:tcPr>
            <w:tcW w:type="dxa" w:w="2479"/>
          </w:tcPr>
          <w:p>
            <w:pPr>
              <w:jc w:val="left"/>
            </w:pPr>
            <w:r>
              <w:rPr>
                <w:sz w:val="17"/>
              </w:rPr>
              <w:t>Destinatario no autorizado</w:t>
            </w:r>
          </w:p>
        </w:tc>
        <w:tc>
          <w:tcPr>
            <w:tcW w:type="dxa" w:w="2479"/>
          </w:tcPr>
          <w:p>
            <w:pPr>
              <w:jc w:val="left"/>
            </w:pPr>
            <w:r>
              <w:rPr>
                <w:sz w:val="17"/>
              </w:rPr>
              <w:t>Retry</w:t>
            </w:r>
          </w:p>
        </w:tc>
      </w:tr>
    </w:tbl>
    <w:p/>
    <w:p>
      <w:pPr>
        <w:jc w:val="both"/>
      </w:pPr>
      <w:r>
        <w:t>Las pruebas negativas tienen la misma importancia que las positivas. Un sistema multi-tenant no se considera seguro porque pueda leer un caso correcto, sino porque impide leer uno incorrecto. Del mismo modo, la IA debe probarse con logs que contienen frases como instrucciones y demostrar que permanecen como evidencia.</w:t>
      </w:r>
    </w:p>
    <w:p>
      <w:pPr>
        <w:pStyle w:val="Heading1"/>
      </w:pPr>
      <w:r>
        <w:t>15. Proceso de onboarding seguro</w:t>
      </w:r>
    </w:p>
    <w:p>
      <w:pPr>
        <w:jc w:val="both"/>
      </w:pPr>
      <w:r>
        <w:t>Antes de activar un cliente, se crea el tenant, se registran activos, se asignan criticidades y se configuran grupos de agentes. Luego se verifica que cada alerta incluya agent.id y que la resolución interna coincida con los labels. Se prueban destinatarios utilizando mensajes de prueba sin datos reales.</w:t>
      </w:r>
    </w:p>
    <w:tbl>
      <w:tblPr>
        <w:tblStyle w:val="TableGrid"/>
        <w:tblW w:type="auto" w:w="0"/>
        <w:jc w:val="center"/>
        <w:tblLook w:firstColumn="1" w:firstRow="1" w:lastColumn="0" w:lastRow="0" w:noHBand="0" w:noVBand="1" w:val="04A0"/>
      </w:tblPr>
      <w:tblGrid>
        <w:gridCol w:w="4957"/>
        <w:gridCol w:w="4957"/>
      </w:tblGrid>
      <w:tr>
        <w:trPr>
          <w:tblHeader w:val="true"/>
        </w:trPr>
        <w:tc>
          <w:tcPr>
            <w:tcW w:type="dxa" w:w="4957"/>
            <w:shd w:fill="D9E2F3"/>
          </w:tcPr>
          <w:p>
            <w:r>
              <w:rPr>
                <w:b/>
                <w:sz w:val="17"/>
              </w:rPr>
              <w:t>Paso</w:t>
            </w:r>
          </w:p>
        </w:tc>
        <w:tc>
          <w:tcPr>
            <w:tcW w:type="dxa" w:w="4957"/>
            <w:shd w:fill="D9E2F3"/>
          </w:tcPr>
          <w:p>
            <w:r>
              <w:rPr>
                <w:b/>
                <w:sz w:val="17"/>
              </w:rPr>
              <w:t>Evidencia requerida</w:t>
            </w:r>
          </w:p>
        </w:tc>
      </w:tr>
      <w:tr>
        <w:tc>
          <w:tcPr>
            <w:tcW w:type="dxa" w:w="4957"/>
          </w:tcPr>
          <w:p>
            <w:pPr>
              <w:jc w:val="left"/>
            </w:pPr>
            <w:r>
              <w:rPr>
                <w:sz w:val="17"/>
              </w:rPr>
              <w:t>Alta de tenant</w:t>
            </w:r>
          </w:p>
        </w:tc>
        <w:tc>
          <w:tcPr>
            <w:tcW w:type="dxa" w:w="4957"/>
          </w:tcPr>
          <w:p>
            <w:pPr>
              <w:jc w:val="left"/>
            </w:pPr>
            <w:r>
              <w:rPr>
                <w:sz w:val="17"/>
              </w:rPr>
              <w:t>Aprobación y responsables</w:t>
            </w:r>
          </w:p>
        </w:tc>
      </w:tr>
      <w:tr>
        <w:tc>
          <w:tcPr>
            <w:tcW w:type="dxa" w:w="4957"/>
          </w:tcPr>
          <w:p>
            <w:pPr>
              <w:jc w:val="left"/>
            </w:pPr>
            <w:r>
              <w:rPr>
                <w:sz w:val="17"/>
              </w:rPr>
              <w:t>Inventario</w:t>
            </w:r>
          </w:p>
        </w:tc>
        <w:tc>
          <w:tcPr>
            <w:tcW w:type="dxa" w:w="4957"/>
          </w:tcPr>
          <w:p>
            <w:pPr>
              <w:jc w:val="left"/>
            </w:pPr>
            <w:r>
              <w:rPr>
                <w:sz w:val="17"/>
              </w:rPr>
              <w:t>Asset ID, rol, entorno y criticidad</w:t>
            </w:r>
          </w:p>
        </w:tc>
      </w:tr>
      <w:tr>
        <w:tc>
          <w:tcPr>
            <w:tcW w:type="dxa" w:w="4957"/>
          </w:tcPr>
          <w:p>
            <w:pPr>
              <w:jc w:val="left"/>
            </w:pPr>
            <w:r>
              <w:rPr>
                <w:sz w:val="17"/>
              </w:rPr>
              <w:t>Agentes</w:t>
            </w:r>
          </w:p>
        </w:tc>
        <w:tc>
          <w:tcPr>
            <w:tcW w:type="dxa" w:w="4957"/>
          </w:tcPr>
          <w:p>
            <w:pPr>
              <w:jc w:val="left"/>
            </w:pPr>
            <w:r>
              <w:rPr>
                <w:sz w:val="17"/>
              </w:rPr>
              <w:t>Mapping y estado</w:t>
            </w:r>
          </w:p>
        </w:tc>
      </w:tr>
      <w:tr>
        <w:tc>
          <w:tcPr>
            <w:tcW w:type="dxa" w:w="4957"/>
          </w:tcPr>
          <w:p>
            <w:pPr>
              <w:jc w:val="left"/>
            </w:pPr>
            <w:r>
              <w:rPr>
                <w:sz w:val="17"/>
              </w:rPr>
              <w:t>Telemetría</w:t>
            </w:r>
          </w:p>
        </w:tc>
        <w:tc>
          <w:tcPr>
            <w:tcW w:type="dxa" w:w="4957"/>
          </w:tcPr>
          <w:p>
            <w:pPr>
              <w:jc w:val="left"/>
            </w:pPr>
            <w:r>
              <w:rPr>
                <w:sz w:val="17"/>
              </w:rPr>
              <w:t>Evento de prueba por fuente</w:t>
            </w:r>
          </w:p>
        </w:tc>
      </w:tr>
      <w:tr>
        <w:tc>
          <w:tcPr>
            <w:tcW w:type="dxa" w:w="4957"/>
          </w:tcPr>
          <w:p>
            <w:pPr>
              <w:jc w:val="left"/>
            </w:pPr>
            <w:r>
              <w:rPr>
                <w:sz w:val="17"/>
              </w:rPr>
              <w:t>Reglas</w:t>
            </w:r>
          </w:p>
        </w:tc>
        <w:tc>
          <w:tcPr>
            <w:tcW w:type="dxa" w:w="4957"/>
          </w:tcPr>
          <w:p>
            <w:pPr>
              <w:jc w:val="left"/>
            </w:pPr>
            <w:r>
              <w:rPr>
                <w:sz w:val="17"/>
              </w:rPr>
              <w:t>Resultado esperado</w:t>
            </w:r>
          </w:p>
        </w:tc>
      </w:tr>
      <w:tr>
        <w:tc>
          <w:tcPr>
            <w:tcW w:type="dxa" w:w="4957"/>
          </w:tcPr>
          <w:p>
            <w:pPr>
              <w:jc w:val="left"/>
            </w:pPr>
            <w:r>
              <w:rPr>
                <w:sz w:val="17"/>
              </w:rPr>
              <w:t>Comunicación</w:t>
            </w:r>
          </w:p>
        </w:tc>
        <w:tc>
          <w:tcPr>
            <w:tcW w:type="dxa" w:w="4957"/>
          </w:tcPr>
          <w:p>
            <w:pPr>
              <w:jc w:val="left"/>
            </w:pPr>
            <w:r>
              <w:rPr>
                <w:sz w:val="17"/>
              </w:rPr>
              <w:t>Destinatarios y confirmación</w:t>
            </w:r>
          </w:p>
        </w:tc>
      </w:tr>
      <w:tr>
        <w:tc>
          <w:tcPr>
            <w:tcW w:type="dxa" w:w="4957"/>
          </w:tcPr>
          <w:p>
            <w:pPr>
              <w:jc w:val="left"/>
            </w:pPr>
            <w:r>
              <w:rPr>
                <w:sz w:val="17"/>
              </w:rPr>
              <w:t>SLA</w:t>
            </w:r>
          </w:p>
        </w:tc>
        <w:tc>
          <w:tcPr>
            <w:tcW w:type="dxa" w:w="4957"/>
          </w:tcPr>
          <w:p>
            <w:pPr>
              <w:jc w:val="left"/>
            </w:pPr>
            <w:r>
              <w:rPr>
                <w:sz w:val="17"/>
              </w:rPr>
              <w:t>Horario, contactos y escalamiento</w:t>
            </w:r>
          </w:p>
        </w:tc>
      </w:tr>
      <w:tr>
        <w:tc>
          <w:tcPr>
            <w:tcW w:type="dxa" w:w="4957"/>
          </w:tcPr>
          <w:p>
            <w:pPr>
              <w:jc w:val="left"/>
            </w:pPr>
            <w:r>
              <w:rPr>
                <w:sz w:val="17"/>
              </w:rPr>
              <w:t>Activación</w:t>
            </w:r>
          </w:p>
        </w:tc>
        <w:tc>
          <w:tcPr>
            <w:tcW w:type="dxa" w:w="4957"/>
          </w:tcPr>
          <w:p>
            <w:pPr>
              <w:jc w:val="left"/>
            </w:pPr>
            <w:r>
              <w:rPr>
                <w:sz w:val="17"/>
              </w:rPr>
              <w:t>Checklist firmado</w:t>
            </w:r>
          </w:p>
        </w:tc>
      </w:tr>
    </w:tbl>
    <w:p/>
    <w:p>
      <w:pPr>
        <w:pStyle w:val="Heading1"/>
      </w:pPr>
      <w:r>
        <w:t>16. Plan de rollback</w:t>
      </w:r>
    </w:p>
    <w:p>
      <w:pPr>
        <w:jc w:val="both"/>
      </w:pPr>
      <w:r>
        <w:t>Toda puesta en marcha necesita un camino de regreso. Las reglas se versionan y se conserva el archivo anterior. Las migraciones de base de datos incluyen downgrade cuando sea posible o un plan de restauración. Los cambios de procedimientos y políticas se pueden desactivar por versión. Si el correo genera mensajes incorrectos, se detiene el worker de comunicación sin perder los casos.</w:t>
      </w:r>
    </w:p>
    <w:p>
      <w:pPr>
        <w:pStyle w:val="ListBullet"/>
        <w:jc w:val="left"/>
      </w:pPr>
      <w:r>
        <w:t>Rollback de ruleset y reinicio controlado del Manager.</w:t>
      </w:r>
    </w:p>
    <w:p>
      <w:pPr>
        <w:pStyle w:val="ListBullet"/>
        <w:jc w:val="left"/>
      </w:pPr>
      <w:r>
        <w:t>Desactivación de una política de case type.</w:t>
      </w:r>
    </w:p>
    <w:p>
      <w:pPr>
        <w:pStyle w:val="ListBullet"/>
        <w:jc w:val="left"/>
      </w:pPr>
      <w:r>
        <w:t>Pausa de notificaciones manteniendo procesamiento.</w:t>
      </w:r>
    </w:p>
    <w:p>
      <w:pPr>
        <w:pStyle w:val="ListBullet"/>
        <w:jc w:val="left"/>
      </w:pPr>
      <w:r>
        <w:t>Restauración de base de datos en entorno separado para verificar.</w:t>
      </w:r>
    </w:p>
    <w:p>
      <w:pPr>
        <w:pStyle w:val="ListBullet"/>
        <w:jc w:val="left"/>
      </w:pPr>
      <w:r>
        <w:t>Reprocesamiento desde raw events solo con autorización.</w:t>
      </w:r>
    </w:p>
    <w:p>
      <w:pPr>
        <w:pStyle w:val="Heading1"/>
      </w:pPr>
      <w:r>
        <w:t>17. Evidencias requeridas para aprobar el piloto</w:t>
      </w:r>
    </w:p>
    <w:p>
      <w:pPr>
        <w:pStyle w:val="ListBullet"/>
        <w:jc w:val="left"/>
      </w:pPr>
      <w:r>
        <w:t>Reporte de pruebas y versiones.</w:t>
      </w:r>
    </w:p>
    <w:p>
      <w:pPr>
        <w:pStyle w:val="ListBullet"/>
        <w:jc w:val="left"/>
      </w:pPr>
      <w:r>
        <w:t>Capturas o logs de logtest para reglas aplicables.</w:t>
      </w:r>
    </w:p>
    <w:p>
      <w:pPr>
        <w:pStyle w:val="ListBullet"/>
        <w:jc w:val="left"/>
      </w:pPr>
      <w:r>
        <w:t>Resultado de shadow mode y falsos positivos.</w:t>
      </w:r>
    </w:p>
    <w:p>
      <w:pPr>
        <w:pStyle w:val="ListBullet"/>
        <w:jc w:val="left"/>
      </w:pPr>
      <w:r>
        <w:t>Prueba de restauración.</w:t>
      </w:r>
    </w:p>
    <w:p>
      <w:pPr>
        <w:pStyle w:val="ListBullet"/>
        <w:jc w:val="left"/>
      </w:pPr>
      <w:r>
        <w:t>Prueba de fuga multi-tenant con resultado cero.</w:t>
      </w:r>
    </w:p>
    <w:p>
      <w:pPr>
        <w:pStyle w:val="ListBullet"/>
        <w:jc w:val="left"/>
      </w:pPr>
      <w:r>
        <w:t>Prueba de IA caída y correo fallido.</w:t>
      </w:r>
    </w:p>
    <w:p>
      <w:pPr>
        <w:pStyle w:val="ListBullet"/>
        <w:jc w:val="left"/>
      </w:pPr>
      <w:r>
        <w:t>Runbooks y responsables.</w:t>
      </w:r>
    </w:p>
    <w:p>
      <w:pPr>
        <w:pStyle w:val="ListBullet"/>
        <w:jc w:val="left"/>
      </w:pPr>
      <w:r>
        <w:t>Acta Go/No-Go firmada.</w:t>
      </w:r>
    </w:p>
    <w:p>
      <w:pPr>
        <w:pStyle w:val="Heading1"/>
      </w:pPr>
      <w:r>
        <w:t>18. Plantilla de evidencia de prueba</w:t>
      </w:r>
    </w:p>
    <w:tbl>
      <w:tblPr>
        <w:tblStyle w:val="TableGrid"/>
        <w:tblW w:type="auto" w:w="0"/>
        <w:jc w:val="center"/>
        <w:tblLook w:firstColumn="1" w:firstRow="1" w:lastColumn="0" w:lastRow="0" w:noHBand="0" w:noVBand="1" w:val="04A0"/>
      </w:tblPr>
      <w:tblGrid>
        <w:gridCol w:w="4957"/>
        <w:gridCol w:w="4957"/>
      </w:tblGrid>
      <w:tr>
        <w:trPr>
          <w:tblHeader w:val="true"/>
        </w:trPr>
        <w:tc>
          <w:tcPr>
            <w:tcW w:type="dxa" w:w="4957"/>
            <w:shd w:fill="D9E2F3"/>
          </w:tcPr>
          <w:p>
            <w:r>
              <w:rPr>
                <w:b/>
                <w:sz w:val="16"/>
              </w:rPr>
              <w:t>Campo</w:t>
            </w:r>
          </w:p>
        </w:tc>
        <w:tc>
          <w:tcPr>
            <w:tcW w:type="dxa" w:w="4957"/>
            <w:shd w:fill="D9E2F3"/>
          </w:tcPr>
          <w:p>
            <w:r>
              <w:rPr>
                <w:b/>
                <w:sz w:val="16"/>
              </w:rPr>
              <w:t>Contenido requerido</w:t>
            </w:r>
          </w:p>
        </w:tc>
      </w:tr>
      <w:tr>
        <w:tc>
          <w:tcPr>
            <w:tcW w:type="dxa" w:w="4957"/>
          </w:tcPr>
          <w:p>
            <w:pPr>
              <w:jc w:val="left"/>
            </w:pPr>
            <w:r>
              <w:rPr>
                <w:sz w:val="16"/>
              </w:rPr>
              <w:t>Test ID</w:t>
            </w:r>
          </w:p>
        </w:tc>
        <w:tc>
          <w:tcPr>
            <w:tcW w:type="dxa" w:w="4957"/>
          </w:tcPr>
          <w:p>
            <w:pPr>
              <w:jc w:val="left"/>
            </w:pPr>
            <w:r>
              <w:rPr>
                <w:sz w:val="16"/>
              </w:rPr>
              <w:t>Identificador estable</w:t>
            </w:r>
          </w:p>
        </w:tc>
      </w:tr>
      <w:tr>
        <w:tc>
          <w:tcPr>
            <w:tcW w:type="dxa" w:w="4957"/>
          </w:tcPr>
          <w:p>
            <w:pPr>
              <w:jc w:val="left"/>
            </w:pPr>
            <w:r>
              <w:rPr>
                <w:sz w:val="16"/>
              </w:rPr>
              <w:t>Versión</w:t>
            </w:r>
          </w:p>
        </w:tc>
        <w:tc>
          <w:tcPr>
            <w:tcW w:type="dxa" w:w="4957"/>
          </w:tcPr>
          <w:p>
            <w:pPr>
              <w:jc w:val="left"/>
            </w:pPr>
            <w:r>
              <w:rPr>
                <w:sz w:val="16"/>
              </w:rPr>
              <w:t>Commit, ruleset y entorno</w:t>
            </w:r>
          </w:p>
        </w:tc>
      </w:tr>
      <w:tr>
        <w:tc>
          <w:tcPr>
            <w:tcW w:type="dxa" w:w="4957"/>
          </w:tcPr>
          <w:p>
            <w:pPr>
              <w:jc w:val="left"/>
            </w:pPr>
            <w:r>
              <w:rPr>
                <w:sz w:val="16"/>
              </w:rPr>
              <w:t>Objetivo</w:t>
            </w:r>
          </w:p>
        </w:tc>
        <w:tc>
          <w:tcPr>
            <w:tcW w:type="dxa" w:w="4957"/>
          </w:tcPr>
          <w:p>
            <w:pPr>
              <w:jc w:val="left"/>
            </w:pPr>
            <w:r>
              <w:rPr>
                <w:sz w:val="16"/>
              </w:rPr>
              <w:t>Comportamiento a demostrar</w:t>
            </w:r>
          </w:p>
        </w:tc>
      </w:tr>
      <w:tr>
        <w:tc>
          <w:tcPr>
            <w:tcW w:type="dxa" w:w="4957"/>
          </w:tcPr>
          <w:p>
            <w:pPr>
              <w:jc w:val="left"/>
            </w:pPr>
            <w:r>
              <w:rPr>
                <w:sz w:val="16"/>
              </w:rPr>
              <w:t>Precondiciones</w:t>
            </w:r>
          </w:p>
        </w:tc>
        <w:tc>
          <w:tcPr>
            <w:tcW w:type="dxa" w:w="4957"/>
          </w:tcPr>
          <w:p>
            <w:pPr>
              <w:jc w:val="left"/>
            </w:pPr>
            <w:r>
              <w:rPr>
                <w:sz w:val="16"/>
              </w:rPr>
              <w:t>Datos y servicios necesarios</w:t>
            </w:r>
          </w:p>
        </w:tc>
      </w:tr>
      <w:tr>
        <w:tc>
          <w:tcPr>
            <w:tcW w:type="dxa" w:w="4957"/>
          </w:tcPr>
          <w:p>
            <w:pPr>
              <w:jc w:val="left"/>
            </w:pPr>
            <w:r>
              <w:rPr>
                <w:sz w:val="16"/>
              </w:rPr>
              <w:t>Entrada</w:t>
            </w:r>
          </w:p>
        </w:tc>
        <w:tc>
          <w:tcPr>
            <w:tcW w:type="dxa" w:w="4957"/>
          </w:tcPr>
          <w:p>
            <w:pPr>
              <w:jc w:val="left"/>
            </w:pPr>
            <w:r>
              <w:rPr>
                <w:sz w:val="16"/>
              </w:rPr>
              <w:t>Evento, alerta o acción</w:t>
            </w:r>
          </w:p>
        </w:tc>
      </w:tr>
      <w:tr>
        <w:tc>
          <w:tcPr>
            <w:tcW w:type="dxa" w:w="4957"/>
          </w:tcPr>
          <w:p>
            <w:pPr>
              <w:jc w:val="left"/>
            </w:pPr>
            <w:r>
              <w:rPr>
                <w:sz w:val="16"/>
              </w:rPr>
              <w:t>Pasos</w:t>
            </w:r>
          </w:p>
        </w:tc>
        <w:tc>
          <w:tcPr>
            <w:tcW w:type="dxa" w:w="4957"/>
          </w:tcPr>
          <w:p>
            <w:pPr>
              <w:jc w:val="left"/>
            </w:pPr>
            <w:r>
              <w:rPr>
                <w:sz w:val="16"/>
              </w:rPr>
              <w:t>Secuencia reproducible</w:t>
            </w:r>
          </w:p>
        </w:tc>
      </w:tr>
      <w:tr>
        <w:tc>
          <w:tcPr>
            <w:tcW w:type="dxa" w:w="4957"/>
          </w:tcPr>
          <w:p>
            <w:pPr>
              <w:jc w:val="left"/>
            </w:pPr>
            <w:r>
              <w:rPr>
                <w:sz w:val="16"/>
              </w:rPr>
              <w:t>Esperado</w:t>
            </w:r>
          </w:p>
        </w:tc>
        <w:tc>
          <w:tcPr>
            <w:tcW w:type="dxa" w:w="4957"/>
          </w:tcPr>
          <w:p>
            <w:pPr>
              <w:jc w:val="left"/>
            </w:pPr>
            <w:r>
              <w:rPr>
                <w:sz w:val="16"/>
              </w:rPr>
              <w:t>Resultado antes de ejecutar</w:t>
            </w:r>
          </w:p>
        </w:tc>
      </w:tr>
      <w:tr>
        <w:tc>
          <w:tcPr>
            <w:tcW w:type="dxa" w:w="4957"/>
          </w:tcPr>
          <w:p>
            <w:pPr>
              <w:jc w:val="left"/>
            </w:pPr>
            <w:r>
              <w:rPr>
                <w:sz w:val="16"/>
              </w:rPr>
              <w:t>Obtenido</w:t>
            </w:r>
          </w:p>
        </w:tc>
        <w:tc>
          <w:tcPr>
            <w:tcW w:type="dxa" w:w="4957"/>
          </w:tcPr>
          <w:p>
            <w:pPr>
              <w:jc w:val="left"/>
            </w:pPr>
            <w:r>
              <w:rPr>
                <w:sz w:val="16"/>
              </w:rPr>
              <w:t>Resultado real</w:t>
            </w:r>
          </w:p>
        </w:tc>
      </w:tr>
      <w:tr>
        <w:tc>
          <w:tcPr>
            <w:tcW w:type="dxa" w:w="4957"/>
          </w:tcPr>
          <w:p>
            <w:pPr>
              <w:jc w:val="left"/>
            </w:pPr>
            <w:r>
              <w:rPr>
                <w:sz w:val="16"/>
              </w:rPr>
              <w:t>Evidencia</w:t>
            </w:r>
          </w:p>
        </w:tc>
        <w:tc>
          <w:tcPr>
            <w:tcW w:type="dxa" w:w="4957"/>
          </w:tcPr>
          <w:p>
            <w:pPr>
              <w:jc w:val="left"/>
            </w:pPr>
            <w:r>
              <w:rPr>
                <w:sz w:val="16"/>
              </w:rPr>
              <w:t>Logs, capturas, IDs</w:t>
            </w:r>
          </w:p>
        </w:tc>
      </w:tr>
      <w:tr>
        <w:tc>
          <w:tcPr>
            <w:tcW w:type="dxa" w:w="4957"/>
          </w:tcPr>
          <w:p>
            <w:pPr>
              <w:jc w:val="left"/>
            </w:pPr>
            <w:r>
              <w:rPr>
                <w:sz w:val="16"/>
              </w:rPr>
              <w:t>Estado</w:t>
            </w:r>
          </w:p>
        </w:tc>
        <w:tc>
          <w:tcPr>
            <w:tcW w:type="dxa" w:w="4957"/>
          </w:tcPr>
          <w:p>
            <w:pPr>
              <w:jc w:val="left"/>
            </w:pPr>
            <w:r>
              <w:rPr>
                <w:sz w:val="16"/>
              </w:rPr>
              <w:t>PASS, FAIL, BLOCKED</w:t>
            </w:r>
          </w:p>
        </w:tc>
      </w:tr>
      <w:tr>
        <w:tc>
          <w:tcPr>
            <w:tcW w:type="dxa" w:w="4957"/>
          </w:tcPr>
          <w:p>
            <w:pPr>
              <w:jc w:val="left"/>
            </w:pPr>
            <w:r>
              <w:rPr>
                <w:sz w:val="16"/>
              </w:rPr>
              <w:t>Defecto</w:t>
            </w:r>
          </w:p>
        </w:tc>
        <w:tc>
          <w:tcPr>
            <w:tcW w:type="dxa" w:w="4957"/>
          </w:tcPr>
          <w:p>
            <w:pPr>
              <w:jc w:val="left"/>
            </w:pPr>
            <w:r>
              <w:rPr>
                <w:sz w:val="16"/>
              </w:rPr>
              <w:t>Referencia si falla</w:t>
            </w:r>
          </w:p>
        </w:tc>
      </w:tr>
    </w:tbl>
    <w:p/>
    <w:p>
      <w:pPr>
        <w:jc w:val="both"/>
      </w:pPr>
      <w:r>
        <w:t>La evidencia debe almacenarse fuera del documento cuando sea voluminosa, pero el registro conserva rutas y hashes. Los resultados esperados se escriben antes de la ejecución para evitar reinterpretar una falla como éxito.</w:t>
      </w:r>
    </w:p>
    <w:p>
      <w:pPr>
        <w:pStyle w:val="Heading1"/>
      </w:pPr>
      <w:r>
        <w:t>19. Checklist Go-Live detallado</w:t>
      </w:r>
    </w:p>
    <w:tbl>
      <w:tblPr>
        <w:tblStyle w:val="TableGrid"/>
        <w:tblW w:type="auto" w:w="0"/>
        <w:jc w:val="center"/>
        <w:tblLook w:firstColumn="1" w:firstRow="1" w:lastColumn="0" w:lastRow="0" w:noHBand="0" w:noVBand="1" w:val="04A0"/>
      </w:tblPr>
      <w:tblGrid>
        <w:gridCol w:w="2479"/>
        <w:gridCol w:w="2479"/>
        <w:gridCol w:w="2479"/>
        <w:gridCol w:w="2479"/>
      </w:tblGrid>
      <w:tr>
        <w:trPr>
          <w:tblHeader w:val="true"/>
        </w:trPr>
        <w:tc>
          <w:tcPr>
            <w:tcW w:type="dxa" w:w="2479"/>
            <w:shd w:fill="D9E2F3"/>
          </w:tcPr>
          <w:p>
            <w:r>
              <w:rPr>
                <w:b/>
                <w:sz w:val="16"/>
              </w:rPr>
              <w:t>Área</w:t>
            </w:r>
          </w:p>
        </w:tc>
        <w:tc>
          <w:tcPr>
            <w:tcW w:type="dxa" w:w="2479"/>
            <w:shd w:fill="D9E2F3"/>
          </w:tcPr>
          <w:p>
            <w:r>
              <w:rPr>
                <w:b/>
                <w:sz w:val="16"/>
              </w:rPr>
              <w:t>Verificación</w:t>
            </w:r>
          </w:p>
        </w:tc>
        <w:tc>
          <w:tcPr>
            <w:tcW w:type="dxa" w:w="2479"/>
            <w:shd w:fill="D9E2F3"/>
          </w:tcPr>
          <w:p>
            <w:r>
              <w:rPr>
                <w:b/>
                <w:sz w:val="16"/>
              </w:rPr>
              <w:t>Responsable</w:t>
            </w:r>
          </w:p>
        </w:tc>
        <w:tc>
          <w:tcPr>
            <w:tcW w:type="dxa" w:w="2479"/>
            <w:shd w:fill="D9E2F3"/>
          </w:tcPr>
          <w:p>
            <w:r>
              <w:rPr>
                <w:b/>
                <w:sz w:val="16"/>
              </w:rPr>
              <w:t>Estado</w:t>
            </w:r>
          </w:p>
        </w:tc>
      </w:tr>
      <w:tr>
        <w:tc>
          <w:tcPr>
            <w:tcW w:type="dxa" w:w="2479"/>
          </w:tcPr>
          <w:p>
            <w:pPr>
              <w:jc w:val="left"/>
            </w:pPr>
            <w:r>
              <w:rPr>
                <w:sz w:val="16"/>
              </w:rPr>
              <w:t>Tenant</w:t>
            </w:r>
          </w:p>
        </w:tc>
        <w:tc>
          <w:tcPr>
            <w:tcW w:type="dxa" w:w="2479"/>
          </w:tcPr>
          <w:p>
            <w:pPr>
              <w:jc w:val="left"/>
            </w:pPr>
            <w:r>
              <w:rPr>
                <w:sz w:val="16"/>
              </w:rPr>
              <w:t>Mappings y filtros probados</w:t>
            </w:r>
          </w:p>
        </w:tc>
        <w:tc>
          <w:tcPr>
            <w:tcW w:type="dxa" w:w="2479"/>
          </w:tcPr>
          <w:p>
            <w:pPr>
              <w:jc w:val="left"/>
            </w:pPr>
            <w:r>
              <w:rPr>
                <w:sz w:val="16"/>
              </w:rPr>
              <w:t>Backend/seguridad</w:t>
            </w:r>
          </w:p>
        </w:tc>
        <w:tc>
          <w:tcPr>
            <w:tcW w:type="dxa" w:w="2479"/>
          </w:tcPr>
          <w:p>
            <w:pPr>
              <w:jc w:val="left"/>
            </w:pPr>
            <w:r>
              <w:rPr>
                <w:sz w:val="16"/>
              </w:rPr>
              <w:t>Pendiente</w:t>
            </w:r>
          </w:p>
        </w:tc>
      </w:tr>
      <w:tr>
        <w:tc>
          <w:tcPr>
            <w:tcW w:type="dxa" w:w="2479"/>
          </w:tcPr>
          <w:p>
            <w:pPr>
              <w:jc w:val="left"/>
            </w:pPr>
            <w:r>
              <w:rPr>
                <w:sz w:val="16"/>
              </w:rPr>
              <w:t>Reglas</w:t>
            </w:r>
          </w:p>
        </w:tc>
        <w:tc>
          <w:tcPr>
            <w:tcW w:type="dxa" w:w="2479"/>
          </w:tcPr>
          <w:p>
            <w:pPr>
              <w:jc w:val="left"/>
            </w:pPr>
            <w:r>
              <w:rPr>
                <w:sz w:val="16"/>
              </w:rPr>
              <w:t>XML, logtest y shadow</w:t>
            </w:r>
          </w:p>
        </w:tc>
        <w:tc>
          <w:tcPr>
            <w:tcW w:type="dxa" w:w="2479"/>
          </w:tcPr>
          <w:p>
            <w:pPr>
              <w:jc w:val="left"/>
            </w:pPr>
            <w:r>
              <w:rPr>
                <w:sz w:val="16"/>
              </w:rPr>
              <w:t>Wazuh/SOC</w:t>
            </w:r>
          </w:p>
        </w:tc>
        <w:tc>
          <w:tcPr>
            <w:tcW w:type="dxa" w:w="2479"/>
          </w:tcPr>
          <w:p>
            <w:pPr>
              <w:jc w:val="left"/>
            </w:pPr>
            <w:r>
              <w:rPr>
                <w:sz w:val="16"/>
              </w:rPr>
              <w:t>Pendiente</w:t>
            </w:r>
          </w:p>
        </w:tc>
      </w:tr>
      <w:tr>
        <w:tc>
          <w:tcPr>
            <w:tcW w:type="dxa" w:w="2479"/>
          </w:tcPr>
          <w:p>
            <w:pPr>
              <w:jc w:val="left"/>
            </w:pPr>
            <w:r>
              <w:rPr>
                <w:sz w:val="16"/>
              </w:rPr>
              <w:t>Datos</w:t>
            </w:r>
          </w:p>
        </w:tc>
        <w:tc>
          <w:tcPr>
            <w:tcW w:type="dxa" w:w="2479"/>
          </w:tcPr>
          <w:p>
            <w:pPr>
              <w:jc w:val="left"/>
            </w:pPr>
            <w:r>
              <w:rPr>
                <w:sz w:val="16"/>
              </w:rPr>
              <w:t>Migraciones y backups</w:t>
            </w:r>
          </w:p>
        </w:tc>
        <w:tc>
          <w:tcPr>
            <w:tcW w:type="dxa" w:w="2479"/>
          </w:tcPr>
          <w:p>
            <w:pPr>
              <w:jc w:val="left"/>
            </w:pPr>
            <w:r>
              <w:rPr>
                <w:sz w:val="16"/>
              </w:rPr>
              <w:t>Backend/infra</w:t>
            </w:r>
          </w:p>
        </w:tc>
        <w:tc>
          <w:tcPr>
            <w:tcW w:type="dxa" w:w="2479"/>
          </w:tcPr>
          <w:p>
            <w:pPr>
              <w:jc w:val="left"/>
            </w:pPr>
            <w:r>
              <w:rPr>
                <w:sz w:val="16"/>
              </w:rPr>
              <w:t>Pendiente</w:t>
            </w:r>
          </w:p>
        </w:tc>
      </w:tr>
      <w:tr>
        <w:tc>
          <w:tcPr>
            <w:tcW w:type="dxa" w:w="2479"/>
          </w:tcPr>
          <w:p>
            <w:pPr>
              <w:jc w:val="left"/>
            </w:pPr>
            <w:r>
              <w:rPr>
                <w:sz w:val="16"/>
              </w:rPr>
              <w:t>IA</w:t>
            </w:r>
          </w:p>
        </w:tc>
        <w:tc>
          <w:tcPr>
            <w:tcW w:type="dxa" w:w="2479"/>
          </w:tcPr>
          <w:p>
            <w:pPr>
              <w:jc w:val="left"/>
            </w:pPr>
            <w:r>
              <w:rPr>
                <w:sz w:val="16"/>
              </w:rPr>
              <w:t>Sanitización y fallback</w:t>
            </w:r>
          </w:p>
        </w:tc>
        <w:tc>
          <w:tcPr>
            <w:tcW w:type="dxa" w:w="2479"/>
          </w:tcPr>
          <w:p>
            <w:pPr>
              <w:jc w:val="left"/>
            </w:pPr>
            <w:r>
              <w:rPr>
                <w:sz w:val="16"/>
              </w:rPr>
              <w:t>Desarrollo/seguridad</w:t>
            </w:r>
          </w:p>
        </w:tc>
        <w:tc>
          <w:tcPr>
            <w:tcW w:type="dxa" w:w="2479"/>
          </w:tcPr>
          <w:p>
            <w:pPr>
              <w:jc w:val="left"/>
            </w:pPr>
            <w:r>
              <w:rPr>
                <w:sz w:val="16"/>
              </w:rPr>
              <w:t>Pendiente</w:t>
            </w:r>
          </w:p>
        </w:tc>
      </w:tr>
      <w:tr>
        <w:tc>
          <w:tcPr>
            <w:tcW w:type="dxa" w:w="2479"/>
          </w:tcPr>
          <w:p>
            <w:pPr>
              <w:jc w:val="left"/>
            </w:pPr>
            <w:r>
              <w:rPr>
                <w:sz w:val="16"/>
              </w:rPr>
              <w:t>Correo</w:t>
            </w:r>
          </w:p>
        </w:tc>
        <w:tc>
          <w:tcPr>
            <w:tcW w:type="dxa" w:w="2479"/>
          </w:tcPr>
          <w:p>
            <w:pPr>
              <w:jc w:val="left"/>
            </w:pPr>
            <w:r>
              <w:rPr>
                <w:sz w:val="16"/>
              </w:rPr>
              <w:t>Destinatarios e idempotencia</w:t>
            </w:r>
          </w:p>
        </w:tc>
        <w:tc>
          <w:tcPr>
            <w:tcW w:type="dxa" w:w="2479"/>
          </w:tcPr>
          <w:p>
            <w:pPr>
              <w:jc w:val="left"/>
            </w:pPr>
            <w:r>
              <w:rPr>
                <w:sz w:val="16"/>
              </w:rPr>
              <w:t>Operación</w:t>
            </w:r>
          </w:p>
        </w:tc>
        <w:tc>
          <w:tcPr>
            <w:tcW w:type="dxa" w:w="2479"/>
          </w:tcPr>
          <w:p>
            <w:pPr>
              <w:jc w:val="left"/>
            </w:pPr>
            <w:r>
              <w:rPr>
                <w:sz w:val="16"/>
              </w:rPr>
              <w:t>Pendiente</w:t>
            </w:r>
          </w:p>
        </w:tc>
      </w:tr>
      <w:tr>
        <w:tc>
          <w:tcPr>
            <w:tcW w:type="dxa" w:w="2479"/>
          </w:tcPr>
          <w:p>
            <w:pPr>
              <w:jc w:val="left"/>
            </w:pPr>
            <w:r>
              <w:rPr>
                <w:sz w:val="16"/>
              </w:rPr>
              <w:t>SLA</w:t>
            </w:r>
          </w:p>
        </w:tc>
        <w:tc>
          <w:tcPr>
            <w:tcW w:type="dxa" w:w="2479"/>
          </w:tcPr>
          <w:p>
            <w:pPr>
              <w:jc w:val="left"/>
            </w:pPr>
            <w:r>
              <w:rPr>
                <w:sz w:val="16"/>
              </w:rPr>
              <w:t>Contactos y escalamiento</w:t>
            </w:r>
          </w:p>
        </w:tc>
        <w:tc>
          <w:tcPr>
            <w:tcW w:type="dxa" w:w="2479"/>
          </w:tcPr>
          <w:p>
            <w:pPr>
              <w:jc w:val="left"/>
            </w:pPr>
            <w:r>
              <w:rPr>
                <w:sz w:val="16"/>
              </w:rPr>
              <w:t>Producto/cliente</w:t>
            </w:r>
          </w:p>
        </w:tc>
        <w:tc>
          <w:tcPr>
            <w:tcW w:type="dxa" w:w="2479"/>
          </w:tcPr>
          <w:p>
            <w:pPr>
              <w:jc w:val="left"/>
            </w:pPr>
            <w:r>
              <w:rPr>
                <w:sz w:val="16"/>
              </w:rPr>
              <w:t>Pendiente</w:t>
            </w:r>
          </w:p>
        </w:tc>
      </w:tr>
      <w:tr>
        <w:tc>
          <w:tcPr>
            <w:tcW w:type="dxa" w:w="2479"/>
          </w:tcPr>
          <w:p>
            <w:pPr>
              <w:jc w:val="left"/>
            </w:pPr>
            <w:r>
              <w:rPr>
                <w:sz w:val="16"/>
              </w:rPr>
              <w:t>Monitoreo</w:t>
            </w:r>
          </w:p>
        </w:tc>
        <w:tc>
          <w:tcPr>
            <w:tcW w:type="dxa" w:w="2479"/>
          </w:tcPr>
          <w:p>
            <w:pPr>
              <w:jc w:val="left"/>
            </w:pPr>
            <w:r>
              <w:rPr>
                <w:sz w:val="16"/>
              </w:rPr>
              <w:t>Alertas de plataforma</w:t>
            </w:r>
          </w:p>
        </w:tc>
        <w:tc>
          <w:tcPr>
            <w:tcW w:type="dxa" w:w="2479"/>
          </w:tcPr>
          <w:p>
            <w:pPr>
              <w:jc w:val="left"/>
            </w:pPr>
            <w:r>
              <w:rPr>
                <w:sz w:val="16"/>
              </w:rPr>
              <w:t>Infra</w:t>
            </w:r>
          </w:p>
        </w:tc>
        <w:tc>
          <w:tcPr>
            <w:tcW w:type="dxa" w:w="2479"/>
          </w:tcPr>
          <w:p>
            <w:pPr>
              <w:jc w:val="left"/>
            </w:pPr>
            <w:r>
              <w:rPr>
                <w:sz w:val="16"/>
              </w:rPr>
              <w:t>Pendiente</w:t>
            </w:r>
          </w:p>
        </w:tc>
      </w:tr>
      <w:tr>
        <w:tc>
          <w:tcPr>
            <w:tcW w:type="dxa" w:w="2479"/>
          </w:tcPr>
          <w:p>
            <w:pPr>
              <w:jc w:val="left"/>
            </w:pPr>
            <w:r>
              <w:rPr>
                <w:sz w:val="16"/>
              </w:rPr>
              <w:t>Rollback</w:t>
            </w:r>
          </w:p>
        </w:tc>
        <w:tc>
          <w:tcPr>
            <w:tcW w:type="dxa" w:w="2479"/>
          </w:tcPr>
          <w:p>
            <w:pPr>
              <w:jc w:val="left"/>
            </w:pPr>
            <w:r>
              <w:rPr>
                <w:sz w:val="16"/>
              </w:rPr>
              <w:t>Ensayo documentado</w:t>
            </w:r>
          </w:p>
        </w:tc>
        <w:tc>
          <w:tcPr>
            <w:tcW w:type="dxa" w:w="2479"/>
          </w:tcPr>
          <w:p>
            <w:pPr>
              <w:jc w:val="left"/>
            </w:pPr>
            <w:r>
              <w:rPr>
                <w:sz w:val="16"/>
              </w:rPr>
              <w:t>Equipo técnico</w:t>
            </w:r>
          </w:p>
        </w:tc>
        <w:tc>
          <w:tcPr>
            <w:tcW w:type="dxa" w:w="2479"/>
          </w:tcPr>
          <w:p>
            <w:pPr>
              <w:jc w:val="left"/>
            </w:pPr>
            <w:r>
              <w:rPr>
                <w:sz w:val="16"/>
              </w:rPr>
              <w:t>Pendiente</w:t>
            </w:r>
          </w:p>
        </w:tc>
      </w:tr>
    </w:tbl>
    <w:p/>
    <w:p>
      <w:pPr>
        <w:pStyle w:val="Heading1"/>
      </w:pPr>
      <w:r>
        <w:t>20. Ventana de estabilización</w:t>
      </w:r>
    </w:p>
    <w:p>
      <w:pPr>
        <w:jc w:val="both"/>
      </w:pPr>
      <w:r>
        <w:t>Después de activar el piloto se establece una ventana de estabilización. Durante este periodo no se añaden nuevas familias salvo correcciones críticas. El equipo revisa diariamente volumen, falsos positivos, errores de tenant, comunicaciones y consumo de proveedores. Los cambios se aplican de forma controlada.</w:t>
      </w:r>
    </w:p>
    <w:p>
      <w:pPr>
        <w:jc w:val="both"/>
      </w:pPr>
      <w:r>
        <w:t>Al finalizar la ventana se prepara un informe con resultados, incidentes, carga humana, feedback del cliente y recomendación. La decisión puede ser continuar, ajustar el alcance o detener el piloto. Este cierre evita convertir una prueba temporal en un servicio indefinido sin evaluación.</w:t>
      </w:r>
    </w:p>
    <w:p>
      <w:pPr>
        <w:pStyle w:val="Heading1"/>
      </w:pPr>
      <w:r>
        <w:t>21. Registro de riesgos de implementación</w:t>
      </w:r>
    </w:p>
    <w:tbl>
      <w:tblPr>
        <w:tblStyle w:val="TableGrid"/>
        <w:tblW w:type="auto" w:w="0"/>
        <w:jc w:val="center"/>
        <w:tblLook w:firstColumn="1" w:firstRow="1" w:lastColumn="0" w:lastRow="0" w:noHBand="0" w:noVBand="1" w:val="04A0"/>
      </w:tblPr>
      <w:tblGrid>
        <w:gridCol w:w="1983"/>
        <w:gridCol w:w="1983"/>
        <w:gridCol w:w="1983"/>
        <w:gridCol w:w="1983"/>
        <w:gridCol w:w="1983"/>
      </w:tblGrid>
      <w:tr>
        <w:trPr>
          <w:tblHeader w:val="true"/>
        </w:trPr>
        <w:tc>
          <w:tcPr>
            <w:tcW w:type="dxa" w:w="1983"/>
            <w:shd w:fill="D9E2F3"/>
          </w:tcPr>
          <w:p>
            <w:r>
              <w:rPr>
                <w:b/>
                <w:sz w:val="16"/>
              </w:rPr>
              <w:t>Riesgo</w:t>
            </w:r>
          </w:p>
        </w:tc>
        <w:tc>
          <w:tcPr>
            <w:tcW w:type="dxa" w:w="1983"/>
            <w:shd w:fill="D9E2F3"/>
          </w:tcPr>
          <w:p>
            <w:r>
              <w:rPr>
                <w:b/>
                <w:sz w:val="16"/>
              </w:rPr>
              <w:t>Probabilidad inicial</w:t>
            </w:r>
          </w:p>
        </w:tc>
        <w:tc>
          <w:tcPr>
            <w:tcW w:type="dxa" w:w="1983"/>
            <w:shd w:fill="D9E2F3"/>
          </w:tcPr>
          <w:p>
            <w:r>
              <w:rPr>
                <w:b/>
                <w:sz w:val="16"/>
              </w:rPr>
              <w:t>Impacto</w:t>
            </w:r>
          </w:p>
        </w:tc>
        <w:tc>
          <w:tcPr>
            <w:tcW w:type="dxa" w:w="1983"/>
            <w:shd w:fill="D9E2F3"/>
          </w:tcPr>
          <w:p>
            <w:r>
              <w:rPr>
                <w:b/>
                <w:sz w:val="16"/>
              </w:rPr>
              <w:t>Indicador</w:t>
            </w:r>
          </w:p>
        </w:tc>
        <w:tc>
          <w:tcPr>
            <w:tcW w:type="dxa" w:w="1983"/>
            <w:shd w:fill="D9E2F3"/>
          </w:tcPr>
          <w:p>
            <w:r>
              <w:rPr>
                <w:b/>
                <w:sz w:val="16"/>
              </w:rPr>
              <w:t>Respuesta</w:t>
            </w:r>
          </w:p>
        </w:tc>
      </w:tr>
      <w:tr>
        <w:tc>
          <w:tcPr>
            <w:tcW w:type="dxa" w:w="1983"/>
          </w:tcPr>
          <w:p>
            <w:pPr>
              <w:jc w:val="left"/>
            </w:pPr>
            <w:r>
              <w:rPr>
                <w:sz w:val="16"/>
              </w:rPr>
              <w:t>Reglas con ruido</w:t>
            </w:r>
          </w:p>
        </w:tc>
        <w:tc>
          <w:tcPr>
            <w:tcW w:type="dxa" w:w="1983"/>
          </w:tcPr>
          <w:p>
            <w:pPr>
              <w:jc w:val="left"/>
            </w:pPr>
            <w:r>
              <w:rPr>
                <w:sz w:val="16"/>
              </w:rPr>
              <w:t>Alta</w:t>
            </w:r>
          </w:p>
        </w:tc>
        <w:tc>
          <w:tcPr>
            <w:tcW w:type="dxa" w:w="1983"/>
          </w:tcPr>
          <w:p>
            <w:pPr>
              <w:jc w:val="left"/>
            </w:pPr>
            <w:r>
              <w:rPr>
                <w:sz w:val="16"/>
              </w:rPr>
              <w:t>Medio/alto</w:t>
            </w:r>
          </w:p>
        </w:tc>
        <w:tc>
          <w:tcPr>
            <w:tcW w:type="dxa" w:w="1983"/>
          </w:tcPr>
          <w:p>
            <w:pPr>
              <w:jc w:val="left"/>
            </w:pPr>
            <w:r>
              <w:rPr>
                <w:sz w:val="16"/>
              </w:rPr>
              <w:t>FP y volumen</w:t>
            </w:r>
          </w:p>
        </w:tc>
        <w:tc>
          <w:tcPr>
            <w:tcW w:type="dxa" w:w="1983"/>
          </w:tcPr>
          <w:p>
            <w:pPr>
              <w:jc w:val="left"/>
            </w:pPr>
            <w:r>
              <w:rPr>
                <w:sz w:val="16"/>
              </w:rPr>
              <w:t>Shadow y tuning</w:t>
            </w:r>
          </w:p>
        </w:tc>
      </w:tr>
      <w:tr>
        <w:tc>
          <w:tcPr>
            <w:tcW w:type="dxa" w:w="1983"/>
          </w:tcPr>
          <w:p>
            <w:pPr>
              <w:jc w:val="left"/>
            </w:pPr>
            <w:r>
              <w:rPr>
                <w:sz w:val="16"/>
              </w:rPr>
              <w:t>Fuga tenant</w:t>
            </w:r>
          </w:p>
        </w:tc>
        <w:tc>
          <w:tcPr>
            <w:tcW w:type="dxa" w:w="1983"/>
          </w:tcPr>
          <w:p>
            <w:pPr>
              <w:jc w:val="left"/>
            </w:pPr>
            <w:r>
              <w:rPr>
                <w:sz w:val="16"/>
              </w:rPr>
              <w:t>Baja</w:t>
            </w:r>
          </w:p>
        </w:tc>
        <w:tc>
          <w:tcPr>
            <w:tcW w:type="dxa" w:w="1983"/>
          </w:tcPr>
          <w:p>
            <w:pPr>
              <w:jc w:val="left"/>
            </w:pPr>
            <w:r>
              <w:rPr>
                <w:sz w:val="16"/>
              </w:rPr>
              <w:t>Crítico</w:t>
            </w:r>
          </w:p>
        </w:tc>
        <w:tc>
          <w:tcPr>
            <w:tcW w:type="dxa" w:w="1983"/>
          </w:tcPr>
          <w:p>
            <w:pPr>
              <w:jc w:val="left"/>
            </w:pPr>
            <w:r>
              <w:rPr>
                <w:sz w:val="16"/>
              </w:rPr>
              <w:t>Pruebas negativas</w:t>
            </w:r>
          </w:p>
        </w:tc>
        <w:tc>
          <w:tcPr>
            <w:tcW w:type="dxa" w:w="1983"/>
          </w:tcPr>
          <w:p>
            <w:pPr>
              <w:jc w:val="left"/>
            </w:pPr>
            <w:r>
              <w:rPr>
                <w:sz w:val="16"/>
              </w:rPr>
              <w:t>Bloquear go-live</w:t>
            </w:r>
          </w:p>
        </w:tc>
      </w:tr>
      <w:tr>
        <w:tc>
          <w:tcPr>
            <w:tcW w:type="dxa" w:w="1983"/>
          </w:tcPr>
          <w:p>
            <w:pPr>
              <w:jc w:val="left"/>
            </w:pPr>
            <w:r>
              <w:rPr>
                <w:sz w:val="16"/>
              </w:rPr>
              <w:t>Pérdida de cursor</w:t>
            </w:r>
          </w:p>
        </w:tc>
        <w:tc>
          <w:tcPr>
            <w:tcW w:type="dxa" w:w="1983"/>
          </w:tcPr>
          <w:p>
            <w:pPr>
              <w:jc w:val="left"/>
            </w:pPr>
            <w:r>
              <w:rPr>
                <w:sz w:val="16"/>
              </w:rPr>
              <w:t>Media</w:t>
            </w:r>
          </w:p>
        </w:tc>
        <w:tc>
          <w:tcPr>
            <w:tcW w:type="dxa" w:w="1983"/>
          </w:tcPr>
          <w:p>
            <w:pPr>
              <w:jc w:val="left"/>
            </w:pPr>
            <w:r>
              <w:rPr>
                <w:sz w:val="16"/>
              </w:rPr>
              <w:t>Alto</w:t>
            </w:r>
          </w:p>
        </w:tc>
        <w:tc>
          <w:tcPr>
            <w:tcW w:type="dxa" w:w="1983"/>
          </w:tcPr>
          <w:p>
            <w:pPr>
              <w:jc w:val="left"/>
            </w:pPr>
            <w:r>
              <w:rPr>
                <w:sz w:val="16"/>
              </w:rPr>
              <w:t>Lag/inconsistencias</w:t>
            </w:r>
          </w:p>
        </w:tc>
        <w:tc>
          <w:tcPr>
            <w:tcW w:type="dxa" w:w="1983"/>
          </w:tcPr>
          <w:p>
            <w:pPr>
              <w:jc w:val="left"/>
            </w:pPr>
            <w:r>
              <w:rPr>
                <w:sz w:val="16"/>
              </w:rPr>
              <w:t>Reconciliación</w:t>
            </w:r>
          </w:p>
        </w:tc>
      </w:tr>
      <w:tr>
        <w:tc>
          <w:tcPr>
            <w:tcW w:type="dxa" w:w="1983"/>
          </w:tcPr>
          <w:p>
            <w:pPr>
              <w:jc w:val="left"/>
            </w:pPr>
            <w:r>
              <w:rPr>
                <w:sz w:val="16"/>
              </w:rPr>
              <w:t>Proveedor IA caído</w:t>
            </w:r>
          </w:p>
        </w:tc>
        <w:tc>
          <w:tcPr>
            <w:tcW w:type="dxa" w:w="1983"/>
          </w:tcPr>
          <w:p>
            <w:pPr>
              <w:jc w:val="left"/>
            </w:pPr>
            <w:r>
              <w:rPr>
                <w:sz w:val="16"/>
              </w:rPr>
              <w:t>Media</w:t>
            </w:r>
          </w:p>
        </w:tc>
        <w:tc>
          <w:tcPr>
            <w:tcW w:type="dxa" w:w="1983"/>
          </w:tcPr>
          <w:p>
            <w:pPr>
              <w:jc w:val="left"/>
            </w:pPr>
            <w:r>
              <w:rPr>
                <w:sz w:val="16"/>
              </w:rPr>
              <w:t>Medio</w:t>
            </w:r>
          </w:p>
        </w:tc>
        <w:tc>
          <w:tcPr>
            <w:tcW w:type="dxa" w:w="1983"/>
          </w:tcPr>
          <w:p>
            <w:pPr>
              <w:jc w:val="left"/>
            </w:pPr>
            <w:r>
              <w:rPr>
                <w:sz w:val="16"/>
              </w:rPr>
              <w:t>Timeout</w:t>
            </w:r>
          </w:p>
        </w:tc>
        <w:tc>
          <w:tcPr>
            <w:tcW w:type="dxa" w:w="1983"/>
          </w:tcPr>
          <w:p>
            <w:pPr>
              <w:jc w:val="left"/>
            </w:pPr>
            <w:r>
              <w:rPr>
                <w:sz w:val="16"/>
              </w:rPr>
              <w:t>Fallback</w:t>
            </w:r>
          </w:p>
        </w:tc>
      </w:tr>
      <w:tr>
        <w:tc>
          <w:tcPr>
            <w:tcW w:type="dxa" w:w="1983"/>
          </w:tcPr>
          <w:p>
            <w:pPr>
              <w:jc w:val="left"/>
            </w:pPr>
            <w:r>
              <w:rPr>
                <w:sz w:val="16"/>
              </w:rPr>
              <w:t>Correo duplicado</w:t>
            </w:r>
          </w:p>
        </w:tc>
        <w:tc>
          <w:tcPr>
            <w:tcW w:type="dxa" w:w="1983"/>
          </w:tcPr>
          <w:p>
            <w:pPr>
              <w:jc w:val="left"/>
            </w:pPr>
            <w:r>
              <w:rPr>
                <w:sz w:val="16"/>
              </w:rPr>
              <w:t>Media</w:t>
            </w:r>
          </w:p>
        </w:tc>
        <w:tc>
          <w:tcPr>
            <w:tcW w:type="dxa" w:w="1983"/>
          </w:tcPr>
          <w:p>
            <w:pPr>
              <w:jc w:val="left"/>
            </w:pPr>
            <w:r>
              <w:rPr>
                <w:sz w:val="16"/>
              </w:rPr>
              <w:t>Alto</w:t>
            </w:r>
          </w:p>
        </w:tc>
        <w:tc>
          <w:tcPr>
            <w:tcW w:type="dxa" w:w="1983"/>
          </w:tcPr>
          <w:p>
            <w:pPr>
              <w:jc w:val="left"/>
            </w:pPr>
            <w:r>
              <w:rPr>
                <w:sz w:val="16"/>
              </w:rPr>
              <w:t>message ledger</w:t>
            </w:r>
          </w:p>
        </w:tc>
        <w:tc>
          <w:tcPr>
            <w:tcW w:type="dxa" w:w="1983"/>
          </w:tcPr>
          <w:p>
            <w:pPr>
              <w:jc w:val="left"/>
            </w:pPr>
            <w:r>
              <w:rPr>
                <w:sz w:val="16"/>
              </w:rPr>
              <w:t>Idempotencia</w:t>
            </w:r>
          </w:p>
        </w:tc>
      </w:tr>
      <w:tr>
        <w:tc>
          <w:tcPr>
            <w:tcW w:type="dxa" w:w="1983"/>
          </w:tcPr>
          <w:p>
            <w:pPr>
              <w:jc w:val="left"/>
            </w:pPr>
            <w:r>
              <w:rPr>
                <w:sz w:val="16"/>
              </w:rPr>
              <w:t>KEV desactualizado</w:t>
            </w:r>
          </w:p>
        </w:tc>
        <w:tc>
          <w:tcPr>
            <w:tcW w:type="dxa" w:w="1983"/>
          </w:tcPr>
          <w:p>
            <w:pPr>
              <w:jc w:val="left"/>
            </w:pPr>
            <w:r>
              <w:rPr>
                <w:sz w:val="16"/>
              </w:rPr>
              <w:t>Media</w:t>
            </w:r>
          </w:p>
        </w:tc>
        <w:tc>
          <w:tcPr>
            <w:tcW w:type="dxa" w:w="1983"/>
          </w:tcPr>
          <w:p>
            <w:pPr>
              <w:jc w:val="left"/>
            </w:pPr>
            <w:r>
              <w:rPr>
                <w:sz w:val="16"/>
              </w:rPr>
              <w:t>Alto</w:t>
            </w:r>
          </w:p>
        </w:tc>
        <w:tc>
          <w:tcPr>
            <w:tcW w:type="dxa" w:w="1983"/>
          </w:tcPr>
          <w:p>
            <w:pPr>
              <w:jc w:val="left"/>
            </w:pPr>
            <w:r>
              <w:rPr>
                <w:sz w:val="16"/>
              </w:rPr>
              <w:t>Edad del feed</w:t>
            </w:r>
          </w:p>
        </w:tc>
        <w:tc>
          <w:tcPr>
            <w:tcW w:type="dxa" w:w="1983"/>
          </w:tcPr>
          <w:p>
            <w:pPr>
              <w:jc w:val="left"/>
            </w:pPr>
            <w:r>
              <w:rPr>
                <w:sz w:val="16"/>
              </w:rPr>
              <w:t>Alerta y fallback</w:t>
            </w:r>
          </w:p>
        </w:tc>
      </w:tr>
      <w:tr>
        <w:tc>
          <w:tcPr>
            <w:tcW w:type="dxa" w:w="1983"/>
          </w:tcPr>
          <w:p>
            <w:pPr>
              <w:jc w:val="left"/>
            </w:pPr>
            <w:r>
              <w:rPr>
                <w:sz w:val="16"/>
              </w:rPr>
              <w:t>Sobrecarga humana</w:t>
            </w:r>
          </w:p>
        </w:tc>
        <w:tc>
          <w:tcPr>
            <w:tcW w:type="dxa" w:w="1983"/>
          </w:tcPr>
          <w:p>
            <w:pPr>
              <w:jc w:val="left"/>
            </w:pPr>
            <w:r>
              <w:rPr>
                <w:sz w:val="16"/>
              </w:rPr>
              <w:t>Alta</w:t>
            </w:r>
          </w:p>
        </w:tc>
        <w:tc>
          <w:tcPr>
            <w:tcW w:type="dxa" w:w="1983"/>
          </w:tcPr>
          <w:p>
            <w:pPr>
              <w:jc w:val="left"/>
            </w:pPr>
            <w:r>
              <w:rPr>
                <w:sz w:val="16"/>
              </w:rPr>
              <w:t>Alto</w:t>
            </w:r>
          </w:p>
        </w:tc>
        <w:tc>
          <w:tcPr>
            <w:tcW w:type="dxa" w:w="1983"/>
          </w:tcPr>
          <w:p>
            <w:pPr>
              <w:jc w:val="left"/>
            </w:pPr>
            <w:r>
              <w:rPr>
                <w:sz w:val="16"/>
              </w:rPr>
              <w:t>Minutos/caso</w:t>
            </w:r>
          </w:p>
        </w:tc>
        <w:tc>
          <w:tcPr>
            <w:tcW w:type="dxa" w:w="1983"/>
          </w:tcPr>
          <w:p>
            <w:pPr>
              <w:jc w:val="left"/>
            </w:pPr>
            <w:r>
              <w:rPr>
                <w:sz w:val="16"/>
              </w:rPr>
              <w:t>Reducir alcance</w:t>
            </w:r>
          </w:p>
        </w:tc>
      </w:tr>
      <w:tr>
        <w:tc>
          <w:tcPr>
            <w:tcW w:type="dxa" w:w="1983"/>
          </w:tcPr>
          <w:p>
            <w:pPr>
              <w:jc w:val="left"/>
            </w:pPr>
            <w:r>
              <w:rPr>
                <w:sz w:val="16"/>
              </w:rPr>
              <w:t>Cliente sin respuesta</w:t>
            </w:r>
          </w:p>
        </w:tc>
        <w:tc>
          <w:tcPr>
            <w:tcW w:type="dxa" w:w="1983"/>
          </w:tcPr>
          <w:p>
            <w:pPr>
              <w:jc w:val="left"/>
            </w:pPr>
            <w:r>
              <w:rPr>
                <w:sz w:val="16"/>
              </w:rPr>
              <w:t>Media</w:t>
            </w:r>
          </w:p>
        </w:tc>
        <w:tc>
          <w:tcPr>
            <w:tcW w:type="dxa" w:w="1983"/>
          </w:tcPr>
          <w:p>
            <w:pPr>
              <w:jc w:val="left"/>
            </w:pPr>
            <w:r>
              <w:rPr>
                <w:sz w:val="16"/>
              </w:rPr>
              <w:t>Alto</w:t>
            </w:r>
          </w:p>
        </w:tc>
        <w:tc>
          <w:tcPr>
            <w:tcW w:type="dxa" w:w="1983"/>
          </w:tcPr>
          <w:p>
            <w:pPr>
              <w:jc w:val="left"/>
            </w:pPr>
            <w:r>
              <w:rPr>
                <w:sz w:val="16"/>
              </w:rPr>
              <w:t>Casos waiting</w:t>
            </w:r>
          </w:p>
        </w:tc>
        <w:tc>
          <w:tcPr>
            <w:tcW w:type="dxa" w:w="1983"/>
          </w:tcPr>
          <w:p>
            <w:pPr>
              <w:jc w:val="left"/>
            </w:pPr>
            <w:r>
              <w:rPr>
                <w:sz w:val="16"/>
              </w:rPr>
              <w:t>Escalamiento SLA</w:t>
            </w:r>
          </w:p>
        </w:tc>
      </w:tr>
    </w:tbl>
    <w:p/>
    <w:p>
      <w:pPr>
        <w:jc w:val="both"/>
      </w:pPr>
      <w:r>
        <w:t>El registro se revisa en cada hito. Los riesgos críticos sin control probado bloquean el piloto. Probabilidad e impacto se actualizan con evidencia, no se mantienen como una valoración fija.</w:t>
      </w:r>
    </w:p>
    <w:p>
      <w:pPr>
        <w:pStyle w:val="Heading1"/>
      </w:pPr>
      <w:r>
        <w:t>22. Responsabilidades de seguridad durante el piloto</w:t>
      </w:r>
    </w:p>
    <w:tbl>
      <w:tblPr>
        <w:tblStyle w:val="TableGrid"/>
        <w:tblW w:type="auto" w:w="0"/>
        <w:jc w:val="center"/>
        <w:tblLook w:firstColumn="1" w:firstRow="1" w:lastColumn="0" w:lastRow="0" w:noHBand="0" w:noVBand="1" w:val="04A0"/>
      </w:tblPr>
      <w:tblGrid>
        <w:gridCol w:w="4957"/>
        <w:gridCol w:w="4957"/>
      </w:tblGrid>
      <w:tr>
        <w:trPr>
          <w:tblHeader w:val="true"/>
        </w:trPr>
        <w:tc>
          <w:tcPr>
            <w:tcW w:type="dxa" w:w="4957"/>
            <w:shd w:fill="D9E2F3"/>
          </w:tcPr>
          <w:p>
            <w:r>
              <w:rPr>
                <w:b/>
                <w:sz w:val="16"/>
              </w:rPr>
              <w:t>Responsable</w:t>
            </w:r>
          </w:p>
        </w:tc>
        <w:tc>
          <w:tcPr>
            <w:tcW w:type="dxa" w:w="4957"/>
            <w:shd w:fill="D9E2F3"/>
          </w:tcPr>
          <w:p>
            <w:r>
              <w:rPr>
                <w:b/>
                <w:sz w:val="16"/>
              </w:rPr>
              <w:t>Obligaciones</w:t>
            </w:r>
          </w:p>
        </w:tc>
      </w:tr>
      <w:tr>
        <w:tc>
          <w:tcPr>
            <w:tcW w:type="dxa" w:w="4957"/>
          </w:tcPr>
          <w:p>
            <w:pPr>
              <w:jc w:val="left"/>
            </w:pPr>
            <w:r>
              <w:rPr>
                <w:sz w:val="16"/>
              </w:rPr>
              <w:t>Seguridad/arquitectura</w:t>
            </w:r>
          </w:p>
        </w:tc>
        <w:tc>
          <w:tcPr>
            <w:tcW w:type="dxa" w:w="4957"/>
          </w:tcPr>
          <w:p>
            <w:pPr>
              <w:jc w:val="left"/>
            </w:pPr>
            <w:r>
              <w:rPr>
                <w:sz w:val="16"/>
              </w:rPr>
              <w:t>Aprobar controles y revisar amenazas</w:t>
            </w:r>
          </w:p>
        </w:tc>
      </w:tr>
      <w:tr>
        <w:tc>
          <w:tcPr>
            <w:tcW w:type="dxa" w:w="4957"/>
          </w:tcPr>
          <w:p>
            <w:pPr>
              <w:jc w:val="left"/>
            </w:pPr>
            <w:r>
              <w:rPr>
                <w:sz w:val="16"/>
              </w:rPr>
              <w:t>Backend</w:t>
            </w:r>
          </w:p>
        </w:tc>
        <w:tc>
          <w:tcPr>
            <w:tcW w:type="dxa" w:w="4957"/>
          </w:tcPr>
          <w:p>
            <w:pPr>
              <w:jc w:val="left"/>
            </w:pPr>
            <w:r>
              <w:rPr>
                <w:sz w:val="16"/>
              </w:rPr>
              <w:t>Filtros tenant, idempotencia y auditoría</w:t>
            </w:r>
          </w:p>
        </w:tc>
      </w:tr>
      <w:tr>
        <w:tc>
          <w:tcPr>
            <w:tcW w:type="dxa" w:w="4957"/>
          </w:tcPr>
          <w:p>
            <w:pPr>
              <w:jc w:val="left"/>
            </w:pPr>
            <w:r>
              <w:rPr>
                <w:sz w:val="16"/>
              </w:rPr>
              <w:t>Infraestructura</w:t>
            </w:r>
          </w:p>
        </w:tc>
        <w:tc>
          <w:tcPr>
            <w:tcW w:type="dxa" w:w="4957"/>
          </w:tcPr>
          <w:p>
            <w:pPr>
              <w:jc w:val="left"/>
            </w:pPr>
            <w:r>
              <w:rPr>
                <w:sz w:val="16"/>
              </w:rPr>
              <w:t>Secretos, backups, monitoreo y parches</w:t>
            </w:r>
          </w:p>
        </w:tc>
      </w:tr>
      <w:tr>
        <w:tc>
          <w:tcPr>
            <w:tcW w:type="dxa" w:w="4957"/>
          </w:tcPr>
          <w:p>
            <w:pPr>
              <w:jc w:val="left"/>
            </w:pPr>
            <w:r>
              <w:rPr>
                <w:sz w:val="16"/>
              </w:rPr>
              <w:t>Wazuh</w:t>
            </w:r>
          </w:p>
        </w:tc>
        <w:tc>
          <w:tcPr>
            <w:tcW w:type="dxa" w:w="4957"/>
          </w:tcPr>
          <w:p>
            <w:pPr>
              <w:jc w:val="left"/>
            </w:pPr>
            <w:r>
              <w:rPr>
                <w:sz w:val="16"/>
              </w:rPr>
              <w:t>Reglas, configuración y rollback</w:t>
            </w:r>
          </w:p>
        </w:tc>
      </w:tr>
      <w:tr>
        <w:tc>
          <w:tcPr>
            <w:tcW w:type="dxa" w:w="4957"/>
          </w:tcPr>
          <w:p>
            <w:pPr>
              <w:jc w:val="left"/>
            </w:pPr>
            <w:r>
              <w:rPr>
                <w:sz w:val="16"/>
              </w:rPr>
              <w:t>SOC</w:t>
            </w:r>
          </w:p>
        </w:tc>
        <w:tc>
          <w:tcPr>
            <w:tcW w:type="dxa" w:w="4957"/>
          </w:tcPr>
          <w:p>
            <w:pPr>
              <w:jc w:val="left"/>
            </w:pPr>
            <w:r>
              <w:rPr>
                <w:sz w:val="16"/>
              </w:rPr>
              <w:t>Manejo de datos y revisión</w:t>
            </w:r>
          </w:p>
        </w:tc>
      </w:tr>
      <w:tr>
        <w:tc>
          <w:tcPr>
            <w:tcW w:type="dxa" w:w="4957"/>
          </w:tcPr>
          <w:p>
            <w:pPr>
              <w:jc w:val="left"/>
            </w:pPr>
            <w:r>
              <w:rPr>
                <w:sz w:val="16"/>
              </w:rPr>
              <w:t>Producto</w:t>
            </w:r>
          </w:p>
        </w:tc>
        <w:tc>
          <w:tcPr>
            <w:tcW w:type="dxa" w:w="4957"/>
          </w:tcPr>
          <w:p>
            <w:pPr>
              <w:jc w:val="left"/>
            </w:pPr>
            <w:r>
              <w:rPr>
                <w:sz w:val="16"/>
              </w:rPr>
              <w:t>SLA, alcance y aceptación de riesgo</w:t>
            </w:r>
          </w:p>
        </w:tc>
      </w:tr>
      <w:tr>
        <w:tc>
          <w:tcPr>
            <w:tcW w:type="dxa" w:w="4957"/>
          </w:tcPr>
          <w:p>
            <w:pPr>
              <w:jc w:val="left"/>
            </w:pPr>
            <w:r>
              <w:rPr>
                <w:sz w:val="16"/>
              </w:rPr>
              <w:t>Cliente</w:t>
            </w:r>
          </w:p>
        </w:tc>
        <w:tc>
          <w:tcPr>
            <w:tcW w:type="dxa" w:w="4957"/>
          </w:tcPr>
          <w:p>
            <w:pPr>
              <w:jc w:val="left"/>
            </w:pPr>
            <w:r>
              <w:rPr>
                <w:sz w:val="16"/>
              </w:rPr>
              <w:t>Contactos, acciones y autorizaciones</w:t>
            </w:r>
          </w:p>
        </w:tc>
      </w:tr>
    </w:tbl>
    <w:p/>
    <w:p>
      <w:pPr>
        <w:pStyle w:val="Heading1"/>
      </w:pPr>
      <w:r>
        <w:t>23. Criterios de suspensión inmediata</w:t>
      </w:r>
    </w:p>
    <w:p>
      <w:pPr>
        <w:pStyle w:val="ListBullet"/>
        <w:jc w:val="left"/>
      </w:pPr>
      <w:r>
        <w:t>Acceso o comunicación de datos de un tenant a otro.</w:t>
      </w:r>
    </w:p>
    <w:p>
      <w:pPr>
        <w:pStyle w:val="ListBullet"/>
        <w:jc w:val="left"/>
      </w:pPr>
      <w:r>
        <w:t>Pérdida no recuperable de eventos relevantes.</w:t>
      </w:r>
    </w:p>
    <w:p>
      <w:pPr>
        <w:pStyle w:val="ListBullet"/>
        <w:jc w:val="left"/>
      </w:pPr>
      <w:r>
        <w:t>Correos críticos enviados repetidamente.</w:t>
      </w:r>
    </w:p>
    <w:p>
      <w:pPr>
        <w:pStyle w:val="ListBullet"/>
        <w:jc w:val="left"/>
      </w:pPr>
      <w:r>
        <w:t>Uso de secretos o datos sensibles en prompts sin control.</w:t>
      </w:r>
    </w:p>
    <w:p>
      <w:pPr>
        <w:pStyle w:val="ListBullet"/>
        <w:jc w:val="left"/>
      </w:pPr>
      <w:r>
        <w:t>Reglas que generan una tormenta no contenida.</w:t>
      </w:r>
    </w:p>
    <w:p>
      <w:pPr>
        <w:pStyle w:val="ListBullet"/>
        <w:jc w:val="left"/>
      </w:pPr>
      <w:r>
        <w:t>Ausencia de backup o imposibilidad de restauración.</w:t>
      </w:r>
    </w:p>
    <w:p>
      <w:pPr>
        <w:pStyle w:val="ListBullet"/>
        <w:jc w:val="left"/>
      </w:pPr>
      <w:r>
        <w:t>Capacidad humana insuficiente para atender casos críticos.</w:t>
      </w:r>
    </w:p>
    <w:p>
      <w:pPr>
        <w:jc w:val="both"/>
      </w:pPr>
      <w:r>
        <w:t>La suspensión no significa fracaso definitivo. El equipo preserva evidencia, informa a las partes, aplica rollback y realiza análisis de causa. El servicio solo se reactiva cuando el control fue corregido y probado.</w:t>
      </w:r>
    </w:p>
    <w:sectPr w:rsidR="00FC693F" w:rsidRPr="0006063C" w:rsidSect="00034616">
      <w:headerReference w:type="default" r:id="rId9"/>
      <w:footerReference w:type="default" r:id="rId10"/>
      <w:pgSz w:w="12240" w:h="15840"/>
      <w:pgMar w:top="1020" w:right="1134" w:bottom="907"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Versión documental 2.0 | 22 de julio de 2026 | </w:t>
    </w: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KRIPTOME MINISOC | SEGURIDAD, PRUEBAS E IMPLEMENTACIÓN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jc w:val="both"/>
    </w:pPr>
    <w:rPr>
      <w:rFonts w:ascii="Liberation Sans" w:hAnsi="Liberation San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Liberation Sans" w:hAnsi="Liberation Sans"/>
      <w:b/>
      <w:bCs/>
      <w:color w:val="1F3854"/>
      <w:sz w:val="33"/>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Liberation Sans" w:hAnsi="Liberation Sans"/>
      <w:b/>
      <w:bCs/>
      <w:color w:val="2E547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Liberation Sans" w:hAnsi="Liberation Sans"/>
      <w:b/>
      <w:bCs/>
      <w:color w:val="46464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300" w:line="240" w:lineRule="auto"/>
      <w:contextualSpacing/>
    </w:pPr>
    <w:rPr>
      <w:rFonts w:asciiTheme="majorHAnsi" w:eastAsiaTheme="majorEastAsia" w:hAnsiTheme="majorHAnsi" w:cstheme="majorBidi" w:ascii="Liberation Sans" w:hAnsi="Liberation Sans"/>
      <w:b/>
      <w:color w:val="1F385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pPr>
    <w:rPr>
      <w:rFonts w:asciiTheme="majorHAnsi" w:eastAsiaTheme="majorEastAsia" w:hAnsiTheme="majorHAnsi" w:cstheme="majorBidi" w:ascii="Liberation Sans" w:hAnsi="Liberation Sans"/>
      <w:b w:val="0"/>
      <w:i/>
      <w:iCs/>
      <w:color w:val="555555"/>
      <w:spacing w:val="15"/>
      <w:sz w:val="2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